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0D8" w:rsidRDefault="004E13BD" w:rsidP="004E13BD">
      <w:pPr>
        <w:spacing w:after="120" w:line="320" w:lineRule="exact"/>
        <w:jc w:val="both"/>
        <w:rPr>
          <w:rFonts w:ascii="Arial" w:hAnsi="Arial" w:cs="Arial"/>
          <w:b/>
          <w:sz w:val="24"/>
          <w:szCs w:val="24"/>
        </w:rPr>
      </w:pPr>
      <w:r w:rsidRPr="004E13BD">
        <w:rPr>
          <w:rFonts w:ascii="Arial" w:hAnsi="Arial" w:cs="Arial"/>
          <w:b/>
          <w:sz w:val="24"/>
          <w:szCs w:val="24"/>
        </w:rPr>
        <w:t>Modifica el Código Penal para hacer improcedente la exención de responsabilidad por los delitos señalados en el artículo 489, cuando ellos sean cometidos en contexto de violencia intrafamiliar</w:t>
      </w:r>
    </w:p>
    <w:p w:rsidR="004E13BD" w:rsidRDefault="004E13BD" w:rsidP="004E13BD">
      <w:pPr>
        <w:spacing w:after="120" w:line="320" w:lineRule="exact"/>
        <w:jc w:val="both"/>
        <w:rPr>
          <w:rFonts w:ascii="Arial" w:hAnsi="Arial" w:cs="Arial"/>
          <w:b/>
          <w:sz w:val="24"/>
          <w:szCs w:val="24"/>
        </w:rPr>
      </w:pPr>
    </w:p>
    <w:p w:rsidR="004E13BD" w:rsidRDefault="004E13BD" w:rsidP="004E13BD">
      <w:pPr>
        <w:spacing w:after="120" w:line="320" w:lineRule="exact"/>
        <w:jc w:val="center"/>
        <w:rPr>
          <w:rFonts w:ascii="Arial" w:hAnsi="Arial" w:cs="Arial"/>
          <w:b/>
          <w:sz w:val="24"/>
          <w:szCs w:val="24"/>
        </w:rPr>
      </w:pPr>
      <w:r>
        <w:rPr>
          <w:rFonts w:ascii="Arial" w:hAnsi="Arial" w:cs="Arial"/>
          <w:b/>
          <w:sz w:val="24"/>
          <w:szCs w:val="24"/>
        </w:rPr>
        <w:t>Boletín N° 13228-07</w:t>
      </w:r>
    </w:p>
    <w:p w:rsidR="004E13BD" w:rsidRPr="00935FE1" w:rsidRDefault="004E13BD" w:rsidP="00524A03">
      <w:pPr>
        <w:spacing w:line="360" w:lineRule="auto"/>
        <w:jc w:val="both"/>
        <w:rPr>
          <w:rFonts w:ascii="Arial" w:hAnsi="Arial" w:cs="Arial"/>
          <w:b/>
          <w:sz w:val="24"/>
          <w:szCs w:val="24"/>
        </w:rPr>
      </w:pPr>
    </w:p>
    <w:p w:rsidR="00395AC2" w:rsidRPr="00935FE1" w:rsidRDefault="00395AC2" w:rsidP="00524A03">
      <w:pPr>
        <w:pStyle w:val="Prrafodelista"/>
        <w:numPr>
          <w:ilvl w:val="0"/>
          <w:numId w:val="2"/>
        </w:numPr>
        <w:spacing w:line="360" w:lineRule="auto"/>
        <w:rPr>
          <w:rFonts w:ascii="Arial" w:hAnsi="Arial" w:cs="Arial"/>
          <w:b/>
          <w:sz w:val="24"/>
          <w:szCs w:val="24"/>
        </w:rPr>
      </w:pPr>
      <w:bookmarkStart w:id="0" w:name="_gjdgxs" w:colFirst="0" w:colLast="0"/>
      <w:bookmarkEnd w:id="0"/>
      <w:r w:rsidRPr="00935FE1">
        <w:rPr>
          <w:rFonts w:ascii="Arial" w:hAnsi="Arial" w:cs="Arial"/>
          <w:b/>
          <w:sz w:val="24"/>
          <w:szCs w:val="24"/>
        </w:rPr>
        <w:t>FUNDAMENTOS</w:t>
      </w:r>
    </w:p>
    <w:p w:rsidR="00267A74" w:rsidRPr="008337DF" w:rsidRDefault="00C83F97" w:rsidP="00267A74">
      <w:pPr>
        <w:spacing w:line="360" w:lineRule="auto"/>
        <w:jc w:val="both"/>
        <w:rPr>
          <w:rFonts w:ascii="Arial" w:hAnsi="Arial" w:cs="Arial"/>
          <w:sz w:val="24"/>
          <w:szCs w:val="24"/>
        </w:rPr>
      </w:pPr>
      <w:r w:rsidRPr="008337DF">
        <w:rPr>
          <w:rFonts w:ascii="Arial" w:hAnsi="Arial" w:cs="Arial"/>
          <w:sz w:val="24"/>
          <w:szCs w:val="24"/>
        </w:rPr>
        <w:t xml:space="preserve">El </w:t>
      </w:r>
      <w:r w:rsidR="00AD5C9E" w:rsidRPr="008337DF">
        <w:rPr>
          <w:rFonts w:ascii="Arial" w:hAnsi="Arial" w:cs="Arial"/>
          <w:sz w:val="24"/>
          <w:szCs w:val="24"/>
        </w:rPr>
        <w:t>artículo 489 del Código Penal, en su versión del año 1875, establecía ya la excusa legal absolutoria que beneficia a ciertos parentescos en relación con la comisión de algunos delitos de carácter económico, contra sus familiares.</w:t>
      </w:r>
    </w:p>
    <w:p w:rsidR="00AD5C9E" w:rsidRPr="008337DF" w:rsidRDefault="00AD5C9E" w:rsidP="00AD5C9E">
      <w:pPr>
        <w:spacing w:after="0" w:line="360" w:lineRule="auto"/>
        <w:jc w:val="both"/>
        <w:rPr>
          <w:rFonts w:ascii="Arial" w:hAnsi="Arial" w:cs="Arial"/>
          <w:sz w:val="24"/>
          <w:szCs w:val="24"/>
        </w:rPr>
      </w:pPr>
      <w:r w:rsidRPr="008337DF">
        <w:rPr>
          <w:rFonts w:ascii="Arial" w:hAnsi="Arial" w:cs="Arial"/>
          <w:sz w:val="24"/>
          <w:szCs w:val="24"/>
        </w:rPr>
        <w:t xml:space="preserve">En su disposición original establecía lo siguiente: </w:t>
      </w:r>
    </w:p>
    <w:p w:rsidR="00AD5C9E" w:rsidRPr="008337DF" w:rsidRDefault="00AD5C9E" w:rsidP="00AD5C9E">
      <w:pPr>
        <w:spacing w:after="0" w:line="360" w:lineRule="auto"/>
        <w:jc w:val="both"/>
        <w:rPr>
          <w:rFonts w:ascii="Arial" w:hAnsi="Arial" w:cs="Arial"/>
          <w:sz w:val="24"/>
          <w:szCs w:val="24"/>
        </w:rPr>
      </w:pPr>
    </w:p>
    <w:p w:rsidR="00AD5C9E" w:rsidRPr="008337DF" w:rsidRDefault="00AD5C9E" w:rsidP="00AD5C9E">
      <w:pPr>
        <w:tabs>
          <w:tab w:val="left" w:pos="8222"/>
        </w:tabs>
        <w:spacing w:after="0" w:line="360" w:lineRule="auto"/>
        <w:ind w:left="567" w:right="616" w:firstLine="141"/>
        <w:jc w:val="both"/>
        <w:rPr>
          <w:rFonts w:ascii="Arial" w:hAnsi="Arial" w:cs="Arial"/>
          <w:sz w:val="20"/>
          <w:szCs w:val="20"/>
        </w:rPr>
      </w:pPr>
      <w:r w:rsidRPr="008337DF">
        <w:rPr>
          <w:rFonts w:ascii="Arial" w:hAnsi="Arial" w:cs="Arial"/>
          <w:sz w:val="20"/>
          <w:szCs w:val="20"/>
        </w:rPr>
        <w:t>“Están exentos de responsabilidad criminal i sujetos únicamente a la civil por los hurtos, defraudaciones o daños que recíprocamente se causaren:</w:t>
      </w:r>
    </w:p>
    <w:p w:rsidR="00AD5C9E" w:rsidRPr="008337DF" w:rsidRDefault="00AD5C9E" w:rsidP="00AD5C9E">
      <w:pPr>
        <w:tabs>
          <w:tab w:val="left" w:pos="8222"/>
        </w:tabs>
        <w:spacing w:after="0" w:line="360" w:lineRule="auto"/>
        <w:ind w:left="567" w:right="616"/>
        <w:jc w:val="both"/>
        <w:rPr>
          <w:rFonts w:ascii="Arial" w:hAnsi="Arial" w:cs="Arial"/>
          <w:sz w:val="20"/>
          <w:szCs w:val="20"/>
        </w:rPr>
      </w:pPr>
      <w:r w:rsidRPr="008337DF">
        <w:rPr>
          <w:rFonts w:ascii="Arial" w:hAnsi="Arial" w:cs="Arial"/>
          <w:sz w:val="20"/>
          <w:szCs w:val="20"/>
        </w:rPr>
        <w:t xml:space="preserve">     </w:t>
      </w:r>
      <w:proofErr w:type="gramStart"/>
      <w:r w:rsidRPr="008337DF">
        <w:rPr>
          <w:rFonts w:ascii="Arial" w:hAnsi="Arial" w:cs="Arial"/>
          <w:sz w:val="20"/>
          <w:szCs w:val="20"/>
        </w:rPr>
        <w:t>1.º</w:t>
      </w:r>
      <w:proofErr w:type="gramEnd"/>
      <w:r w:rsidRPr="008337DF">
        <w:rPr>
          <w:rFonts w:ascii="Arial" w:hAnsi="Arial" w:cs="Arial"/>
          <w:sz w:val="20"/>
          <w:szCs w:val="20"/>
        </w:rPr>
        <w:t xml:space="preserve"> Los parientes consanguíneos </w:t>
      </w:r>
      <w:proofErr w:type="spellStart"/>
      <w:r w:rsidRPr="008337DF">
        <w:rPr>
          <w:rFonts w:ascii="Arial" w:hAnsi="Arial" w:cs="Arial"/>
          <w:sz w:val="20"/>
          <w:szCs w:val="20"/>
        </w:rPr>
        <w:t>lejítimos</w:t>
      </w:r>
      <w:proofErr w:type="spellEnd"/>
      <w:r w:rsidRPr="008337DF">
        <w:rPr>
          <w:rFonts w:ascii="Arial" w:hAnsi="Arial" w:cs="Arial"/>
          <w:sz w:val="20"/>
          <w:szCs w:val="20"/>
        </w:rPr>
        <w:t xml:space="preserve"> en toda la línea recta.</w:t>
      </w:r>
    </w:p>
    <w:p w:rsidR="00AD5C9E" w:rsidRPr="008337DF" w:rsidRDefault="00AD5C9E" w:rsidP="00AD5C9E">
      <w:pPr>
        <w:tabs>
          <w:tab w:val="left" w:pos="8222"/>
        </w:tabs>
        <w:spacing w:after="0" w:line="360" w:lineRule="auto"/>
        <w:ind w:left="851" w:right="616"/>
        <w:jc w:val="both"/>
        <w:rPr>
          <w:rFonts w:ascii="Arial" w:hAnsi="Arial" w:cs="Arial"/>
          <w:sz w:val="20"/>
          <w:szCs w:val="20"/>
        </w:rPr>
      </w:pPr>
      <w:proofErr w:type="gramStart"/>
      <w:r w:rsidRPr="008337DF">
        <w:rPr>
          <w:rFonts w:ascii="Arial" w:hAnsi="Arial" w:cs="Arial"/>
          <w:sz w:val="20"/>
          <w:szCs w:val="20"/>
        </w:rPr>
        <w:t>2.º</w:t>
      </w:r>
      <w:proofErr w:type="gramEnd"/>
      <w:r w:rsidRPr="008337DF">
        <w:rPr>
          <w:rFonts w:ascii="Arial" w:hAnsi="Arial" w:cs="Arial"/>
          <w:sz w:val="20"/>
          <w:szCs w:val="20"/>
        </w:rPr>
        <w:t xml:space="preserve"> Los parientes consanguíneos </w:t>
      </w:r>
      <w:proofErr w:type="spellStart"/>
      <w:r w:rsidRPr="008337DF">
        <w:rPr>
          <w:rFonts w:ascii="Arial" w:hAnsi="Arial" w:cs="Arial"/>
          <w:sz w:val="20"/>
          <w:szCs w:val="20"/>
        </w:rPr>
        <w:t>lejítimos</w:t>
      </w:r>
      <w:proofErr w:type="spellEnd"/>
      <w:r w:rsidRPr="008337DF">
        <w:rPr>
          <w:rFonts w:ascii="Arial" w:hAnsi="Arial" w:cs="Arial"/>
          <w:sz w:val="20"/>
          <w:szCs w:val="20"/>
        </w:rPr>
        <w:t xml:space="preserve"> hasta el segundo grado inclusive de la línea colateral.</w:t>
      </w:r>
    </w:p>
    <w:p w:rsidR="00AD5C9E" w:rsidRPr="008337DF" w:rsidRDefault="00AD5C9E" w:rsidP="00AD5C9E">
      <w:pPr>
        <w:tabs>
          <w:tab w:val="left" w:pos="8222"/>
        </w:tabs>
        <w:spacing w:after="0" w:line="360" w:lineRule="auto"/>
        <w:ind w:left="567" w:right="616"/>
        <w:jc w:val="both"/>
        <w:rPr>
          <w:rFonts w:ascii="Arial" w:hAnsi="Arial" w:cs="Arial"/>
          <w:sz w:val="20"/>
          <w:szCs w:val="20"/>
        </w:rPr>
      </w:pPr>
      <w:r w:rsidRPr="008337DF">
        <w:rPr>
          <w:rFonts w:ascii="Arial" w:hAnsi="Arial" w:cs="Arial"/>
          <w:sz w:val="20"/>
          <w:szCs w:val="20"/>
        </w:rPr>
        <w:t xml:space="preserve">     </w:t>
      </w:r>
      <w:proofErr w:type="gramStart"/>
      <w:r w:rsidRPr="008337DF">
        <w:rPr>
          <w:rFonts w:ascii="Arial" w:hAnsi="Arial" w:cs="Arial"/>
          <w:sz w:val="20"/>
          <w:szCs w:val="20"/>
        </w:rPr>
        <w:t>3.°</w:t>
      </w:r>
      <w:proofErr w:type="gramEnd"/>
      <w:r w:rsidRPr="008337DF">
        <w:rPr>
          <w:rFonts w:ascii="Arial" w:hAnsi="Arial" w:cs="Arial"/>
          <w:sz w:val="20"/>
          <w:szCs w:val="20"/>
        </w:rPr>
        <w:t xml:space="preserve"> Los parientes afines </w:t>
      </w:r>
      <w:proofErr w:type="spellStart"/>
      <w:r w:rsidRPr="008337DF">
        <w:rPr>
          <w:rFonts w:ascii="Arial" w:hAnsi="Arial" w:cs="Arial"/>
          <w:sz w:val="20"/>
          <w:szCs w:val="20"/>
        </w:rPr>
        <w:t>lejítimos</w:t>
      </w:r>
      <w:proofErr w:type="spellEnd"/>
      <w:r w:rsidRPr="008337DF">
        <w:rPr>
          <w:rFonts w:ascii="Arial" w:hAnsi="Arial" w:cs="Arial"/>
          <w:sz w:val="20"/>
          <w:szCs w:val="20"/>
        </w:rPr>
        <w:t xml:space="preserve"> en toda la línea recta.</w:t>
      </w:r>
    </w:p>
    <w:p w:rsidR="00AD5C9E" w:rsidRPr="008337DF" w:rsidRDefault="00AD5C9E" w:rsidP="00AD5C9E">
      <w:pPr>
        <w:tabs>
          <w:tab w:val="left" w:pos="8222"/>
        </w:tabs>
        <w:spacing w:after="0" w:line="360" w:lineRule="auto"/>
        <w:ind w:left="567" w:right="616"/>
        <w:jc w:val="both"/>
        <w:rPr>
          <w:rFonts w:ascii="Arial" w:hAnsi="Arial" w:cs="Arial"/>
          <w:sz w:val="20"/>
          <w:szCs w:val="20"/>
        </w:rPr>
      </w:pPr>
      <w:r w:rsidRPr="008337DF">
        <w:rPr>
          <w:rFonts w:ascii="Arial" w:hAnsi="Arial" w:cs="Arial"/>
          <w:sz w:val="20"/>
          <w:szCs w:val="20"/>
        </w:rPr>
        <w:t xml:space="preserve">     </w:t>
      </w:r>
      <w:proofErr w:type="gramStart"/>
      <w:r w:rsidRPr="008337DF">
        <w:rPr>
          <w:rFonts w:ascii="Arial" w:hAnsi="Arial" w:cs="Arial"/>
          <w:sz w:val="20"/>
          <w:szCs w:val="20"/>
        </w:rPr>
        <w:t>4.°</w:t>
      </w:r>
      <w:proofErr w:type="gramEnd"/>
      <w:r w:rsidRPr="008337DF">
        <w:rPr>
          <w:rFonts w:ascii="Arial" w:hAnsi="Arial" w:cs="Arial"/>
          <w:sz w:val="20"/>
          <w:szCs w:val="20"/>
        </w:rPr>
        <w:t xml:space="preserve"> Los padres i los hijos naturales.</w:t>
      </w:r>
    </w:p>
    <w:p w:rsidR="00AD5C9E" w:rsidRPr="008337DF" w:rsidRDefault="00AD5C9E" w:rsidP="00AD5C9E">
      <w:pPr>
        <w:tabs>
          <w:tab w:val="left" w:pos="8222"/>
        </w:tabs>
        <w:spacing w:after="0" w:line="360" w:lineRule="auto"/>
        <w:ind w:left="567" w:right="616"/>
        <w:jc w:val="both"/>
        <w:rPr>
          <w:rFonts w:ascii="Arial" w:hAnsi="Arial" w:cs="Arial"/>
          <w:sz w:val="20"/>
          <w:szCs w:val="20"/>
        </w:rPr>
      </w:pPr>
      <w:r w:rsidRPr="008337DF">
        <w:rPr>
          <w:rFonts w:ascii="Arial" w:hAnsi="Arial" w:cs="Arial"/>
          <w:sz w:val="20"/>
          <w:szCs w:val="20"/>
        </w:rPr>
        <w:t xml:space="preserve">     </w:t>
      </w:r>
      <w:proofErr w:type="gramStart"/>
      <w:r w:rsidRPr="008337DF">
        <w:rPr>
          <w:rFonts w:ascii="Arial" w:hAnsi="Arial" w:cs="Arial"/>
          <w:sz w:val="20"/>
          <w:szCs w:val="20"/>
        </w:rPr>
        <w:t>5.°</w:t>
      </w:r>
      <w:proofErr w:type="gramEnd"/>
      <w:r w:rsidRPr="008337DF">
        <w:rPr>
          <w:rFonts w:ascii="Arial" w:hAnsi="Arial" w:cs="Arial"/>
          <w:sz w:val="20"/>
          <w:szCs w:val="20"/>
        </w:rPr>
        <w:t xml:space="preserve"> Los </w:t>
      </w:r>
      <w:proofErr w:type="spellStart"/>
      <w:r w:rsidRPr="008337DF">
        <w:rPr>
          <w:rFonts w:ascii="Arial" w:hAnsi="Arial" w:cs="Arial"/>
          <w:sz w:val="20"/>
          <w:szCs w:val="20"/>
        </w:rPr>
        <w:t>cónyujes</w:t>
      </w:r>
      <w:proofErr w:type="spellEnd"/>
      <w:r w:rsidRPr="008337DF">
        <w:rPr>
          <w:rFonts w:ascii="Arial" w:hAnsi="Arial" w:cs="Arial"/>
          <w:sz w:val="20"/>
          <w:szCs w:val="20"/>
        </w:rPr>
        <w:t>.</w:t>
      </w:r>
    </w:p>
    <w:p w:rsidR="00AD5C9E" w:rsidRPr="008337DF" w:rsidRDefault="00AD5C9E" w:rsidP="00AD5C9E">
      <w:pPr>
        <w:tabs>
          <w:tab w:val="left" w:pos="8222"/>
        </w:tabs>
        <w:spacing w:after="0" w:line="360" w:lineRule="auto"/>
        <w:ind w:left="567" w:right="616"/>
        <w:jc w:val="both"/>
        <w:rPr>
          <w:rFonts w:ascii="Arial" w:hAnsi="Arial" w:cs="Arial"/>
          <w:sz w:val="20"/>
          <w:szCs w:val="20"/>
        </w:rPr>
      </w:pPr>
      <w:r w:rsidRPr="008337DF">
        <w:rPr>
          <w:rFonts w:ascii="Arial" w:hAnsi="Arial" w:cs="Arial"/>
          <w:sz w:val="20"/>
          <w:szCs w:val="20"/>
        </w:rPr>
        <w:t xml:space="preserve">  La </w:t>
      </w:r>
      <w:proofErr w:type="spellStart"/>
      <w:r w:rsidRPr="008337DF">
        <w:rPr>
          <w:rFonts w:ascii="Arial" w:hAnsi="Arial" w:cs="Arial"/>
          <w:sz w:val="20"/>
          <w:szCs w:val="20"/>
        </w:rPr>
        <w:t>escepcion</w:t>
      </w:r>
      <w:proofErr w:type="spellEnd"/>
      <w:r w:rsidRPr="008337DF">
        <w:rPr>
          <w:rFonts w:ascii="Arial" w:hAnsi="Arial" w:cs="Arial"/>
          <w:sz w:val="20"/>
          <w:szCs w:val="20"/>
        </w:rPr>
        <w:t xml:space="preserve"> de este artículo no es aplicable a los </w:t>
      </w:r>
      <w:proofErr w:type="spellStart"/>
      <w:r w:rsidRPr="008337DF">
        <w:rPr>
          <w:rFonts w:ascii="Arial" w:hAnsi="Arial" w:cs="Arial"/>
          <w:sz w:val="20"/>
          <w:szCs w:val="20"/>
        </w:rPr>
        <w:t>estraños</w:t>
      </w:r>
      <w:proofErr w:type="spellEnd"/>
      <w:r w:rsidRPr="008337DF">
        <w:rPr>
          <w:rFonts w:ascii="Arial" w:hAnsi="Arial" w:cs="Arial"/>
          <w:sz w:val="20"/>
          <w:szCs w:val="20"/>
        </w:rPr>
        <w:t xml:space="preserve"> que participaren del delito.”</w:t>
      </w:r>
      <w:r w:rsidR="00545F23">
        <w:rPr>
          <w:rStyle w:val="Refdenotaalpie"/>
          <w:rFonts w:ascii="Arial" w:hAnsi="Arial" w:cs="Arial"/>
          <w:sz w:val="20"/>
          <w:szCs w:val="20"/>
        </w:rPr>
        <w:footnoteReference w:id="1"/>
      </w:r>
    </w:p>
    <w:p w:rsidR="00AD5C9E" w:rsidRPr="00AD5C9E" w:rsidRDefault="00AD5C9E" w:rsidP="00AD5C9E">
      <w:pPr>
        <w:tabs>
          <w:tab w:val="left" w:pos="8222"/>
        </w:tabs>
        <w:spacing w:after="0" w:line="360" w:lineRule="auto"/>
        <w:ind w:left="567" w:right="616"/>
        <w:jc w:val="both"/>
        <w:rPr>
          <w:rFonts w:ascii="Arial" w:hAnsi="Arial" w:cs="Arial"/>
          <w:color w:val="FF0000"/>
          <w:sz w:val="20"/>
          <w:szCs w:val="20"/>
        </w:rPr>
      </w:pPr>
    </w:p>
    <w:p w:rsidR="00AD5C9E" w:rsidRDefault="00AD5C9E" w:rsidP="00AD5C9E">
      <w:pPr>
        <w:spacing w:line="360" w:lineRule="auto"/>
        <w:jc w:val="both"/>
        <w:rPr>
          <w:rFonts w:ascii="Arial" w:hAnsi="Arial" w:cs="Arial"/>
          <w:sz w:val="24"/>
          <w:szCs w:val="24"/>
        </w:rPr>
      </w:pPr>
      <w:r>
        <w:rPr>
          <w:rFonts w:ascii="Arial" w:hAnsi="Arial" w:cs="Arial"/>
          <w:sz w:val="24"/>
          <w:szCs w:val="24"/>
        </w:rPr>
        <w:t xml:space="preserve">El profesor Sergio </w:t>
      </w:r>
      <w:proofErr w:type="spellStart"/>
      <w:r>
        <w:rPr>
          <w:rFonts w:ascii="Arial" w:hAnsi="Arial" w:cs="Arial"/>
          <w:sz w:val="24"/>
          <w:szCs w:val="24"/>
        </w:rPr>
        <w:t>Politoff</w:t>
      </w:r>
      <w:proofErr w:type="spellEnd"/>
      <w:r>
        <w:rPr>
          <w:rFonts w:ascii="Arial" w:hAnsi="Arial" w:cs="Arial"/>
          <w:sz w:val="24"/>
          <w:szCs w:val="24"/>
        </w:rPr>
        <w:t xml:space="preserve">, señala en relación a las excusas legales absolutorias que: </w:t>
      </w:r>
    </w:p>
    <w:p w:rsidR="00AD5C9E" w:rsidRPr="00AD5C9E" w:rsidRDefault="00AD5C9E" w:rsidP="00AD5C9E">
      <w:pPr>
        <w:spacing w:line="360" w:lineRule="auto"/>
        <w:ind w:left="567" w:right="616"/>
        <w:jc w:val="both"/>
        <w:rPr>
          <w:rFonts w:ascii="Arial" w:hAnsi="Arial" w:cs="Arial"/>
          <w:sz w:val="20"/>
          <w:szCs w:val="20"/>
        </w:rPr>
      </w:pPr>
      <w:r w:rsidRPr="00AD5C9E">
        <w:rPr>
          <w:rFonts w:ascii="Arial" w:hAnsi="Arial" w:cs="Arial"/>
          <w:sz w:val="20"/>
          <w:szCs w:val="20"/>
        </w:rPr>
        <w:t>“(…) las llamadas excusas absolutorias son causales para prescindir de la pena, aunque el delito esté íntegro en sus ingredientes de tipicidad, injusto y culpabilidad, si está presente una determinada característica personal del actor (la que, por supuesto, sólo favorece a éste y no a los demás partícipes).</w:t>
      </w:r>
    </w:p>
    <w:p w:rsidR="004C0F8F" w:rsidRDefault="00AD5C9E" w:rsidP="00AD5C9E">
      <w:pPr>
        <w:spacing w:line="360" w:lineRule="auto"/>
        <w:ind w:left="567" w:right="616"/>
        <w:jc w:val="both"/>
        <w:rPr>
          <w:rFonts w:ascii="Arial" w:hAnsi="Arial" w:cs="Arial"/>
          <w:sz w:val="20"/>
          <w:szCs w:val="20"/>
        </w:rPr>
      </w:pPr>
      <w:r w:rsidRPr="00AD5C9E">
        <w:rPr>
          <w:rFonts w:ascii="Arial" w:hAnsi="Arial" w:cs="Arial"/>
          <w:sz w:val="20"/>
          <w:szCs w:val="20"/>
        </w:rPr>
        <w:t>Tanto las condiciones objetivas de punibilidad como las excusas absolutorias tienen un fundamento puramente utilitario de política criminal</w:t>
      </w:r>
      <w:r>
        <w:rPr>
          <w:rFonts w:ascii="Arial" w:hAnsi="Arial" w:cs="Arial"/>
          <w:sz w:val="20"/>
          <w:szCs w:val="20"/>
        </w:rPr>
        <w:t>.</w:t>
      </w:r>
      <w:r w:rsidRPr="00AD5C9E">
        <w:rPr>
          <w:rFonts w:ascii="Arial" w:hAnsi="Arial" w:cs="Arial"/>
          <w:sz w:val="20"/>
          <w:szCs w:val="20"/>
        </w:rPr>
        <w:t>”</w:t>
      </w:r>
      <w:r w:rsidR="00545F23">
        <w:rPr>
          <w:rStyle w:val="Refdenotaalpie"/>
          <w:rFonts w:ascii="Arial" w:hAnsi="Arial" w:cs="Arial"/>
          <w:sz w:val="20"/>
          <w:szCs w:val="20"/>
        </w:rPr>
        <w:footnoteReference w:id="2"/>
      </w:r>
    </w:p>
    <w:p w:rsidR="00AD5C9E" w:rsidRDefault="00AD5C9E" w:rsidP="00F1348B">
      <w:pPr>
        <w:spacing w:line="360" w:lineRule="auto"/>
        <w:ind w:right="49"/>
        <w:jc w:val="both"/>
        <w:rPr>
          <w:rFonts w:ascii="Arial" w:hAnsi="Arial" w:cs="Arial"/>
          <w:sz w:val="24"/>
          <w:szCs w:val="24"/>
        </w:rPr>
      </w:pPr>
      <w:r w:rsidRPr="00AD5C9E">
        <w:rPr>
          <w:rFonts w:ascii="Arial" w:hAnsi="Arial" w:cs="Arial"/>
          <w:sz w:val="24"/>
          <w:szCs w:val="24"/>
        </w:rPr>
        <w:t>Lo anterior implica que</w:t>
      </w:r>
      <w:r w:rsidR="00F1348B">
        <w:rPr>
          <w:rFonts w:ascii="Arial" w:hAnsi="Arial" w:cs="Arial"/>
          <w:sz w:val="24"/>
          <w:szCs w:val="24"/>
        </w:rPr>
        <w:t>,</w:t>
      </w:r>
      <w:r w:rsidRPr="00AD5C9E">
        <w:rPr>
          <w:rFonts w:ascii="Arial" w:hAnsi="Arial" w:cs="Arial"/>
          <w:sz w:val="24"/>
          <w:szCs w:val="24"/>
        </w:rPr>
        <w:t xml:space="preserve"> </w:t>
      </w:r>
      <w:r w:rsidR="00F1348B">
        <w:rPr>
          <w:rFonts w:ascii="Arial" w:hAnsi="Arial" w:cs="Arial"/>
          <w:sz w:val="24"/>
          <w:szCs w:val="24"/>
        </w:rPr>
        <w:t>en teoría, debiera procederse a la investigación del delito hasta acreditarse la existencia del delito y, sólo posteriormente, descartar la responsabilidad penal del ofensor por concurrir la exención del artículo 489.</w:t>
      </w:r>
    </w:p>
    <w:p w:rsidR="00F1348B" w:rsidRDefault="00F1348B" w:rsidP="00F1348B">
      <w:pPr>
        <w:spacing w:line="360" w:lineRule="auto"/>
        <w:ind w:right="49"/>
        <w:jc w:val="both"/>
        <w:rPr>
          <w:rFonts w:ascii="Arial" w:hAnsi="Arial" w:cs="Arial"/>
          <w:sz w:val="24"/>
          <w:szCs w:val="24"/>
        </w:rPr>
      </w:pPr>
      <w:r>
        <w:rPr>
          <w:rFonts w:ascii="Arial" w:hAnsi="Arial" w:cs="Arial"/>
          <w:sz w:val="24"/>
          <w:szCs w:val="24"/>
        </w:rPr>
        <w:t>La Corte Suprema, al respecto, ha señalado que:</w:t>
      </w:r>
    </w:p>
    <w:p w:rsidR="00F1348B" w:rsidRPr="00F1348B" w:rsidRDefault="00F1348B" w:rsidP="00DA484F">
      <w:pPr>
        <w:spacing w:before="240" w:after="0" w:line="360" w:lineRule="auto"/>
        <w:ind w:left="567" w:right="616"/>
        <w:jc w:val="both"/>
        <w:rPr>
          <w:rFonts w:ascii="Arial" w:hAnsi="Arial" w:cs="Arial"/>
          <w:sz w:val="20"/>
          <w:szCs w:val="20"/>
        </w:rPr>
      </w:pPr>
      <w:r w:rsidRPr="00F1348B">
        <w:rPr>
          <w:rFonts w:ascii="Arial" w:hAnsi="Arial" w:cs="Arial"/>
          <w:sz w:val="20"/>
          <w:szCs w:val="20"/>
        </w:rPr>
        <w:lastRenderedPageBreak/>
        <w:t>Una excusa legal absolutoria, pues, lejos de impedir la existencia de un delito, la supone y la</w:t>
      </w:r>
      <w:r>
        <w:rPr>
          <w:rFonts w:ascii="Arial" w:hAnsi="Arial" w:cs="Arial"/>
          <w:sz w:val="20"/>
          <w:szCs w:val="20"/>
        </w:rPr>
        <w:t xml:space="preserve"> </w:t>
      </w:r>
      <w:r w:rsidRPr="00F1348B">
        <w:rPr>
          <w:rFonts w:ascii="Arial" w:hAnsi="Arial" w:cs="Arial"/>
          <w:sz w:val="20"/>
          <w:szCs w:val="20"/>
        </w:rPr>
        <w:t>exige para poder ser aplicada. En el caso que se investiga, debe primero establecerse si existe</w:t>
      </w:r>
      <w:r>
        <w:rPr>
          <w:rFonts w:ascii="Arial" w:hAnsi="Arial" w:cs="Arial"/>
          <w:sz w:val="20"/>
          <w:szCs w:val="20"/>
        </w:rPr>
        <w:t xml:space="preserve"> </w:t>
      </w:r>
      <w:r w:rsidRPr="00F1348B">
        <w:rPr>
          <w:rFonts w:ascii="Arial" w:hAnsi="Arial" w:cs="Arial"/>
          <w:sz w:val="20"/>
          <w:szCs w:val="20"/>
        </w:rPr>
        <w:t>efectivamente un delito de apropiación indebida o de administración fraudulenta, y sólo en caso de que ello</w:t>
      </w:r>
      <w:r>
        <w:rPr>
          <w:rFonts w:ascii="Arial" w:hAnsi="Arial" w:cs="Arial"/>
          <w:sz w:val="20"/>
          <w:szCs w:val="20"/>
        </w:rPr>
        <w:t xml:space="preserve"> </w:t>
      </w:r>
      <w:r w:rsidRPr="00F1348B">
        <w:rPr>
          <w:rFonts w:ascii="Arial" w:hAnsi="Arial" w:cs="Arial"/>
          <w:sz w:val="20"/>
          <w:szCs w:val="20"/>
        </w:rPr>
        <w:t>sea establecido, corresponderá analizar si la excusa legal absolutoria del artículo 489 es aplicable al autor de</w:t>
      </w:r>
      <w:r>
        <w:rPr>
          <w:rFonts w:ascii="Arial" w:hAnsi="Arial" w:cs="Arial"/>
          <w:sz w:val="20"/>
          <w:szCs w:val="20"/>
        </w:rPr>
        <w:t xml:space="preserve"> </w:t>
      </w:r>
      <w:r w:rsidRPr="00F1348B">
        <w:rPr>
          <w:rFonts w:ascii="Arial" w:hAnsi="Arial" w:cs="Arial"/>
          <w:sz w:val="20"/>
          <w:szCs w:val="20"/>
        </w:rPr>
        <w:t>tal delito. Antes de ello, nada hay que excusar y ninguna responsabilidad penal debe ser absuelta. Siendo</w:t>
      </w:r>
      <w:r>
        <w:rPr>
          <w:rFonts w:ascii="Arial" w:hAnsi="Arial" w:cs="Arial"/>
          <w:sz w:val="20"/>
          <w:szCs w:val="20"/>
        </w:rPr>
        <w:t xml:space="preserve"> </w:t>
      </w:r>
      <w:r w:rsidRPr="00F1348B">
        <w:rPr>
          <w:rFonts w:ascii="Arial" w:hAnsi="Arial" w:cs="Arial"/>
          <w:sz w:val="20"/>
          <w:szCs w:val="20"/>
        </w:rPr>
        <w:t>aún más claro, la verdad es que una excusa legal absolutoria no puede dar lugar a un sobreseimiento</w:t>
      </w:r>
      <w:r>
        <w:rPr>
          <w:rFonts w:ascii="Arial" w:hAnsi="Arial" w:cs="Arial"/>
          <w:sz w:val="20"/>
          <w:szCs w:val="20"/>
        </w:rPr>
        <w:t xml:space="preserve"> </w:t>
      </w:r>
      <w:r w:rsidRPr="00F1348B">
        <w:rPr>
          <w:rFonts w:ascii="Arial" w:hAnsi="Arial" w:cs="Arial"/>
          <w:sz w:val="20"/>
          <w:szCs w:val="20"/>
        </w:rPr>
        <w:t>definitivo en ningún caso, dado que sólo puede ser aplicada cuando mediante sentencia se ha declarado la</w:t>
      </w:r>
      <w:r>
        <w:rPr>
          <w:rFonts w:ascii="Arial" w:hAnsi="Arial" w:cs="Arial"/>
          <w:sz w:val="20"/>
          <w:szCs w:val="20"/>
        </w:rPr>
        <w:t xml:space="preserve"> </w:t>
      </w:r>
      <w:r w:rsidRPr="00F1348B">
        <w:rPr>
          <w:rFonts w:ascii="Arial" w:hAnsi="Arial" w:cs="Arial"/>
          <w:sz w:val="20"/>
          <w:szCs w:val="20"/>
        </w:rPr>
        <w:t>existencia del delito</w:t>
      </w:r>
      <w:r w:rsidR="00545F23">
        <w:rPr>
          <w:rStyle w:val="Refdenotaalpie"/>
          <w:rFonts w:ascii="Arial" w:hAnsi="Arial" w:cs="Arial"/>
          <w:sz w:val="20"/>
          <w:szCs w:val="20"/>
        </w:rPr>
        <w:footnoteReference w:id="3"/>
      </w:r>
      <w:r w:rsidRPr="00F1348B">
        <w:rPr>
          <w:rFonts w:ascii="Arial" w:hAnsi="Arial" w:cs="Arial"/>
          <w:sz w:val="20"/>
          <w:szCs w:val="20"/>
        </w:rPr>
        <w:t>.</w:t>
      </w:r>
    </w:p>
    <w:p w:rsidR="00AD5C9E" w:rsidRDefault="00DA484F" w:rsidP="00DA484F">
      <w:pPr>
        <w:spacing w:before="240" w:line="360" w:lineRule="auto"/>
        <w:jc w:val="both"/>
        <w:rPr>
          <w:rFonts w:ascii="Arial" w:hAnsi="Arial" w:cs="Arial"/>
          <w:sz w:val="24"/>
          <w:szCs w:val="24"/>
        </w:rPr>
      </w:pPr>
      <w:r>
        <w:rPr>
          <w:rFonts w:ascii="Arial" w:hAnsi="Arial" w:cs="Arial"/>
          <w:sz w:val="24"/>
          <w:szCs w:val="24"/>
        </w:rPr>
        <w:t xml:space="preserve">Sin embargo, lo que ocurre en la práctica, es que dichos actos no son investigados por el Ministerio Público, que los Juzgados de Garantía dictan sobreseimiento definitivo haciendo aplicable </w:t>
      </w:r>
      <w:r w:rsidRPr="00DA484F">
        <w:rPr>
          <w:rFonts w:ascii="Arial" w:hAnsi="Arial" w:cs="Arial"/>
          <w:i/>
          <w:sz w:val="24"/>
          <w:szCs w:val="24"/>
        </w:rPr>
        <w:t>a priori</w:t>
      </w:r>
      <w:r>
        <w:rPr>
          <w:rFonts w:ascii="Arial" w:hAnsi="Arial" w:cs="Arial"/>
          <w:i/>
          <w:sz w:val="24"/>
          <w:szCs w:val="24"/>
        </w:rPr>
        <w:t xml:space="preserve"> </w:t>
      </w:r>
      <w:r>
        <w:rPr>
          <w:rFonts w:ascii="Arial" w:hAnsi="Arial" w:cs="Arial"/>
          <w:sz w:val="24"/>
          <w:szCs w:val="24"/>
        </w:rPr>
        <w:t>la excusa legal absolutoria y dejando sólo en manos de la víctima hacer efectiva o no la responsabilidad civil por los hechos denunciados.</w:t>
      </w:r>
    </w:p>
    <w:p w:rsidR="00DA484F" w:rsidRDefault="00DA484F" w:rsidP="00DA484F">
      <w:pPr>
        <w:spacing w:before="240" w:line="360" w:lineRule="auto"/>
        <w:jc w:val="both"/>
        <w:rPr>
          <w:rFonts w:ascii="Arial" w:hAnsi="Arial" w:cs="Arial"/>
          <w:sz w:val="24"/>
          <w:szCs w:val="24"/>
        </w:rPr>
      </w:pPr>
      <w:r>
        <w:rPr>
          <w:rFonts w:ascii="Arial" w:hAnsi="Arial" w:cs="Arial"/>
          <w:sz w:val="24"/>
          <w:szCs w:val="24"/>
        </w:rPr>
        <w:t>Esta situación es absolutamente arbitraria, puesto que no existe una justificación razonable que, en la actualidad, impida la persecución penal de delitos de carácter económico en contra de parientes.</w:t>
      </w:r>
    </w:p>
    <w:p w:rsidR="00DA484F" w:rsidRDefault="00DA484F" w:rsidP="00DA484F">
      <w:pPr>
        <w:spacing w:before="240" w:line="360" w:lineRule="auto"/>
        <w:jc w:val="both"/>
        <w:rPr>
          <w:rFonts w:ascii="Arial" w:hAnsi="Arial" w:cs="Arial"/>
          <w:sz w:val="24"/>
          <w:szCs w:val="24"/>
        </w:rPr>
      </w:pPr>
      <w:r>
        <w:rPr>
          <w:rFonts w:ascii="Arial" w:hAnsi="Arial" w:cs="Arial"/>
          <w:sz w:val="24"/>
          <w:szCs w:val="24"/>
        </w:rPr>
        <w:t>Menos aún, cuando las teorías sobre la violencia en el ámbito intrafamiliar, ya han incorporado como una de sus manifestaciones la violencia económica y el control sobre los bienes, ingresos y gastos de la víctima.</w:t>
      </w:r>
    </w:p>
    <w:p w:rsidR="00DA484F" w:rsidRDefault="00DA484F" w:rsidP="00DA484F">
      <w:pPr>
        <w:spacing w:before="240" w:line="360" w:lineRule="auto"/>
        <w:jc w:val="both"/>
        <w:rPr>
          <w:rFonts w:ascii="Arial" w:hAnsi="Arial" w:cs="Arial"/>
          <w:sz w:val="24"/>
          <w:szCs w:val="24"/>
        </w:rPr>
      </w:pPr>
      <w:r>
        <w:rPr>
          <w:rFonts w:ascii="Arial" w:hAnsi="Arial" w:cs="Arial"/>
          <w:sz w:val="24"/>
          <w:szCs w:val="24"/>
        </w:rPr>
        <w:t>La Convención de Belém do Pará</w:t>
      </w:r>
      <w:r w:rsidRPr="00DA484F">
        <w:rPr>
          <w:rFonts w:ascii="Arial" w:hAnsi="Arial" w:cs="Arial"/>
          <w:sz w:val="24"/>
          <w:szCs w:val="24"/>
        </w:rPr>
        <w:t>,</w:t>
      </w:r>
      <w:r>
        <w:rPr>
          <w:rFonts w:ascii="Arial" w:hAnsi="Arial" w:cs="Arial"/>
          <w:sz w:val="24"/>
          <w:szCs w:val="24"/>
        </w:rPr>
        <w:t xml:space="preserve"> ratificada por Chile en el año 1996,</w:t>
      </w:r>
      <w:r w:rsidRPr="00DA484F">
        <w:rPr>
          <w:rFonts w:ascii="Arial" w:hAnsi="Arial" w:cs="Arial"/>
          <w:sz w:val="24"/>
          <w:szCs w:val="24"/>
        </w:rPr>
        <w:t xml:space="preserve"> incorpora la afectación de los derechos económicos como parte del concepto de violencia. En su Artículo 5 establece que </w:t>
      </w:r>
      <w:r w:rsidRPr="00DA484F">
        <w:rPr>
          <w:rFonts w:ascii="Arial" w:hAnsi="Arial" w:cs="Arial"/>
          <w:i/>
          <w:sz w:val="24"/>
          <w:szCs w:val="24"/>
        </w:rPr>
        <w:t xml:space="preserve">“toda mujer podrá ejercer libre y plenamente sus derechos civiles, políticos, </w:t>
      </w:r>
      <w:r w:rsidRPr="00DA484F">
        <w:rPr>
          <w:rFonts w:ascii="Arial" w:hAnsi="Arial" w:cs="Arial"/>
          <w:i/>
          <w:sz w:val="24"/>
          <w:szCs w:val="24"/>
          <w:u w:val="single"/>
        </w:rPr>
        <w:t>económicos</w:t>
      </w:r>
      <w:r w:rsidRPr="00DA484F">
        <w:rPr>
          <w:rFonts w:ascii="Arial" w:hAnsi="Arial" w:cs="Arial"/>
          <w:i/>
          <w:sz w:val="24"/>
          <w:szCs w:val="24"/>
        </w:rPr>
        <w:t>, sociales y culturales y contará con la total protección de esos derechos consagrados en los instrumentos regionales e internacionales sobre derechos humanos. Los estados partes reconocen que la violencia contra la mujer impide y anula el ejercicio de esos derechos”</w:t>
      </w:r>
      <w:r w:rsidRPr="00DA484F">
        <w:rPr>
          <w:rFonts w:ascii="Arial" w:hAnsi="Arial" w:cs="Arial"/>
          <w:sz w:val="24"/>
          <w:szCs w:val="24"/>
        </w:rPr>
        <w:t>.</w:t>
      </w:r>
    </w:p>
    <w:p w:rsidR="008337DF" w:rsidRPr="008337DF" w:rsidRDefault="00DA484F" w:rsidP="008337DF">
      <w:pPr>
        <w:spacing w:before="240" w:line="360" w:lineRule="auto"/>
        <w:jc w:val="both"/>
        <w:rPr>
          <w:rFonts w:ascii="inherit" w:eastAsia="Times New Roman" w:hAnsi="inherit" w:cs="Arial"/>
          <w:color w:val="2A2D2D"/>
          <w:sz w:val="21"/>
          <w:szCs w:val="21"/>
          <w:lang w:eastAsia="es-CL"/>
        </w:rPr>
      </w:pPr>
      <w:r>
        <w:rPr>
          <w:rFonts w:ascii="Arial" w:hAnsi="Arial" w:cs="Arial"/>
          <w:sz w:val="24"/>
          <w:szCs w:val="24"/>
        </w:rPr>
        <w:t>Lamentablemente, la noción de violencia económica no ha sido incorporada a nivel conceptual en nuestra legislación, lo que ha dado pie a escasa legislación sobre el tema. Sin embargo, en otros países latinoamericanos, esto ya se ha incorporado en las legislaciones internas. Es el caso de Perú, que en la Ley 30.364 define violenc</w:t>
      </w:r>
      <w:r w:rsidR="008337DF">
        <w:rPr>
          <w:rFonts w:ascii="Arial" w:hAnsi="Arial" w:cs="Arial"/>
          <w:sz w:val="24"/>
          <w:szCs w:val="24"/>
        </w:rPr>
        <w:t xml:space="preserve">ia económica como </w:t>
      </w:r>
      <w:r w:rsidR="008337DF" w:rsidRPr="008337DF">
        <w:rPr>
          <w:rFonts w:ascii="Arial" w:hAnsi="Arial" w:cs="Arial"/>
          <w:i/>
          <w:sz w:val="24"/>
          <w:szCs w:val="24"/>
        </w:rPr>
        <w:t>“la acción u omisión que se dirige a ocasionar un menoscabo en los recursos económicos o patrimoniales de cualquier persona”</w:t>
      </w:r>
      <w:r w:rsidR="008337DF">
        <w:rPr>
          <w:rFonts w:ascii="Arial" w:hAnsi="Arial" w:cs="Arial"/>
          <w:i/>
          <w:sz w:val="24"/>
          <w:szCs w:val="24"/>
        </w:rPr>
        <w:t xml:space="preserve"> </w:t>
      </w:r>
      <w:r w:rsidR="008337DF" w:rsidRPr="008337DF">
        <w:rPr>
          <w:rFonts w:ascii="Arial" w:hAnsi="Arial" w:cs="Arial"/>
          <w:sz w:val="24"/>
          <w:szCs w:val="24"/>
        </w:rPr>
        <w:t xml:space="preserve">y que </w:t>
      </w:r>
      <w:r w:rsidR="008337DF" w:rsidRPr="008337DF">
        <w:rPr>
          <w:rFonts w:ascii="Arial" w:hAnsi="Arial" w:cs="Arial"/>
          <w:i/>
          <w:sz w:val="24"/>
          <w:szCs w:val="24"/>
        </w:rPr>
        <w:t>“[s]</w:t>
      </w:r>
      <w:proofErr w:type="spellStart"/>
      <w:r w:rsidR="008337DF" w:rsidRPr="008337DF">
        <w:rPr>
          <w:rFonts w:ascii="Arial" w:eastAsia="Times New Roman" w:hAnsi="Arial" w:cs="Arial"/>
          <w:i/>
          <w:color w:val="2A2D2D"/>
          <w:sz w:val="24"/>
          <w:szCs w:val="24"/>
          <w:lang w:eastAsia="es-CL"/>
        </w:rPr>
        <w:t>egún</w:t>
      </w:r>
      <w:proofErr w:type="spellEnd"/>
      <w:r w:rsidR="008337DF" w:rsidRPr="008337DF">
        <w:rPr>
          <w:rFonts w:ascii="Arial" w:eastAsia="Times New Roman" w:hAnsi="Arial" w:cs="Arial"/>
          <w:i/>
          <w:color w:val="2A2D2D"/>
          <w:sz w:val="24"/>
          <w:szCs w:val="24"/>
          <w:lang w:eastAsia="es-CL"/>
        </w:rPr>
        <w:t xml:space="preserve"> la ley, puede tener las siguientes manifestaciones: </w:t>
      </w:r>
      <w:r w:rsidR="008337DF" w:rsidRPr="008337DF">
        <w:rPr>
          <w:rFonts w:ascii="Arial" w:eastAsia="Times New Roman" w:hAnsi="Arial" w:cs="Arial"/>
          <w:i/>
          <w:color w:val="2A2D2D"/>
          <w:sz w:val="24"/>
          <w:szCs w:val="24"/>
          <w:lang w:eastAsia="es-CL"/>
        </w:rPr>
        <w:lastRenderedPageBreak/>
        <w:t>Perturbación de la posesión, tenencia o propiedad de sus bienes; pérdida, sustracción, destrucción, retención o apropiación indebida de bienes o derechos patrimoniales; limitación de los recursos económicos destinados a satisfacer necesidades; evasión del cumplimiento de las obligaciones alimentarias; Limitación o control de los ingresos; y percepción de un salario menor por igual tarea, dentro de un mismo lugar de trabajo”</w:t>
      </w:r>
      <w:r w:rsidR="00545F23">
        <w:rPr>
          <w:rStyle w:val="Refdenotaalpie"/>
          <w:rFonts w:ascii="Arial" w:eastAsia="Times New Roman" w:hAnsi="Arial" w:cs="Arial"/>
          <w:i/>
          <w:color w:val="2A2D2D"/>
          <w:sz w:val="24"/>
          <w:szCs w:val="24"/>
          <w:lang w:eastAsia="es-CL"/>
        </w:rPr>
        <w:footnoteReference w:id="4"/>
      </w:r>
      <w:r w:rsidR="008337DF">
        <w:rPr>
          <w:rFonts w:ascii="Arial" w:eastAsia="Times New Roman" w:hAnsi="Arial" w:cs="Arial"/>
          <w:color w:val="2A2D2D"/>
          <w:sz w:val="24"/>
          <w:szCs w:val="24"/>
          <w:lang w:eastAsia="es-CL"/>
        </w:rPr>
        <w:t>.</w:t>
      </w:r>
    </w:p>
    <w:p w:rsidR="008337DF" w:rsidRDefault="008337DF" w:rsidP="00DA484F">
      <w:pPr>
        <w:spacing w:before="240" w:line="360" w:lineRule="auto"/>
        <w:jc w:val="both"/>
        <w:rPr>
          <w:rFonts w:ascii="Arial" w:hAnsi="Arial" w:cs="Arial"/>
          <w:i/>
          <w:sz w:val="24"/>
          <w:szCs w:val="24"/>
        </w:rPr>
      </w:pPr>
      <w:r>
        <w:rPr>
          <w:rFonts w:ascii="Arial" w:hAnsi="Arial" w:cs="Arial"/>
          <w:sz w:val="24"/>
          <w:szCs w:val="24"/>
        </w:rPr>
        <w:t xml:space="preserve">En Colombia, </w:t>
      </w:r>
      <w:r w:rsidRPr="008337DF">
        <w:rPr>
          <w:rFonts w:ascii="Arial" w:hAnsi="Arial" w:cs="Arial"/>
          <w:i/>
          <w:sz w:val="24"/>
          <w:szCs w:val="24"/>
        </w:rPr>
        <w:t>“la ley 1257 de 2008, […]</w:t>
      </w:r>
      <w:r>
        <w:rPr>
          <w:rFonts w:ascii="Arial" w:hAnsi="Arial" w:cs="Arial"/>
          <w:i/>
          <w:sz w:val="24"/>
          <w:szCs w:val="24"/>
        </w:rPr>
        <w:t xml:space="preserve"> </w:t>
      </w:r>
      <w:r w:rsidRPr="008337DF">
        <w:rPr>
          <w:rFonts w:ascii="Arial" w:hAnsi="Arial" w:cs="Arial"/>
          <w:i/>
          <w:sz w:val="24"/>
          <w:szCs w:val="24"/>
        </w:rPr>
        <w:t>contempla la violencia económica como “cualquier acción u omisión orientada al abuso económico, el control abusivo de las finanzas, recompensas o castigos monetarios a las mujeres por razón de su condición social, económica o política.”</w:t>
      </w:r>
      <w:r>
        <w:t xml:space="preserve">.   </w:t>
      </w:r>
      <w:r w:rsidRPr="008337DF">
        <w:rPr>
          <w:rFonts w:ascii="Arial" w:hAnsi="Arial" w:cs="Arial"/>
          <w:sz w:val="24"/>
          <w:szCs w:val="24"/>
        </w:rPr>
        <w:t>La misma ley establece el daño patrimonial con ocasión de la violencia como</w:t>
      </w:r>
      <w:r w:rsidRPr="008337DF">
        <w:t xml:space="preserve"> </w:t>
      </w:r>
      <w:r w:rsidRPr="008337DF">
        <w:rPr>
          <w:rFonts w:ascii="Arial" w:hAnsi="Arial" w:cs="Arial"/>
          <w:i/>
          <w:sz w:val="24"/>
          <w:szCs w:val="24"/>
        </w:rPr>
        <w:t>“la pérdida, transformación, sustracción, destrucción, retención o distracción de objetos, instrumentos de trabajo, documentos personales, bienes, valores, derechos o económicos destinados a satisfacer las necesidades de la mujer</w:t>
      </w:r>
      <w:r>
        <w:rPr>
          <w:rFonts w:ascii="Arial" w:hAnsi="Arial" w:cs="Arial"/>
          <w:i/>
          <w:sz w:val="24"/>
          <w:szCs w:val="24"/>
        </w:rPr>
        <w:t>”</w:t>
      </w:r>
      <w:r w:rsidR="00545F23">
        <w:rPr>
          <w:rStyle w:val="Refdenotaalpie"/>
          <w:rFonts w:ascii="Arial" w:hAnsi="Arial" w:cs="Arial"/>
          <w:i/>
          <w:sz w:val="24"/>
          <w:szCs w:val="24"/>
        </w:rPr>
        <w:footnoteReference w:id="5"/>
      </w:r>
      <w:r>
        <w:rPr>
          <w:rFonts w:ascii="Arial" w:hAnsi="Arial" w:cs="Arial"/>
          <w:i/>
          <w:sz w:val="24"/>
          <w:szCs w:val="24"/>
        </w:rPr>
        <w:t>.</w:t>
      </w:r>
    </w:p>
    <w:p w:rsidR="008337DF" w:rsidRDefault="008337DF" w:rsidP="00DA484F">
      <w:pPr>
        <w:spacing w:before="240" w:line="360" w:lineRule="auto"/>
        <w:jc w:val="both"/>
        <w:rPr>
          <w:rFonts w:ascii="Arial" w:hAnsi="Arial" w:cs="Arial"/>
          <w:sz w:val="24"/>
          <w:szCs w:val="24"/>
        </w:rPr>
      </w:pPr>
      <w:r>
        <w:rPr>
          <w:rFonts w:ascii="Arial" w:hAnsi="Arial" w:cs="Arial"/>
          <w:sz w:val="24"/>
          <w:szCs w:val="24"/>
        </w:rPr>
        <w:t xml:space="preserve">En este sentido, la ocurrencia de actos de violencia intrafamiliar de carácter económico, es bastante frecuente. Un indiciario de ello, es la modificación que se realizó al mismo artículo en el año 2010, </w:t>
      </w:r>
      <w:r w:rsidR="00D46A85">
        <w:rPr>
          <w:rFonts w:ascii="Arial" w:hAnsi="Arial" w:cs="Arial"/>
          <w:sz w:val="24"/>
          <w:szCs w:val="24"/>
        </w:rPr>
        <w:t>con la ley 20.427, en que se incorporó</w:t>
      </w:r>
      <w:r w:rsidR="00D46A85" w:rsidRPr="00D46A85">
        <w:rPr>
          <w:rFonts w:ascii="Arial" w:hAnsi="Arial" w:cs="Arial"/>
          <w:sz w:val="24"/>
          <w:szCs w:val="24"/>
        </w:rPr>
        <w:t xml:space="preserve"> </w:t>
      </w:r>
      <w:r w:rsidR="00D46A85">
        <w:rPr>
          <w:rFonts w:ascii="Arial" w:hAnsi="Arial" w:cs="Arial"/>
          <w:sz w:val="24"/>
          <w:szCs w:val="24"/>
        </w:rPr>
        <w:t>el actual inciso tercero para proteger a las personas mayores de 60 años.</w:t>
      </w:r>
    </w:p>
    <w:p w:rsidR="00D46A85" w:rsidRDefault="00D46A85" w:rsidP="00DA484F">
      <w:pPr>
        <w:spacing w:before="240" w:line="360" w:lineRule="auto"/>
        <w:jc w:val="both"/>
        <w:rPr>
          <w:rFonts w:ascii="Arial" w:hAnsi="Arial" w:cs="Arial"/>
          <w:sz w:val="24"/>
          <w:szCs w:val="24"/>
        </w:rPr>
      </w:pPr>
      <w:r>
        <w:rPr>
          <w:rFonts w:ascii="Arial" w:hAnsi="Arial" w:cs="Arial"/>
          <w:sz w:val="24"/>
          <w:szCs w:val="24"/>
        </w:rPr>
        <w:t>Otro avance fue la aprobación en el mismo año 2010, con la ley 20.480, la excepción a la excusa legal absolutoria del artículo 489, al delito de daños producido entre cónyuge, por lo que se terminaba con la impunidad de dichos delitos.</w:t>
      </w:r>
    </w:p>
    <w:p w:rsidR="00D46A85" w:rsidRDefault="00D46A85" w:rsidP="00DA484F">
      <w:pPr>
        <w:spacing w:before="240" w:line="360" w:lineRule="auto"/>
        <w:jc w:val="both"/>
        <w:rPr>
          <w:rFonts w:ascii="Arial" w:hAnsi="Arial" w:cs="Arial"/>
          <w:sz w:val="24"/>
          <w:szCs w:val="24"/>
        </w:rPr>
      </w:pPr>
      <w:r>
        <w:rPr>
          <w:rFonts w:ascii="Arial" w:hAnsi="Arial" w:cs="Arial"/>
          <w:sz w:val="24"/>
          <w:szCs w:val="24"/>
        </w:rPr>
        <w:t>Sin embargo, todavía existen distintas formas de violencia económica de carácter doméstico, que aún se encuentran impunes debido a esta exención de responsabilidad, las que no son concordantes con los instrumentos internacionales sobre violencia contra las mujeres que han sido ratificados por Chile.</w:t>
      </w:r>
    </w:p>
    <w:p w:rsidR="00D46A85" w:rsidRPr="008337DF" w:rsidRDefault="00D46A85" w:rsidP="00DA484F">
      <w:pPr>
        <w:spacing w:before="240" w:line="360" w:lineRule="auto"/>
        <w:jc w:val="both"/>
        <w:rPr>
          <w:rFonts w:ascii="Arial" w:hAnsi="Arial" w:cs="Arial"/>
          <w:sz w:val="24"/>
          <w:szCs w:val="24"/>
        </w:rPr>
      </w:pPr>
      <w:r>
        <w:rPr>
          <w:rFonts w:ascii="Arial" w:hAnsi="Arial" w:cs="Arial"/>
          <w:sz w:val="24"/>
          <w:szCs w:val="24"/>
        </w:rPr>
        <w:t>Además, se beneficiará con ello, no sólo a las mujeres, sino que a todas las personas en el ámbito familiar que sean afectadas por hurtos y defraudaciones, a fin de que se investiguen y se persigan dichos delitos.</w:t>
      </w:r>
    </w:p>
    <w:p w:rsidR="00DA484F" w:rsidRPr="007D531C" w:rsidRDefault="00DA484F" w:rsidP="00DA484F">
      <w:pPr>
        <w:spacing w:before="240" w:line="360" w:lineRule="auto"/>
        <w:jc w:val="both"/>
        <w:rPr>
          <w:rFonts w:ascii="Arial" w:hAnsi="Arial" w:cs="Arial"/>
          <w:sz w:val="24"/>
          <w:szCs w:val="24"/>
        </w:rPr>
      </w:pPr>
    </w:p>
    <w:p w:rsidR="00395AC2" w:rsidRPr="00524A03" w:rsidRDefault="00395AC2" w:rsidP="00524A03">
      <w:pPr>
        <w:pStyle w:val="Prrafodelista"/>
        <w:numPr>
          <w:ilvl w:val="0"/>
          <w:numId w:val="2"/>
        </w:numPr>
        <w:spacing w:after="160" w:line="360" w:lineRule="auto"/>
        <w:rPr>
          <w:rFonts w:ascii="Arial" w:eastAsia="Times New Roman" w:hAnsi="Arial" w:cs="Arial"/>
          <w:b/>
          <w:sz w:val="24"/>
          <w:szCs w:val="24"/>
          <w:lang w:eastAsia="es-CL"/>
        </w:rPr>
      </w:pPr>
      <w:r w:rsidRPr="00935FE1">
        <w:rPr>
          <w:rFonts w:ascii="Arial" w:eastAsia="Times New Roman" w:hAnsi="Arial" w:cs="Arial"/>
          <w:b/>
          <w:sz w:val="24"/>
          <w:szCs w:val="24"/>
          <w:lang w:eastAsia="es-CL"/>
        </w:rPr>
        <w:lastRenderedPageBreak/>
        <w:t>IDEA MATRIZ</w:t>
      </w:r>
    </w:p>
    <w:p w:rsidR="00DC4399" w:rsidRPr="000174B1" w:rsidRDefault="00395AC2" w:rsidP="00FA3ABB">
      <w:pPr>
        <w:spacing w:line="360" w:lineRule="auto"/>
        <w:ind w:firstLine="851"/>
        <w:jc w:val="both"/>
        <w:rPr>
          <w:rFonts w:ascii="Arial" w:eastAsia="Times New Roman" w:hAnsi="Arial" w:cs="Arial"/>
          <w:sz w:val="24"/>
          <w:szCs w:val="24"/>
          <w:lang w:eastAsia="es-CL"/>
        </w:rPr>
      </w:pPr>
      <w:r w:rsidRPr="000174B1">
        <w:rPr>
          <w:rFonts w:ascii="Arial" w:eastAsia="Times New Roman" w:hAnsi="Arial" w:cs="Arial"/>
          <w:sz w:val="24"/>
          <w:szCs w:val="24"/>
          <w:lang w:eastAsia="es-CL"/>
        </w:rPr>
        <w:t xml:space="preserve">Este proyecto tiene por objeto </w:t>
      </w:r>
      <w:r w:rsidR="00C83F97">
        <w:rPr>
          <w:rFonts w:ascii="Arial" w:eastAsia="Times New Roman" w:hAnsi="Arial" w:cs="Arial"/>
          <w:sz w:val="24"/>
          <w:szCs w:val="24"/>
          <w:lang w:eastAsia="es-CL"/>
        </w:rPr>
        <w:t>establecer una excepción de carácter genérico</w:t>
      </w:r>
      <w:r w:rsidR="00FA3ABB" w:rsidRPr="000174B1">
        <w:rPr>
          <w:rFonts w:ascii="Arial" w:eastAsia="Times New Roman" w:hAnsi="Arial" w:cs="Arial"/>
          <w:sz w:val="24"/>
          <w:szCs w:val="24"/>
          <w:lang w:eastAsia="es-CL"/>
        </w:rPr>
        <w:t xml:space="preserve"> a la excusa legal absolutoria del artículo 489 del Código Penal, </w:t>
      </w:r>
      <w:r w:rsidR="00C83F97">
        <w:rPr>
          <w:rFonts w:ascii="Arial" w:eastAsia="Times New Roman" w:hAnsi="Arial" w:cs="Arial"/>
          <w:sz w:val="24"/>
          <w:szCs w:val="24"/>
          <w:lang w:eastAsia="es-CL"/>
        </w:rPr>
        <w:t xml:space="preserve">en </w:t>
      </w:r>
      <w:r w:rsidR="00FA3ABB" w:rsidRPr="000174B1">
        <w:rPr>
          <w:rFonts w:ascii="Arial" w:eastAsia="Times New Roman" w:hAnsi="Arial" w:cs="Arial"/>
          <w:sz w:val="24"/>
          <w:szCs w:val="24"/>
          <w:lang w:eastAsia="es-CL"/>
        </w:rPr>
        <w:t>el caso de cometerse el delito en un contexto de violencia intrafamiliar</w:t>
      </w:r>
      <w:r w:rsidR="00C83F97">
        <w:rPr>
          <w:rFonts w:ascii="Arial" w:eastAsia="Times New Roman" w:hAnsi="Arial" w:cs="Arial"/>
          <w:sz w:val="24"/>
          <w:szCs w:val="24"/>
          <w:lang w:eastAsia="es-CL"/>
        </w:rPr>
        <w:t xml:space="preserve"> sancionado por la ley 20.066</w:t>
      </w:r>
      <w:r w:rsidR="00FA3ABB" w:rsidRPr="000174B1">
        <w:rPr>
          <w:rFonts w:ascii="Arial" w:eastAsia="Times New Roman" w:hAnsi="Arial" w:cs="Arial"/>
          <w:sz w:val="24"/>
          <w:szCs w:val="24"/>
          <w:lang w:eastAsia="es-CL"/>
        </w:rPr>
        <w:t>.</w:t>
      </w:r>
    </w:p>
    <w:p w:rsidR="003B0F90" w:rsidRPr="000174B1" w:rsidRDefault="000174B1" w:rsidP="00FA3ABB">
      <w:pPr>
        <w:spacing w:line="360" w:lineRule="auto"/>
        <w:ind w:firstLine="851"/>
        <w:jc w:val="both"/>
        <w:rPr>
          <w:rFonts w:ascii="Arial" w:eastAsia="Times New Roman" w:hAnsi="Arial" w:cs="Arial"/>
          <w:sz w:val="24"/>
          <w:szCs w:val="24"/>
          <w:lang w:eastAsia="es-CL"/>
        </w:rPr>
      </w:pPr>
      <w:r w:rsidRPr="000174B1">
        <w:rPr>
          <w:rFonts w:ascii="Arial" w:eastAsia="Times New Roman" w:hAnsi="Arial" w:cs="Arial"/>
          <w:sz w:val="24"/>
          <w:szCs w:val="24"/>
          <w:lang w:eastAsia="es-CL"/>
        </w:rPr>
        <w:t>Actualmente, los delitos de hurto y diversas formas de fraude, si bien pueden haberse comprobado, se encuentran excusados de responsabilidad penal por razones de política criminal.</w:t>
      </w:r>
    </w:p>
    <w:p w:rsidR="000174B1" w:rsidRPr="000174B1" w:rsidRDefault="000174B1" w:rsidP="00FA3ABB">
      <w:pPr>
        <w:spacing w:line="360" w:lineRule="auto"/>
        <w:ind w:firstLine="851"/>
        <w:jc w:val="both"/>
        <w:rPr>
          <w:rFonts w:ascii="Arial" w:eastAsia="Times New Roman" w:hAnsi="Arial" w:cs="Arial"/>
          <w:sz w:val="24"/>
          <w:szCs w:val="24"/>
          <w:lang w:eastAsia="es-CL"/>
        </w:rPr>
      </w:pPr>
      <w:r w:rsidRPr="000174B1">
        <w:rPr>
          <w:rFonts w:ascii="Arial" w:eastAsia="Times New Roman" w:hAnsi="Arial" w:cs="Arial"/>
          <w:sz w:val="24"/>
          <w:szCs w:val="24"/>
          <w:lang w:eastAsia="es-CL"/>
        </w:rPr>
        <w:t>Nuestra legislación hasta el momento no se ha hecho cargo de que, muchas veces, estos delitos son cometidos en el marco de situaciones de violencia intrafamiliar, en que una de las partes se encuentra en desventaja y vulnerabilidad respecto de otra.</w:t>
      </w:r>
    </w:p>
    <w:p w:rsidR="000174B1" w:rsidRPr="000174B1" w:rsidRDefault="000174B1" w:rsidP="000174B1">
      <w:pPr>
        <w:spacing w:line="360" w:lineRule="auto"/>
        <w:jc w:val="both"/>
        <w:rPr>
          <w:rFonts w:ascii="Arial" w:eastAsia="Times New Roman" w:hAnsi="Arial" w:cs="Arial"/>
          <w:sz w:val="24"/>
          <w:szCs w:val="24"/>
          <w:lang w:eastAsia="es-CL"/>
        </w:rPr>
      </w:pPr>
      <w:r w:rsidRPr="000174B1">
        <w:rPr>
          <w:rFonts w:ascii="Arial" w:eastAsia="Times New Roman" w:hAnsi="Arial" w:cs="Arial"/>
          <w:sz w:val="24"/>
          <w:szCs w:val="24"/>
          <w:lang w:eastAsia="es-CL"/>
        </w:rPr>
        <w:tab/>
        <w:t>Por lo mismo, esta iniciativa pretende incorporar la posibilidad de que los delitos que ya se encuentran sancionados respecto de terceros, también sean sancionados cuando sean perpetrados por familiares en contexto de violencia intrafamiliar y constituyan una manifestación de violencia económica.</w:t>
      </w:r>
    </w:p>
    <w:p w:rsidR="009760D8" w:rsidRPr="00935FE1" w:rsidRDefault="009760D8" w:rsidP="00267A74">
      <w:pPr>
        <w:spacing w:line="360" w:lineRule="auto"/>
        <w:ind w:firstLine="851"/>
        <w:jc w:val="both"/>
        <w:rPr>
          <w:rFonts w:ascii="Arial" w:eastAsia="Times New Roman" w:hAnsi="Arial" w:cs="Arial"/>
          <w:sz w:val="24"/>
          <w:szCs w:val="24"/>
          <w:lang w:eastAsia="es-CL"/>
        </w:rPr>
      </w:pPr>
    </w:p>
    <w:p w:rsidR="00395AC2" w:rsidRPr="00935FE1" w:rsidRDefault="00395AC2" w:rsidP="00524A03">
      <w:pPr>
        <w:pStyle w:val="Prrafodelista"/>
        <w:numPr>
          <w:ilvl w:val="0"/>
          <w:numId w:val="2"/>
        </w:numPr>
        <w:spacing w:line="360" w:lineRule="auto"/>
        <w:rPr>
          <w:rFonts w:ascii="Arial" w:eastAsia="Times New Roman" w:hAnsi="Arial" w:cs="Arial"/>
          <w:b/>
          <w:sz w:val="24"/>
          <w:szCs w:val="24"/>
          <w:lang w:eastAsia="es-CL"/>
        </w:rPr>
      </w:pPr>
      <w:r w:rsidRPr="00935FE1">
        <w:rPr>
          <w:rFonts w:ascii="Arial" w:eastAsia="Times New Roman" w:hAnsi="Arial" w:cs="Arial"/>
          <w:b/>
          <w:sz w:val="24"/>
          <w:szCs w:val="24"/>
          <w:lang w:eastAsia="es-CL"/>
        </w:rPr>
        <w:t>LEY VIGENTE AFECTADA POR EL PROYECTO</w:t>
      </w:r>
    </w:p>
    <w:p w:rsidR="00395AC2" w:rsidRPr="00FA3ABB" w:rsidRDefault="00395AC2" w:rsidP="00FA3ABB">
      <w:pPr>
        <w:spacing w:line="360" w:lineRule="auto"/>
        <w:ind w:left="360"/>
        <w:rPr>
          <w:rFonts w:ascii="Arial" w:eastAsia="Times New Roman" w:hAnsi="Arial" w:cs="Arial"/>
          <w:b/>
          <w:sz w:val="24"/>
          <w:szCs w:val="24"/>
          <w:lang w:eastAsia="es-CL"/>
        </w:rPr>
      </w:pPr>
    </w:p>
    <w:p w:rsidR="00D35086" w:rsidRPr="00D35086" w:rsidRDefault="00524A03" w:rsidP="00D35086">
      <w:pPr>
        <w:spacing w:line="360" w:lineRule="auto"/>
        <w:ind w:firstLine="851"/>
        <w:jc w:val="both"/>
        <w:rPr>
          <w:rFonts w:ascii="Arial" w:eastAsia="Times New Roman" w:hAnsi="Arial" w:cs="Arial"/>
          <w:sz w:val="24"/>
          <w:szCs w:val="24"/>
          <w:lang w:eastAsia="es-CL"/>
        </w:rPr>
      </w:pPr>
      <w:r w:rsidRPr="00D35086">
        <w:rPr>
          <w:rFonts w:ascii="Arial" w:eastAsia="Times New Roman" w:hAnsi="Arial" w:cs="Arial"/>
          <w:sz w:val="24"/>
          <w:szCs w:val="24"/>
          <w:lang w:eastAsia="es-CL"/>
        </w:rPr>
        <w:t xml:space="preserve">El artículo </w:t>
      </w:r>
      <w:r w:rsidR="00D35086" w:rsidRPr="00D35086">
        <w:rPr>
          <w:rFonts w:ascii="Arial" w:eastAsia="Times New Roman" w:hAnsi="Arial" w:cs="Arial"/>
          <w:sz w:val="24"/>
          <w:szCs w:val="24"/>
          <w:lang w:eastAsia="es-CL"/>
        </w:rPr>
        <w:t>489</w:t>
      </w:r>
      <w:r w:rsidRPr="00D35086">
        <w:rPr>
          <w:rFonts w:ascii="Arial" w:eastAsia="Times New Roman" w:hAnsi="Arial" w:cs="Arial"/>
          <w:sz w:val="24"/>
          <w:szCs w:val="24"/>
          <w:lang w:eastAsia="es-CL"/>
        </w:rPr>
        <w:t xml:space="preserve"> de</w:t>
      </w:r>
      <w:r w:rsidR="00D35086" w:rsidRPr="00D35086">
        <w:rPr>
          <w:rFonts w:ascii="Arial" w:eastAsia="Times New Roman" w:hAnsi="Arial" w:cs="Arial"/>
          <w:sz w:val="24"/>
          <w:szCs w:val="24"/>
          <w:lang w:eastAsia="es-CL"/>
        </w:rPr>
        <w:t>l</w:t>
      </w:r>
      <w:r w:rsidRPr="00D35086">
        <w:rPr>
          <w:rFonts w:ascii="Arial" w:eastAsia="Times New Roman" w:hAnsi="Arial" w:cs="Arial"/>
          <w:sz w:val="24"/>
          <w:szCs w:val="24"/>
          <w:lang w:eastAsia="es-CL"/>
        </w:rPr>
        <w:t xml:space="preserve"> </w:t>
      </w:r>
      <w:r w:rsidR="00D35086" w:rsidRPr="00D35086">
        <w:rPr>
          <w:rFonts w:ascii="Arial" w:eastAsia="Times New Roman" w:hAnsi="Arial" w:cs="Arial"/>
          <w:sz w:val="24"/>
          <w:szCs w:val="24"/>
          <w:lang w:eastAsia="es-CL"/>
        </w:rPr>
        <w:t>Código Penal</w:t>
      </w:r>
      <w:r w:rsidRPr="00D35086">
        <w:rPr>
          <w:rFonts w:ascii="Arial" w:eastAsia="Times New Roman" w:hAnsi="Arial" w:cs="Arial"/>
          <w:sz w:val="24"/>
          <w:szCs w:val="24"/>
          <w:lang w:eastAsia="es-CL"/>
        </w:rPr>
        <w:t xml:space="preserve"> establece </w:t>
      </w:r>
      <w:r w:rsidR="00D35086" w:rsidRPr="00D35086">
        <w:rPr>
          <w:rFonts w:ascii="Arial" w:eastAsia="Times New Roman" w:hAnsi="Arial" w:cs="Arial"/>
          <w:sz w:val="24"/>
          <w:szCs w:val="24"/>
          <w:lang w:eastAsia="es-CL"/>
        </w:rPr>
        <w:t>una excusa legal absolutoria, en el caso de cometerse ciertos delitos de carácter económico entre los parientes señalados en el mismo artículo</w:t>
      </w:r>
      <w:r w:rsidRPr="00D35086">
        <w:rPr>
          <w:rFonts w:ascii="Arial" w:eastAsia="Times New Roman" w:hAnsi="Arial" w:cs="Arial"/>
          <w:sz w:val="24"/>
          <w:szCs w:val="24"/>
          <w:lang w:eastAsia="es-CL"/>
        </w:rPr>
        <w:t>. En concreto, dispone:</w:t>
      </w:r>
      <w:r w:rsidR="00D35086" w:rsidRPr="00D35086">
        <w:rPr>
          <w:rFonts w:ascii="Arial" w:eastAsia="Times New Roman" w:hAnsi="Arial" w:cs="Arial"/>
          <w:sz w:val="24"/>
          <w:szCs w:val="24"/>
          <w:lang w:eastAsia="es-CL"/>
        </w:rPr>
        <w:t xml:space="preserve"> que “</w:t>
      </w:r>
      <w:r w:rsidR="00D35086" w:rsidRPr="00D35086">
        <w:rPr>
          <w:rFonts w:ascii="Arial" w:eastAsia="Times New Roman" w:hAnsi="Arial" w:cs="Arial"/>
          <w:i/>
          <w:sz w:val="24"/>
          <w:szCs w:val="24"/>
          <w:lang w:eastAsia="es-CL"/>
        </w:rPr>
        <w:t>[e]</w:t>
      </w:r>
      <w:proofErr w:type="spellStart"/>
      <w:r w:rsidR="00D35086" w:rsidRPr="00D35086">
        <w:rPr>
          <w:rFonts w:ascii="Arial" w:eastAsia="Times New Roman" w:hAnsi="Arial" w:cs="Arial"/>
          <w:i/>
          <w:sz w:val="24"/>
          <w:szCs w:val="24"/>
          <w:lang w:eastAsia="es-CL"/>
        </w:rPr>
        <w:t>stán</w:t>
      </w:r>
      <w:proofErr w:type="spellEnd"/>
      <w:r w:rsidR="00D35086" w:rsidRPr="00D35086">
        <w:rPr>
          <w:rFonts w:ascii="Arial" w:eastAsia="Times New Roman" w:hAnsi="Arial" w:cs="Arial"/>
          <w:i/>
          <w:sz w:val="24"/>
          <w:szCs w:val="24"/>
          <w:lang w:eastAsia="es-CL"/>
        </w:rPr>
        <w:t xml:space="preserve"> exentos de responsabilidad criminal y sujetos únicamente a la civil por los hurtos, defraudaciones o daños que recíprocamente se causaren:</w:t>
      </w:r>
    </w:p>
    <w:p w:rsidR="00D35086" w:rsidRPr="00D35086" w:rsidRDefault="00D35086" w:rsidP="00D35086">
      <w:pPr>
        <w:spacing w:after="0" w:line="360" w:lineRule="auto"/>
        <w:ind w:firstLine="851"/>
        <w:jc w:val="both"/>
        <w:rPr>
          <w:rFonts w:ascii="Arial" w:eastAsia="Times New Roman" w:hAnsi="Arial" w:cs="Arial"/>
          <w:i/>
          <w:sz w:val="24"/>
          <w:szCs w:val="24"/>
          <w:lang w:eastAsia="es-CL"/>
        </w:rPr>
      </w:pPr>
      <w:r w:rsidRPr="00D35086">
        <w:rPr>
          <w:rFonts w:ascii="Arial" w:eastAsia="Times New Roman" w:hAnsi="Arial" w:cs="Arial"/>
          <w:i/>
          <w:sz w:val="24"/>
          <w:szCs w:val="24"/>
          <w:lang w:eastAsia="es-CL"/>
        </w:rPr>
        <w:t xml:space="preserve">     </w:t>
      </w:r>
      <w:proofErr w:type="gramStart"/>
      <w:r w:rsidRPr="00D35086">
        <w:rPr>
          <w:rFonts w:ascii="Arial" w:eastAsia="Times New Roman" w:hAnsi="Arial" w:cs="Arial"/>
          <w:i/>
          <w:sz w:val="24"/>
          <w:szCs w:val="24"/>
          <w:lang w:eastAsia="es-CL"/>
        </w:rPr>
        <w:t>1.º</w:t>
      </w:r>
      <w:proofErr w:type="gramEnd"/>
      <w:r w:rsidRPr="00D35086">
        <w:rPr>
          <w:rFonts w:ascii="Arial" w:eastAsia="Times New Roman" w:hAnsi="Arial" w:cs="Arial"/>
          <w:i/>
          <w:sz w:val="24"/>
          <w:szCs w:val="24"/>
          <w:lang w:eastAsia="es-CL"/>
        </w:rPr>
        <w:t xml:space="preserve"> Los parientes consanguíneos en toda la línea recta.</w:t>
      </w:r>
    </w:p>
    <w:p w:rsidR="00D35086" w:rsidRPr="00D35086" w:rsidRDefault="00D35086" w:rsidP="00D35086">
      <w:pPr>
        <w:spacing w:after="0" w:line="360" w:lineRule="auto"/>
        <w:ind w:firstLine="851"/>
        <w:jc w:val="both"/>
        <w:rPr>
          <w:rFonts w:ascii="Arial" w:eastAsia="Times New Roman" w:hAnsi="Arial" w:cs="Arial"/>
          <w:i/>
          <w:sz w:val="24"/>
          <w:szCs w:val="24"/>
          <w:lang w:eastAsia="es-CL"/>
        </w:rPr>
      </w:pPr>
      <w:r w:rsidRPr="00D35086">
        <w:rPr>
          <w:rFonts w:ascii="Arial" w:eastAsia="Times New Roman" w:hAnsi="Arial" w:cs="Arial"/>
          <w:i/>
          <w:sz w:val="24"/>
          <w:szCs w:val="24"/>
          <w:lang w:eastAsia="es-CL"/>
        </w:rPr>
        <w:t xml:space="preserve">     </w:t>
      </w:r>
      <w:proofErr w:type="gramStart"/>
      <w:r w:rsidRPr="00D35086">
        <w:rPr>
          <w:rFonts w:ascii="Arial" w:eastAsia="Times New Roman" w:hAnsi="Arial" w:cs="Arial"/>
          <w:i/>
          <w:sz w:val="24"/>
          <w:szCs w:val="24"/>
          <w:lang w:eastAsia="es-CL"/>
        </w:rPr>
        <w:t>2.º</w:t>
      </w:r>
      <w:proofErr w:type="gramEnd"/>
      <w:r w:rsidRPr="00D35086">
        <w:rPr>
          <w:rFonts w:ascii="Arial" w:eastAsia="Times New Roman" w:hAnsi="Arial" w:cs="Arial"/>
          <w:i/>
          <w:sz w:val="24"/>
          <w:szCs w:val="24"/>
          <w:lang w:eastAsia="es-CL"/>
        </w:rPr>
        <w:t xml:space="preserve"> Los parientes consanguíneos hasta el segundo grado inclusive de la línea colateral.</w:t>
      </w:r>
    </w:p>
    <w:p w:rsidR="00D35086" w:rsidRPr="00D35086" w:rsidRDefault="00D35086" w:rsidP="00D35086">
      <w:pPr>
        <w:spacing w:after="0" w:line="360" w:lineRule="auto"/>
        <w:ind w:firstLine="851"/>
        <w:jc w:val="both"/>
        <w:rPr>
          <w:rFonts w:ascii="Arial" w:eastAsia="Times New Roman" w:hAnsi="Arial" w:cs="Arial"/>
          <w:i/>
          <w:sz w:val="24"/>
          <w:szCs w:val="24"/>
          <w:lang w:eastAsia="es-CL"/>
        </w:rPr>
      </w:pPr>
      <w:r w:rsidRPr="00D35086">
        <w:rPr>
          <w:rFonts w:ascii="Arial" w:eastAsia="Times New Roman" w:hAnsi="Arial" w:cs="Arial"/>
          <w:i/>
          <w:sz w:val="24"/>
          <w:szCs w:val="24"/>
          <w:lang w:eastAsia="es-CL"/>
        </w:rPr>
        <w:t xml:space="preserve">     </w:t>
      </w:r>
      <w:proofErr w:type="gramStart"/>
      <w:r w:rsidRPr="00D35086">
        <w:rPr>
          <w:rFonts w:ascii="Arial" w:eastAsia="Times New Roman" w:hAnsi="Arial" w:cs="Arial"/>
          <w:i/>
          <w:sz w:val="24"/>
          <w:szCs w:val="24"/>
          <w:lang w:eastAsia="es-CL"/>
        </w:rPr>
        <w:t>3.°</w:t>
      </w:r>
      <w:proofErr w:type="gramEnd"/>
      <w:r w:rsidRPr="00D35086">
        <w:rPr>
          <w:rFonts w:ascii="Arial" w:eastAsia="Times New Roman" w:hAnsi="Arial" w:cs="Arial"/>
          <w:i/>
          <w:sz w:val="24"/>
          <w:szCs w:val="24"/>
          <w:lang w:eastAsia="es-CL"/>
        </w:rPr>
        <w:t xml:space="preserve"> Los parientes afines en toda la línea recta.</w:t>
      </w:r>
    </w:p>
    <w:p w:rsidR="00D35086" w:rsidRPr="00D35086" w:rsidRDefault="00D35086" w:rsidP="00D35086">
      <w:pPr>
        <w:spacing w:after="0" w:line="360" w:lineRule="auto"/>
        <w:ind w:firstLine="851"/>
        <w:jc w:val="both"/>
        <w:rPr>
          <w:rFonts w:ascii="Arial" w:eastAsia="Times New Roman" w:hAnsi="Arial" w:cs="Arial"/>
          <w:i/>
          <w:sz w:val="24"/>
          <w:szCs w:val="24"/>
          <w:lang w:eastAsia="es-CL"/>
        </w:rPr>
      </w:pPr>
      <w:r w:rsidRPr="00D35086">
        <w:rPr>
          <w:rFonts w:ascii="Arial" w:eastAsia="Times New Roman" w:hAnsi="Arial" w:cs="Arial"/>
          <w:i/>
          <w:sz w:val="24"/>
          <w:szCs w:val="24"/>
          <w:lang w:eastAsia="es-CL"/>
        </w:rPr>
        <w:t xml:space="preserve">     </w:t>
      </w:r>
      <w:proofErr w:type="gramStart"/>
      <w:r w:rsidRPr="00D35086">
        <w:rPr>
          <w:rFonts w:ascii="Arial" w:eastAsia="Times New Roman" w:hAnsi="Arial" w:cs="Arial"/>
          <w:i/>
          <w:sz w:val="24"/>
          <w:szCs w:val="24"/>
          <w:lang w:eastAsia="es-CL"/>
        </w:rPr>
        <w:t>4.°</w:t>
      </w:r>
      <w:proofErr w:type="gramEnd"/>
      <w:r w:rsidRPr="00D35086">
        <w:rPr>
          <w:rFonts w:ascii="Arial" w:eastAsia="Times New Roman" w:hAnsi="Arial" w:cs="Arial"/>
          <w:i/>
          <w:sz w:val="24"/>
          <w:szCs w:val="24"/>
          <w:lang w:eastAsia="es-CL"/>
        </w:rPr>
        <w:t xml:space="preserve"> Derogado.</w:t>
      </w:r>
    </w:p>
    <w:p w:rsidR="00D35086" w:rsidRPr="00D35086" w:rsidRDefault="00D35086" w:rsidP="00D35086">
      <w:pPr>
        <w:spacing w:after="0" w:line="360" w:lineRule="auto"/>
        <w:ind w:firstLine="851"/>
        <w:jc w:val="both"/>
        <w:rPr>
          <w:rFonts w:ascii="Arial" w:eastAsia="Times New Roman" w:hAnsi="Arial" w:cs="Arial"/>
          <w:i/>
          <w:sz w:val="24"/>
          <w:szCs w:val="24"/>
          <w:lang w:eastAsia="es-CL"/>
        </w:rPr>
      </w:pPr>
      <w:r w:rsidRPr="00D35086">
        <w:rPr>
          <w:rFonts w:ascii="Arial" w:eastAsia="Times New Roman" w:hAnsi="Arial" w:cs="Arial"/>
          <w:i/>
          <w:sz w:val="24"/>
          <w:szCs w:val="24"/>
          <w:lang w:eastAsia="es-CL"/>
        </w:rPr>
        <w:t xml:space="preserve">     </w:t>
      </w:r>
      <w:proofErr w:type="gramStart"/>
      <w:r w:rsidRPr="00D35086">
        <w:rPr>
          <w:rFonts w:ascii="Arial" w:eastAsia="Times New Roman" w:hAnsi="Arial" w:cs="Arial"/>
          <w:i/>
          <w:sz w:val="24"/>
          <w:szCs w:val="24"/>
          <w:lang w:eastAsia="es-CL"/>
        </w:rPr>
        <w:t>5.°</w:t>
      </w:r>
      <w:proofErr w:type="gramEnd"/>
      <w:r w:rsidRPr="00D35086">
        <w:rPr>
          <w:rFonts w:ascii="Arial" w:eastAsia="Times New Roman" w:hAnsi="Arial" w:cs="Arial"/>
          <w:i/>
          <w:sz w:val="24"/>
          <w:szCs w:val="24"/>
          <w:lang w:eastAsia="es-CL"/>
        </w:rPr>
        <w:t xml:space="preserve"> Los cónyuges.</w:t>
      </w:r>
    </w:p>
    <w:p w:rsidR="00D35086" w:rsidRPr="00D35086" w:rsidRDefault="00D35086" w:rsidP="00D35086">
      <w:pPr>
        <w:spacing w:after="0" w:line="360" w:lineRule="auto"/>
        <w:ind w:firstLine="851"/>
        <w:jc w:val="both"/>
        <w:rPr>
          <w:rFonts w:ascii="Arial" w:eastAsia="Times New Roman" w:hAnsi="Arial" w:cs="Arial"/>
          <w:i/>
          <w:sz w:val="24"/>
          <w:szCs w:val="24"/>
          <w:lang w:eastAsia="es-CL"/>
        </w:rPr>
      </w:pPr>
      <w:r w:rsidRPr="00D35086">
        <w:rPr>
          <w:rFonts w:ascii="Arial" w:eastAsia="Times New Roman" w:hAnsi="Arial" w:cs="Arial"/>
          <w:i/>
          <w:sz w:val="24"/>
          <w:szCs w:val="24"/>
          <w:lang w:eastAsia="es-CL"/>
        </w:rPr>
        <w:t xml:space="preserve">     </w:t>
      </w:r>
      <w:proofErr w:type="gramStart"/>
      <w:r w:rsidRPr="00D35086">
        <w:rPr>
          <w:rFonts w:ascii="Arial" w:eastAsia="Times New Roman" w:hAnsi="Arial" w:cs="Arial"/>
          <w:i/>
          <w:sz w:val="24"/>
          <w:szCs w:val="24"/>
          <w:lang w:eastAsia="es-CL"/>
        </w:rPr>
        <w:t>6.°</w:t>
      </w:r>
      <w:proofErr w:type="gramEnd"/>
      <w:r w:rsidRPr="00D35086">
        <w:rPr>
          <w:rFonts w:ascii="Arial" w:eastAsia="Times New Roman" w:hAnsi="Arial" w:cs="Arial"/>
          <w:i/>
          <w:sz w:val="24"/>
          <w:szCs w:val="24"/>
          <w:lang w:eastAsia="es-CL"/>
        </w:rPr>
        <w:t xml:space="preserve"> Los convivientes civiles.</w:t>
      </w:r>
    </w:p>
    <w:p w:rsidR="00D35086" w:rsidRPr="00D35086" w:rsidRDefault="00D35086" w:rsidP="00D35086">
      <w:pPr>
        <w:spacing w:after="0" w:line="360" w:lineRule="auto"/>
        <w:ind w:firstLine="851"/>
        <w:jc w:val="both"/>
        <w:rPr>
          <w:rFonts w:ascii="Arial" w:eastAsia="Times New Roman" w:hAnsi="Arial" w:cs="Arial"/>
          <w:i/>
          <w:sz w:val="24"/>
          <w:szCs w:val="24"/>
          <w:lang w:eastAsia="es-CL"/>
        </w:rPr>
      </w:pPr>
    </w:p>
    <w:p w:rsidR="00D35086" w:rsidRPr="00D35086" w:rsidRDefault="00D35086" w:rsidP="00D35086">
      <w:pPr>
        <w:spacing w:after="0" w:line="360" w:lineRule="auto"/>
        <w:jc w:val="both"/>
        <w:rPr>
          <w:rFonts w:ascii="Arial" w:eastAsia="Times New Roman" w:hAnsi="Arial" w:cs="Arial"/>
          <w:i/>
          <w:sz w:val="24"/>
          <w:szCs w:val="24"/>
          <w:lang w:eastAsia="es-CL"/>
        </w:rPr>
      </w:pPr>
      <w:r w:rsidRPr="00D35086">
        <w:rPr>
          <w:rFonts w:ascii="Arial" w:eastAsia="Times New Roman" w:hAnsi="Arial" w:cs="Arial"/>
          <w:sz w:val="24"/>
          <w:szCs w:val="24"/>
          <w:lang w:eastAsia="es-CL"/>
        </w:rPr>
        <w:lastRenderedPageBreak/>
        <w:t>El inciso segundo del referido artículo establece que:</w:t>
      </w:r>
      <w:r w:rsidRPr="00D35086">
        <w:rPr>
          <w:rFonts w:ascii="Arial" w:eastAsia="Times New Roman" w:hAnsi="Arial" w:cs="Arial"/>
          <w:i/>
          <w:sz w:val="24"/>
          <w:szCs w:val="24"/>
          <w:lang w:eastAsia="es-CL"/>
        </w:rPr>
        <w:t xml:space="preserve"> “[l]a excepción de este artículo no es aplicable a los extraños que participaren del delito, ni tampoco entre cónyuges cuando se trate de los delitos de daños indicados en el párrafo anterior.”</w:t>
      </w:r>
    </w:p>
    <w:p w:rsidR="00D35086" w:rsidRPr="00D35086" w:rsidRDefault="00D35086" w:rsidP="00D35086">
      <w:pPr>
        <w:spacing w:after="0" w:line="360" w:lineRule="auto"/>
        <w:jc w:val="both"/>
        <w:rPr>
          <w:rFonts w:ascii="Arial" w:eastAsia="Times New Roman" w:hAnsi="Arial" w:cs="Arial"/>
          <w:sz w:val="24"/>
          <w:szCs w:val="24"/>
          <w:lang w:eastAsia="es-CL"/>
        </w:rPr>
      </w:pPr>
    </w:p>
    <w:p w:rsidR="008D5010" w:rsidRDefault="00D35086" w:rsidP="00D35086">
      <w:pPr>
        <w:spacing w:after="0" w:line="360" w:lineRule="auto"/>
        <w:jc w:val="both"/>
        <w:rPr>
          <w:rFonts w:ascii="Arial" w:eastAsia="Times New Roman" w:hAnsi="Arial" w:cs="Arial"/>
          <w:i/>
          <w:sz w:val="24"/>
          <w:szCs w:val="24"/>
          <w:lang w:eastAsia="es-CL"/>
        </w:rPr>
      </w:pPr>
      <w:r w:rsidRPr="00D35086">
        <w:rPr>
          <w:rFonts w:ascii="Arial" w:eastAsia="Times New Roman" w:hAnsi="Arial" w:cs="Arial"/>
          <w:sz w:val="24"/>
          <w:szCs w:val="24"/>
          <w:lang w:eastAsia="es-CL"/>
        </w:rPr>
        <w:t>Por su parte, el inciso tercero de la misma disposición establece que la referida exención</w:t>
      </w:r>
      <w:r w:rsidRPr="00D35086">
        <w:rPr>
          <w:rFonts w:ascii="Arial" w:eastAsia="Times New Roman" w:hAnsi="Arial" w:cs="Arial"/>
          <w:i/>
          <w:sz w:val="24"/>
          <w:szCs w:val="24"/>
          <w:lang w:eastAsia="es-CL"/>
        </w:rPr>
        <w:t xml:space="preserve"> “no será aplicable cuando la víctima sea una persona mayor de sesenta años”.</w:t>
      </w:r>
    </w:p>
    <w:p w:rsidR="000174B1" w:rsidRDefault="000174B1" w:rsidP="00D35086">
      <w:pPr>
        <w:spacing w:after="0" w:line="360" w:lineRule="auto"/>
        <w:jc w:val="both"/>
        <w:rPr>
          <w:rFonts w:ascii="Arial" w:eastAsia="Times New Roman" w:hAnsi="Arial" w:cs="Arial"/>
          <w:sz w:val="24"/>
          <w:szCs w:val="24"/>
          <w:lang w:eastAsia="es-CL"/>
        </w:rPr>
      </w:pPr>
    </w:p>
    <w:p w:rsidR="000174B1" w:rsidRDefault="000174B1" w:rsidP="00D35086">
      <w:pPr>
        <w:spacing w:after="0" w:line="360" w:lineRule="auto"/>
        <w:jc w:val="both"/>
        <w:rPr>
          <w:rFonts w:ascii="Arial" w:eastAsia="Times New Roman" w:hAnsi="Arial" w:cs="Arial"/>
          <w:sz w:val="24"/>
          <w:szCs w:val="24"/>
          <w:lang w:eastAsia="es-CL"/>
        </w:rPr>
      </w:pPr>
      <w:r>
        <w:rPr>
          <w:rFonts w:ascii="Arial" w:eastAsia="Times New Roman" w:hAnsi="Arial" w:cs="Arial"/>
          <w:sz w:val="24"/>
          <w:szCs w:val="24"/>
          <w:lang w:eastAsia="es-CL"/>
        </w:rPr>
        <w:t>La referida norma ya incluye una protección hacia las personas mayores de 60 años, que muchas veces son víctimas de violencia doméstica por parte de algunos familiares que administran sus bienes y pensiones, abusando de la confianza que depositan en ellos los adultos y adultas mayores.</w:t>
      </w:r>
    </w:p>
    <w:p w:rsidR="000174B1" w:rsidRDefault="000174B1" w:rsidP="00D35086">
      <w:pPr>
        <w:spacing w:after="0" w:line="360" w:lineRule="auto"/>
        <w:jc w:val="both"/>
        <w:rPr>
          <w:rFonts w:ascii="Arial" w:eastAsia="Times New Roman" w:hAnsi="Arial" w:cs="Arial"/>
          <w:sz w:val="24"/>
          <w:szCs w:val="24"/>
          <w:lang w:eastAsia="es-CL"/>
        </w:rPr>
      </w:pPr>
    </w:p>
    <w:p w:rsidR="000174B1" w:rsidRDefault="000174B1" w:rsidP="00D35086">
      <w:pPr>
        <w:spacing w:after="0" w:line="360" w:lineRule="auto"/>
        <w:jc w:val="both"/>
        <w:rPr>
          <w:rFonts w:ascii="Arial" w:eastAsia="Times New Roman" w:hAnsi="Arial" w:cs="Arial"/>
          <w:sz w:val="24"/>
          <w:szCs w:val="24"/>
          <w:lang w:eastAsia="es-CL"/>
        </w:rPr>
      </w:pPr>
      <w:r>
        <w:rPr>
          <w:rFonts w:ascii="Arial" w:eastAsia="Times New Roman" w:hAnsi="Arial" w:cs="Arial"/>
          <w:sz w:val="24"/>
          <w:szCs w:val="24"/>
          <w:lang w:eastAsia="es-CL"/>
        </w:rPr>
        <w:t>Sin embargo, el presente proye</w:t>
      </w:r>
      <w:r w:rsidR="00852244">
        <w:rPr>
          <w:rFonts w:ascii="Arial" w:eastAsia="Times New Roman" w:hAnsi="Arial" w:cs="Arial"/>
          <w:sz w:val="24"/>
          <w:szCs w:val="24"/>
          <w:lang w:eastAsia="es-CL"/>
        </w:rPr>
        <w:t xml:space="preserve">cto tiene por objeto </w:t>
      </w:r>
      <w:r w:rsidR="00C83F97">
        <w:rPr>
          <w:rFonts w:ascii="Arial" w:eastAsia="Times New Roman" w:hAnsi="Arial" w:cs="Arial"/>
          <w:sz w:val="24"/>
          <w:szCs w:val="24"/>
          <w:lang w:eastAsia="es-CL"/>
        </w:rPr>
        <w:t>establecer una excepción de carácter genérico</w:t>
      </w:r>
      <w:r w:rsidR="00852244">
        <w:rPr>
          <w:rFonts w:ascii="Arial" w:eastAsia="Times New Roman" w:hAnsi="Arial" w:cs="Arial"/>
          <w:sz w:val="24"/>
          <w:szCs w:val="24"/>
          <w:lang w:eastAsia="es-CL"/>
        </w:rPr>
        <w:t xml:space="preserve">, </w:t>
      </w:r>
      <w:r w:rsidR="00C83F97">
        <w:rPr>
          <w:rFonts w:ascii="Arial" w:eastAsia="Times New Roman" w:hAnsi="Arial" w:cs="Arial"/>
          <w:sz w:val="24"/>
          <w:szCs w:val="24"/>
          <w:lang w:eastAsia="es-CL"/>
        </w:rPr>
        <w:t>que introduzca una</w:t>
      </w:r>
      <w:r w:rsidR="00852244">
        <w:rPr>
          <w:rFonts w:ascii="Arial" w:eastAsia="Times New Roman" w:hAnsi="Arial" w:cs="Arial"/>
          <w:sz w:val="24"/>
          <w:szCs w:val="24"/>
          <w:lang w:eastAsia="es-CL"/>
        </w:rPr>
        <w:t xml:space="preserve"> referencia a que tampoco será aplicable la excepción del artículo 489, en el caso de ser cometidos</w:t>
      </w:r>
      <w:r w:rsidR="00C83F97">
        <w:rPr>
          <w:rFonts w:ascii="Arial" w:eastAsia="Times New Roman" w:hAnsi="Arial" w:cs="Arial"/>
          <w:sz w:val="24"/>
          <w:szCs w:val="24"/>
          <w:lang w:eastAsia="es-CL"/>
        </w:rPr>
        <w:t xml:space="preserve"> los delitos a que dicho artículo se refiere,</w:t>
      </w:r>
      <w:r w:rsidR="00852244">
        <w:rPr>
          <w:rFonts w:ascii="Arial" w:eastAsia="Times New Roman" w:hAnsi="Arial" w:cs="Arial"/>
          <w:sz w:val="24"/>
          <w:szCs w:val="24"/>
          <w:lang w:eastAsia="es-CL"/>
        </w:rPr>
        <w:t xml:space="preserve"> en contexto de violencia intrafamiliar.</w:t>
      </w:r>
    </w:p>
    <w:p w:rsidR="00852244" w:rsidRDefault="00852244" w:rsidP="00D35086">
      <w:pPr>
        <w:spacing w:after="0" w:line="360" w:lineRule="auto"/>
        <w:jc w:val="both"/>
        <w:rPr>
          <w:rFonts w:ascii="Arial" w:eastAsia="Times New Roman" w:hAnsi="Arial" w:cs="Arial"/>
          <w:sz w:val="24"/>
          <w:szCs w:val="24"/>
          <w:lang w:eastAsia="es-CL"/>
        </w:rPr>
      </w:pPr>
    </w:p>
    <w:p w:rsidR="00852244" w:rsidRDefault="00852244" w:rsidP="00D35086">
      <w:pPr>
        <w:spacing w:after="0" w:line="360" w:lineRule="auto"/>
        <w:jc w:val="both"/>
        <w:rPr>
          <w:rFonts w:ascii="Arial" w:eastAsia="Times New Roman" w:hAnsi="Arial" w:cs="Arial"/>
          <w:i/>
          <w:sz w:val="24"/>
          <w:szCs w:val="24"/>
          <w:lang w:eastAsia="es-CL"/>
        </w:rPr>
      </w:pPr>
      <w:r>
        <w:rPr>
          <w:rFonts w:ascii="Arial" w:eastAsia="Times New Roman" w:hAnsi="Arial" w:cs="Arial"/>
          <w:sz w:val="24"/>
          <w:szCs w:val="24"/>
          <w:lang w:eastAsia="es-CL"/>
        </w:rPr>
        <w:t xml:space="preserve">Para ello, se debe estar a lo establecido en el artículo 1° de la Ley N° 20.066, que establece la Ley de Violencia Intrafamiliar, el cual señala que la referida norma </w:t>
      </w:r>
      <w:r w:rsidRPr="00852244">
        <w:rPr>
          <w:rFonts w:ascii="Arial" w:eastAsia="Times New Roman" w:hAnsi="Arial" w:cs="Arial"/>
          <w:i/>
          <w:sz w:val="24"/>
          <w:szCs w:val="24"/>
          <w:lang w:eastAsia="es-CL"/>
        </w:rPr>
        <w:t xml:space="preserve"> </w:t>
      </w:r>
      <w:r>
        <w:rPr>
          <w:rFonts w:ascii="Arial" w:eastAsia="Times New Roman" w:hAnsi="Arial" w:cs="Arial"/>
          <w:i/>
          <w:sz w:val="24"/>
          <w:szCs w:val="24"/>
          <w:lang w:eastAsia="es-CL"/>
        </w:rPr>
        <w:t>“</w:t>
      </w:r>
      <w:r w:rsidRPr="00852244">
        <w:rPr>
          <w:rFonts w:ascii="Arial" w:eastAsia="Times New Roman" w:hAnsi="Arial" w:cs="Arial"/>
          <w:i/>
          <w:sz w:val="24"/>
          <w:szCs w:val="24"/>
          <w:lang w:eastAsia="es-CL"/>
        </w:rPr>
        <w:t>tiene por objeto prevenir, sancionar y erradicar la violencia intrafamiliar y otorgar protección a las víctimas de la misma</w:t>
      </w:r>
      <w:r>
        <w:rPr>
          <w:rFonts w:ascii="Arial" w:eastAsia="Times New Roman" w:hAnsi="Arial" w:cs="Arial"/>
          <w:i/>
          <w:sz w:val="24"/>
          <w:szCs w:val="24"/>
          <w:lang w:eastAsia="es-CL"/>
        </w:rPr>
        <w:t>”.</w:t>
      </w:r>
    </w:p>
    <w:p w:rsidR="00852244" w:rsidRDefault="00852244" w:rsidP="00D35086">
      <w:pPr>
        <w:spacing w:after="0" w:line="360" w:lineRule="auto"/>
        <w:jc w:val="both"/>
        <w:rPr>
          <w:rFonts w:ascii="Arial" w:eastAsia="Times New Roman" w:hAnsi="Arial" w:cs="Arial"/>
          <w:sz w:val="24"/>
          <w:szCs w:val="24"/>
          <w:lang w:eastAsia="es-CL"/>
        </w:rPr>
      </w:pPr>
    </w:p>
    <w:p w:rsidR="00852244" w:rsidRDefault="00852244" w:rsidP="00852244">
      <w:pPr>
        <w:pStyle w:val="HTMLconformatoprevio"/>
        <w:shd w:val="clear" w:color="auto" w:fill="FFFFFF"/>
        <w:spacing w:line="360" w:lineRule="auto"/>
        <w:jc w:val="both"/>
        <w:rPr>
          <w:rFonts w:ascii="Arial" w:hAnsi="Arial" w:cs="Arial"/>
          <w:sz w:val="24"/>
          <w:szCs w:val="24"/>
        </w:rPr>
      </w:pPr>
      <w:r>
        <w:rPr>
          <w:rFonts w:ascii="Arial" w:hAnsi="Arial" w:cs="Arial"/>
          <w:sz w:val="24"/>
          <w:szCs w:val="24"/>
        </w:rPr>
        <w:t>En concordancia con lo anterior, el artículo 5° del mismo cuerpo legal establece que “</w:t>
      </w:r>
      <w:r w:rsidRPr="00852244">
        <w:rPr>
          <w:rFonts w:ascii="Arial" w:hAnsi="Arial" w:cs="Arial"/>
          <w:i/>
          <w:sz w:val="24"/>
          <w:szCs w:val="24"/>
        </w:rPr>
        <w:t>[s]</w:t>
      </w:r>
      <w:proofErr w:type="spellStart"/>
      <w:r w:rsidRPr="00852244">
        <w:rPr>
          <w:rFonts w:ascii="Arial" w:hAnsi="Arial" w:cs="Arial"/>
          <w:i/>
          <w:sz w:val="24"/>
          <w:szCs w:val="24"/>
        </w:rPr>
        <w:t>erá</w:t>
      </w:r>
      <w:proofErr w:type="spellEnd"/>
      <w:r w:rsidRPr="00852244">
        <w:rPr>
          <w:rFonts w:ascii="Arial" w:hAnsi="Arial" w:cs="Arial"/>
          <w:i/>
          <w:sz w:val="24"/>
          <w:szCs w:val="24"/>
        </w:rPr>
        <w:t xml:space="preserve"> constitutivo de violencia intrafamiliar todo maltrato que afecte la vida o la integridad física o psíquica de quien tenga o haya tenido la calidad de cónyuge del ofensor o una relación de convivencia con él; o sea pariente por consanguinidad o por afinidad en toda la línea recta o en la colateral hasta el tercer grado inclusive, del ofensor o de su cónyuge o de su actual conviviente.</w:t>
      </w:r>
      <w:r w:rsidRPr="00852244">
        <w:rPr>
          <w:rFonts w:ascii="Arial" w:hAnsi="Arial" w:cs="Arial"/>
          <w:i/>
          <w:sz w:val="24"/>
          <w:szCs w:val="24"/>
        </w:rPr>
        <w:br/>
        <w:t>     También habrá violencia intrafamiliar cuando la conducta referida en el inciso precedente ocurra entre los padres de un hijo común, o recaiga sobre persona menor de edad, adulto mayor o discapacitada que se encuentre bajo el cuidado o dependencia de cualquiera de los integrantes del grupo familiar</w:t>
      </w:r>
      <w:r>
        <w:rPr>
          <w:rFonts w:ascii="Arial" w:hAnsi="Arial" w:cs="Arial"/>
          <w:i/>
          <w:sz w:val="24"/>
          <w:szCs w:val="24"/>
        </w:rPr>
        <w:t>”</w:t>
      </w:r>
      <w:r w:rsidRPr="00852244">
        <w:rPr>
          <w:rFonts w:ascii="Arial" w:hAnsi="Arial" w:cs="Arial"/>
          <w:i/>
          <w:sz w:val="24"/>
          <w:szCs w:val="24"/>
        </w:rPr>
        <w:t>.</w:t>
      </w:r>
    </w:p>
    <w:p w:rsidR="00852244" w:rsidRDefault="00852244" w:rsidP="00852244">
      <w:pPr>
        <w:pStyle w:val="HTMLconformatoprevio"/>
        <w:shd w:val="clear" w:color="auto" w:fill="FFFFFF"/>
        <w:spacing w:line="360" w:lineRule="auto"/>
        <w:jc w:val="both"/>
        <w:rPr>
          <w:rFonts w:ascii="Arial" w:hAnsi="Arial" w:cs="Arial"/>
          <w:sz w:val="24"/>
          <w:szCs w:val="24"/>
        </w:rPr>
      </w:pPr>
    </w:p>
    <w:p w:rsidR="00395AC2" w:rsidRPr="00524A03" w:rsidRDefault="00395AC2" w:rsidP="00524A03">
      <w:pPr>
        <w:spacing w:line="360" w:lineRule="auto"/>
        <w:ind w:firstLine="851"/>
        <w:jc w:val="both"/>
        <w:rPr>
          <w:rFonts w:ascii="Arial" w:eastAsia="Times New Roman" w:hAnsi="Arial" w:cs="Arial"/>
          <w:i/>
          <w:sz w:val="24"/>
          <w:szCs w:val="24"/>
          <w:lang w:eastAsia="es-CL"/>
        </w:rPr>
      </w:pPr>
      <w:r w:rsidRPr="00935FE1">
        <w:rPr>
          <w:rFonts w:ascii="Arial" w:eastAsia="Times New Roman" w:hAnsi="Arial" w:cs="Arial"/>
          <w:sz w:val="24"/>
          <w:szCs w:val="24"/>
          <w:lang w:val="es-ES" w:eastAsia="es-ES"/>
        </w:rPr>
        <w:t>Por estos motivos, tengo el honor de someter al conocimiento de la Honorable Cámara de Diputados el siguiente:</w:t>
      </w:r>
    </w:p>
    <w:p w:rsidR="00395AC2" w:rsidRPr="00935FE1" w:rsidRDefault="00395AC2" w:rsidP="00524A03">
      <w:pPr>
        <w:spacing w:line="360" w:lineRule="auto"/>
        <w:jc w:val="both"/>
        <w:rPr>
          <w:rFonts w:ascii="Arial" w:hAnsi="Arial" w:cs="Arial"/>
          <w:sz w:val="24"/>
          <w:szCs w:val="24"/>
        </w:rPr>
      </w:pPr>
    </w:p>
    <w:p w:rsidR="00395AC2" w:rsidRPr="00935FE1" w:rsidRDefault="00395AC2" w:rsidP="00524A03">
      <w:pPr>
        <w:spacing w:line="360" w:lineRule="auto"/>
        <w:jc w:val="center"/>
        <w:rPr>
          <w:rFonts w:ascii="Arial" w:hAnsi="Arial" w:cs="Arial"/>
          <w:b/>
          <w:sz w:val="24"/>
          <w:szCs w:val="24"/>
        </w:rPr>
      </w:pPr>
      <w:r w:rsidRPr="00935FE1">
        <w:rPr>
          <w:rFonts w:ascii="Arial" w:hAnsi="Arial" w:cs="Arial"/>
          <w:b/>
          <w:sz w:val="24"/>
          <w:szCs w:val="24"/>
        </w:rPr>
        <w:lastRenderedPageBreak/>
        <w:t>PROYECTO DE LEY</w:t>
      </w:r>
    </w:p>
    <w:p w:rsidR="00DC4399" w:rsidRDefault="00DC4399" w:rsidP="00524A03">
      <w:pPr>
        <w:pStyle w:val="Ttulo1"/>
        <w:shd w:val="clear" w:color="auto" w:fill="FFFFFF"/>
        <w:spacing w:before="150" w:after="150" w:line="360" w:lineRule="auto"/>
        <w:rPr>
          <w:rFonts w:ascii="Arial" w:hAnsi="Arial" w:cs="Arial"/>
          <w:sz w:val="24"/>
          <w:szCs w:val="24"/>
        </w:rPr>
      </w:pPr>
      <w:bookmarkStart w:id="1" w:name="_17dp8vu" w:colFirst="0" w:colLast="0"/>
      <w:bookmarkEnd w:id="1"/>
    </w:p>
    <w:p w:rsidR="00395AC2" w:rsidRDefault="00D35086" w:rsidP="00524A03">
      <w:pPr>
        <w:pStyle w:val="Ttulo1"/>
        <w:shd w:val="clear" w:color="auto" w:fill="FFFFFF"/>
        <w:spacing w:before="150" w:after="150" w:line="360" w:lineRule="auto"/>
        <w:rPr>
          <w:rFonts w:ascii="Arial" w:hAnsi="Arial" w:cs="Arial"/>
          <w:b w:val="0"/>
          <w:sz w:val="24"/>
          <w:szCs w:val="24"/>
        </w:rPr>
      </w:pPr>
      <w:r>
        <w:rPr>
          <w:rFonts w:ascii="Arial" w:hAnsi="Arial" w:cs="Arial"/>
          <w:sz w:val="24"/>
          <w:szCs w:val="24"/>
        </w:rPr>
        <w:t>"ARTÍCULO ÚNICO</w:t>
      </w:r>
      <w:r w:rsidR="00935FE1">
        <w:rPr>
          <w:rFonts w:ascii="Arial" w:hAnsi="Arial" w:cs="Arial"/>
          <w:sz w:val="24"/>
          <w:szCs w:val="24"/>
        </w:rPr>
        <w:t>.-</w:t>
      </w:r>
      <w:r w:rsidR="00395AC2" w:rsidRPr="00935FE1">
        <w:rPr>
          <w:rFonts w:ascii="Arial" w:hAnsi="Arial" w:cs="Arial"/>
          <w:sz w:val="24"/>
          <w:szCs w:val="24"/>
        </w:rPr>
        <w:t xml:space="preserve"> </w:t>
      </w:r>
      <w:r w:rsidR="00C83F97">
        <w:rPr>
          <w:rFonts w:ascii="Arial" w:hAnsi="Arial" w:cs="Arial"/>
          <w:b w:val="0"/>
          <w:sz w:val="24"/>
          <w:szCs w:val="24"/>
        </w:rPr>
        <w:t>Agrégu</w:t>
      </w:r>
      <w:r w:rsidR="00852244">
        <w:rPr>
          <w:rFonts w:ascii="Arial" w:hAnsi="Arial" w:cs="Arial"/>
          <w:b w:val="0"/>
          <w:sz w:val="24"/>
          <w:szCs w:val="24"/>
        </w:rPr>
        <w:t>ese</w:t>
      </w:r>
      <w:r w:rsidR="00395AC2" w:rsidRPr="00935FE1">
        <w:rPr>
          <w:rFonts w:ascii="Arial" w:hAnsi="Arial" w:cs="Arial"/>
          <w:b w:val="0"/>
          <w:sz w:val="24"/>
          <w:szCs w:val="24"/>
        </w:rPr>
        <w:t xml:space="preserve"> </w:t>
      </w:r>
      <w:r w:rsidR="00C83F97">
        <w:rPr>
          <w:rFonts w:ascii="Arial" w:hAnsi="Arial" w:cs="Arial"/>
          <w:b w:val="0"/>
          <w:sz w:val="24"/>
          <w:szCs w:val="24"/>
        </w:rPr>
        <w:t>un</w:t>
      </w:r>
      <w:r w:rsidR="00852244">
        <w:rPr>
          <w:rFonts w:ascii="Arial" w:hAnsi="Arial" w:cs="Arial"/>
          <w:b w:val="0"/>
          <w:sz w:val="24"/>
          <w:szCs w:val="24"/>
        </w:rPr>
        <w:t xml:space="preserve"> </w:t>
      </w:r>
      <w:r w:rsidR="00C83F97">
        <w:rPr>
          <w:rFonts w:ascii="Arial" w:hAnsi="Arial" w:cs="Arial"/>
          <w:b w:val="0"/>
          <w:sz w:val="24"/>
          <w:szCs w:val="24"/>
        </w:rPr>
        <w:t xml:space="preserve">nuevo </w:t>
      </w:r>
      <w:r w:rsidR="00852244">
        <w:rPr>
          <w:rFonts w:ascii="Arial" w:hAnsi="Arial" w:cs="Arial"/>
          <w:b w:val="0"/>
          <w:sz w:val="24"/>
          <w:szCs w:val="24"/>
        </w:rPr>
        <w:t xml:space="preserve">inciso </w:t>
      </w:r>
      <w:r w:rsidR="00C83F97">
        <w:rPr>
          <w:rFonts w:ascii="Arial" w:hAnsi="Arial" w:cs="Arial"/>
          <w:b w:val="0"/>
          <w:sz w:val="24"/>
          <w:szCs w:val="24"/>
        </w:rPr>
        <w:t xml:space="preserve">cuarto en </w:t>
      </w:r>
      <w:r w:rsidR="00852244">
        <w:rPr>
          <w:rFonts w:ascii="Arial" w:hAnsi="Arial" w:cs="Arial"/>
          <w:b w:val="0"/>
          <w:sz w:val="24"/>
          <w:szCs w:val="24"/>
        </w:rPr>
        <w:t xml:space="preserve">el Artículo 489 del Código Penal </w:t>
      </w:r>
      <w:r w:rsidR="00C83F97">
        <w:rPr>
          <w:rFonts w:ascii="Arial" w:hAnsi="Arial" w:cs="Arial"/>
          <w:b w:val="0"/>
          <w:sz w:val="24"/>
          <w:szCs w:val="24"/>
        </w:rPr>
        <w:t>del siguiente tenor</w:t>
      </w:r>
      <w:r w:rsidR="00395AC2" w:rsidRPr="00935FE1">
        <w:rPr>
          <w:rFonts w:ascii="Arial" w:hAnsi="Arial" w:cs="Arial"/>
          <w:b w:val="0"/>
          <w:sz w:val="24"/>
          <w:szCs w:val="24"/>
        </w:rPr>
        <w:t>:</w:t>
      </w:r>
    </w:p>
    <w:p w:rsidR="00395AC2" w:rsidRDefault="00C83F97" w:rsidP="00C83F97">
      <w:pPr>
        <w:ind w:firstLine="708"/>
        <w:jc w:val="both"/>
        <w:rPr>
          <w:rFonts w:ascii="Arial" w:eastAsia="Open Sans" w:hAnsi="Arial" w:cs="Arial"/>
          <w:sz w:val="24"/>
          <w:szCs w:val="24"/>
          <w:lang w:eastAsia="es-MX"/>
        </w:rPr>
      </w:pPr>
      <w:r w:rsidRPr="00C83F97">
        <w:rPr>
          <w:rFonts w:ascii="Arial" w:eastAsia="Open Sans" w:hAnsi="Arial" w:cs="Arial"/>
          <w:sz w:val="24"/>
          <w:szCs w:val="24"/>
          <w:lang w:eastAsia="es-MX"/>
        </w:rPr>
        <w:t xml:space="preserve">“Con todo, </w:t>
      </w:r>
      <w:r>
        <w:rPr>
          <w:rFonts w:ascii="Arial" w:eastAsia="Open Sans" w:hAnsi="Arial" w:cs="Arial"/>
          <w:sz w:val="24"/>
          <w:szCs w:val="24"/>
          <w:lang w:eastAsia="es-MX"/>
        </w:rPr>
        <w:t>tratándose de hechos constitutivos de los delitos señalados en el inciso primero que sean denunciados en contexto de violencia intrafamiliar, no será aplicable la excepción establecida en este artículo y, deberá procederse a la investigación correspondiente, por parte del Ministerio Público.”</w:t>
      </w:r>
    </w:p>
    <w:p w:rsidR="00C83F97" w:rsidRDefault="00C83F97" w:rsidP="00C83F97">
      <w:pPr>
        <w:ind w:firstLine="708"/>
        <w:jc w:val="both"/>
        <w:rPr>
          <w:rFonts w:ascii="Arial" w:hAnsi="Arial" w:cs="Arial"/>
          <w:sz w:val="24"/>
          <w:szCs w:val="24"/>
        </w:rPr>
      </w:pPr>
    </w:p>
    <w:p w:rsidR="00545F23" w:rsidRDefault="00545F23" w:rsidP="00C83F97">
      <w:pPr>
        <w:ind w:firstLine="708"/>
        <w:jc w:val="both"/>
        <w:rPr>
          <w:rFonts w:ascii="Arial" w:hAnsi="Arial" w:cs="Arial"/>
          <w:sz w:val="24"/>
          <w:szCs w:val="24"/>
        </w:rPr>
      </w:pPr>
    </w:p>
    <w:p w:rsidR="00545F23" w:rsidRPr="00C83F97" w:rsidRDefault="00545F23" w:rsidP="00C83F97">
      <w:pPr>
        <w:ind w:firstLine="708"/>
        <w:jc w:val="both"/>
        <w:rPr>
          <w:rFonts w:ascii="Arial" w:hAnsi="Arial" w:cs="Arial"/>
          <w:sz w:val="24"/>
          <w:szCs w:val="24"/>
        </w:rPr>
      </w:pPr>
      <w:bookmarkStart w:id="2" w:name="_GoBack"/>
      <w:bookmarkEnd w:id="2"/>
    </w:p>
    <w:p w:rsidR="00395AC2" w:rsidRDefault="00395AC2" w:rsidP="00395AC2">
      <w:pPr>
        <w:rPr>
          <w:rFonts w:ascii="Arial" w:hAnsi="Arial" w:cs="Arial"/>
          <w:sz w:val="24"/>
          <w:szCs w:val="24"/>
        </w:rPr>
      </w:pPr>
    </w:p>
    <w:p w:rsidR="008D5010" w:rsidRPr="00935FE1" w:rsidRDefault="008D5010" w:rsidP="00395AC2">
      <w:pPr>
        <w:rPr>
          <w:rFonts w:ascii="Arial" w:hAnsi="Arial" w:cs="Arial"/>
          <w:sz w:val="24"/>
          <w:szCs w:val="24"/>
        </w:rPr>
      </w:pPr>
    </w:p>
    <w:p w:rsidR="00395AC2" w:rsidRPr="00935FE1" w:rsidRDefault="00395AC2" w:rsidP="00395AC2">
      <w:pPr>
        <w:rPr>
          <w:rFonts w:ascii="Arial" w:hAnsi="Arial" w:cs="Arial"/>
          <w:sz w:val="24"/>
          <w:szCs w:val="24"/>
        </w:rPr>
      </w:pPr>
    </w:p>
    <w:p w:rsidR="00395AC2" w:rsidRPr="00935FE1" w:rsidRDefault="00395AC2" w:rsidP="00395AC2">
      <w:pPr>
        <w:spacing w:after="0"/>
        <w:jc w:val="center"/>
        <w:rPr>
          <w:rFonts w:ascii="Arial" w:hAnsi="Arial" w:cs="Arial"/>
          <w:b/>
          <w:sz w:val="24"/>
          <w:szCs w:val="24"/>
        </w:rPr>
      </w:pPr>
      <w:r w:rsidRPr="00935FE1">
        <w:rPr>
          <w:rFonts w:ascii="Arial" w:hAnsi="Arial" w:cs="Arial"/>
          <w:b/>
          <w:sz w:val="24"/>
          <w:szCs w:val="24"/>
        </w:rPr>
        <w:t>RENÉ ALINCO BUSTOS</w:t>
      </w:r>
    </w:p>
    <w:p w:rsidR="00395AC2" w:rsidRPr="00935FE1" w:rsidRDefault="00395AC2" w:rsidP="00395AC2">
      <w:pPr>
        <w:spacing w:after="0"/>
        <w:jc w:val="center"/>
        <w:rPr>
          <w:rFonts w:ascii="Arial" w:hAnsi="Arial" w:cs="Arial"/>
          <w:b/>
          <w:sz w:val="24"/>
          <w:szCs w:val="24"/>
        </w:rPr>
      </w:pPr>
      <w:r w:rsidRPr="00935FE1">
        <w:rPr>
          <w:rFonts w:ascii="Arial" w:hAnsi="Arial" w:cs="Arial"/>
          <w:b/>
          <w:sz w:val="24"/>
          <w:szCs w:val="24"/>
        </w:rPr>
        <w:t>DIPUTADO DE LA REPÚBLICA</w:t>
      </w:r>
    </w:p>
    <w:p w:rsidR="00D33755" w:rsidRPr="00935FE1" w:rsidRDefault="00D33755"/>
    <w:sectPr w:rsidR="00D33755" w:rsidRPr="00935FE1" w:rsidSect="00935FE1">
      <w:headerReference w:type="default" r:id="rId8"/>
      <w:pgSz w:w="12240" w:h="20160" w:code="5"/>
      <w:pgMar w:top="1701" w:right="1701" w:bottom="255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073" w:rsidRDefault="00974073" w:rsidP="00395AC2">
      <w:pPr>
        <w:spacing w:after="0" w:line="240" w:lineRule="auto"/>
      </w:pPr>
      <w:r>
        <w:separator/>
      </w:r>
    </w:p>
  </w:endnote>
  <w:endnote w:type="continuationSeparator" w:id="0">
    <w:p w:rsidR="00974073" w:rsidRDefault="00974073" w:rsidP="00395A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073" w:rsidRDefault="00974073" w:rsidP="00395AC2">
      <w:pPr>
        <w:spacing w:after="0" w:line="240" w:lineRule="auto"/>
      </w:pPr>
      <w:r>
        <w:separator/>
      </w:r>
    </w:p>
  </w:footnote>
  <w:footnote w:type="continuationSeparator" w:id="0">
    <w:p w:rsidR="00974073" w:rsidRDefault="00974073" w:rsidP="00395AC2">
      <w:pPr>
        <w:spacing w:after="0" w:line="240" w:lineRule="auto"/>
      </w:pPr>
      <w:r>
        <w:continuationSeparator/>
      </w:r>
    </w:p>
  </w:footnote>
  <w:footnote w:id="1">
    <w:p w:rsidR="00545F23" w:rsidRPr="00545F23" w:rsidRDefault="00545F23">
      <w:pPr>
        <w:pStyle w:val="Textonotapie"/>
        <w:rPr>
          <w:lang w:val="es-MX"/>
        </w:rPr>
      </w:pPr>
      <w:r>
        <w:rPr>
          <w:rStyle w:val="Refdenotaalpie"/>
        </w:rPr>
        <w:footnoteRef/>
      </w:r>
      <w:r>
        <w:t xml:space="preserve"> </w:t>
      </w:r>
      <w:r>
        <w:rPr>
          <w:lang w:val="es-MX"/>
        </w:rPr>
        <w:t xml:space="preserve">Texto del Código Penal de 1875, disponible en </w:t>
      </w:r>
      <w:hyperlink r:id="rId1" w:history="1">
        <w:r w:rsidRPr="000C7DB4">
          <w:rPr>
            <w:rStyle w:val="Hipervnculo"/>
            <w:lang w:val="es-MX"/>
          </w:rPr>
          <w:t>www.bcn.cl</w:t>
        </w:r>
      </w:hyperlink>
    </w:p>
  </w:footnote>
  <w:footnote w:id="2">
    <w:p w:rsidR="00545F23" w:rsidRPr="00545F23" w:rsidRDefault="00545F23">
      <w:pPr>
        <w:pStyle w:val="Textonotapie"/>
        <w:rPr>
          <w:lang w:val="es-MX"/>
        </w:rPr>
      </w:pPr>
      <w:r>
        <w:rPr>
          <w:rStyle w:val="Refdenotaalpie"/>
        </w:rPr>
        <w:footnoteRef/>
      </w:r>
      <w:r>
        <w:t xml:space="preserve"> </w:t>
      </w:r>
      <w:r>
        <w:rPr>
          <w:lang w:val="es-MX"/>
        </w:rPr>
        <w:t xml:space="preserve">Citado por Clara  </w:t>
      </w:r>
      <w:proofErr w:type="spellStart"/>
      <w:r>
        <w:t>Szczaranski</w:t>
      </w:r>
      <w:proofErr w:type="spellEnd"/>
      <w:r>
        <w:t xml:space="preserve"> Cerda, en Revista de Derecho, Nº 10 (diciembre 2003), p.1. Disponible en </w:t>
      </w:r>
      <w:hyperlink r:id="rId2" w:history="1">
        <w:r>
          <w:rPr>
            <w:rStyle w:val="Hipervnculo"/>
          </w:rPr>
          <w:t>https://www.cde.cl/wps/wcm/connect/846bce56-f114-403d-93bd-652cbae86fc3/6.pdf?MOD=AJPERES</w:t>
        </w:r>
      </w:hyperlink>
    </w:p>
  </w:footnote>
  <w:footnote w:id="3">
    <w:p w:rsidR="00545F23" w:rsidRPr="00545F23" w:rsidRDefault="00545F23">
      <w:pPr>
        <w:pStyle w:val="Textonotapie"/>
        <w:rPr>
          <w:lang w:val="es-MX"/>
        </w:rPr>
      </w:pPr>
      <w:r>
        <w:rPr>
          <w:rStyle w:val="Refdenotaalpie"/>
        </w:rPr>
        <w:footnoteRef/>
      </w:r>
      <w:r>
        <w:t xml:space="preserve"> </w:t>
      </w:r>
      <w:r>
        <w:rPr>
          <w:lang w:val="es-MX"/>
        </w:rPr>
        <w:t xml:space="preserve">Fallo de la Corte Suprema, del </w:t>
      </w:r>
      <w:r>
        <w:t>18 de noviembre de 1997, en autos rol 2251-97, c</w:t>
      </w:r>
      <w:proofErr w:type="spellStart"/>
      <w:r>
        <w:rPr>
          <w:lang w:val="es-MX"/>
        </w:rPr>
        <w:t>itado</w:t>
      </w:r>
      <w:proofErr w:type="spellEnd"/>
      <w:r>
        <w:rPr>
          <w:lang w:val="es-MX"/>
        </w:rPr>
        <w:t xml:space="preserve"> por Clara  </w:t>
      </w:r>
      <w:proofErr w:type="spellStart"/>
      <w:r>
        <w:t>Szczaranski</w:t>
      </w:r>
      <w:proofErr w:type="spellEnd"/>
      <w:r>
        <w:t xml:space="preserve"> Cerda, en Revista de Derecho, Nº 10 (diciembre 2003), p.18. Disponible en </w:t>
      </w:r>
      <w:hyperlink r:id="rId3" w:history="1">
        <w:r>
          <w:rPr>
            <w:rStyle w:val="Hipervnculo"/>
          </w:rPr>
          <w:t>https://www.cde.cl/wps/wcm/connect/846bce56-f114-403d-93bd-652cbae86fc3/6.pdf?MOD=AJPERES</w:t>
        </w:r>
      </w:hyperlink>
    </w:p>
  </w:footnote>
  <w:footnote w:id="4">
    <w:p w:rsidR="00545F23" w:rsidRPr="00545F23" w:rsidRDefault="00545F23">
      <w:pPr>
        <w:pStyle w:val="Textonotapie"/>
        <w:rPr>
          <w:lang w:val="es-MX"/>
        </w:rPr>
      </w:pPr>
      <w:r>
        <w:rPr>
          <w:rStyle w:val="Refdenotaalpie"/>
        </w:rPr>
        <w:footnoteRef/>
      </w:r>
      <w:r>
        <w:t xml:space="preserve"> </w:t>
      </w:r>
      <w:r>
        <w:rPr>
          <w:lang w:val="es-MX"/>
        </w:rPr>
        <w:t xml:space="preserve">Extraído de  la página web del Observatorio Nacional de Violencia contra las Mujeres y los Integrantes del Grupo Familiar de Perú, disponible en </w:t>
      </w:r>
      <w:hyperlink r:id="rId4" w:history="1">
        <w:r>
          <w:rPr>
            <w:rStyle w:val="Hipervnculo"/>
          </w:rPr>
          <w:t>https://observatorioviolencia.pe/violencia-economica-o-patrimonial-hacia-las-mujeres-y-los-integrantes-del-grupo-familiar/</w:t>
        </w:r>
      </w:hyperlink>
    </w:p>
  </w:footnote>
  <w:footnote w:id="5">
    <w:p w:rsidR="00545F23" w:rsidRPr="00545F23" w:rsidRDefault="00545F23" w:rsidP="00545F23">
      <w:pPr>
        <w:pStyle w:val="Textonotapie"/>
        <w:jc w:val="both"/>
        <w:rPr>
          <w:lang w:val="es-MX"/>
        </w:rPr>
      </w:pPr>
      <w:r>
        <w:rPr>
          <w:rStyle w:val="Refdenotaalpie"/>
        </w:rPr>
        <w:footnoteRef/>
      </w:r>
      <w:r>
        <w:t xml:space="preserve"> SANCHEZ LARA, MARCELA y otros. Violencia económica y patrimonial: Una aproximación a través de la atención en los municipios de Riohacha, Buenaventura y el Distrito de Cartagena, disponible en </w:t>
      </w:r>
      <w:hyperlink r:id="rId5" w:history="1">
        <w:r>
          <w:rPr>
            <w:rStyle w:val="Hipervnculo"/>
          </w:rPr>
          <w:t>http://www.equidadmujer.gov.co/oag/Documents/Violencia-economica-patrimonial.pdf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755" w:rsidRDefault="00D33755" w:rsidP="00935FE1">
    <w:pPr>
      <w:pStyle w:val="Encabezado"/>
      <w:jc w:val="center"/>
    </w:pPr>
    <w:r>
      <w:rPr>
        <w:noProof/>
        <w:lang w:val="es-ES" w:eastAsia="es-ES"/>
      </w:rPr>
      <w:drawing>
        <wp:anchor distT="0" distB="0" distL="114300" distR="114300" simplePos="0" relativeHeight="251658240" behindDoc="0" locked="0" layoutInCell="1" allowOverlap="1">
          <wp:simplePos x="0" y="0"/>
          <wp:positionH relativeFrom="column">
            <wp:posOffset>2291715</wp:posOffset>
          </wp:positionH>
          <wp:positionV relativeFrom="paragraph">
            <wp:posOffset>-382905</wp:posOffset>
          </wp:positionV>
          <wp:extent cx="914400" cy="905510"/>
          <wp:effectExtent l="0" t="0" r="0" b="0"/>
          <wp:wrapThrough wrapText="bothSides">
            <wp:wrapPolygon edited="0">
              <wp:start x="7200" y="0"/>
              <wp:lineTo x="4950" y="1363"/>
              <wp:lineTo x="450" y="6362"/>
              <wp:lineTo x="900" y="14996"/>
              <wp:lineTo x="7200" y="19994"/>
              <wp:lineTo x="7650" y="20903"/>
              <wp:lineTo x="14400" y="20903"/>
              <wp:lineTo x="14850" y="19994"/>
              <wp:lineTo x="20250" y="14996"/>
              <wp:lineTo x="21150" y="8634"/>
              <wp:lineTo x="21150" y="5907"/>
              <wp:lineTo x="16200" y="909"/>
              <wp:lineTo x="13950" y="0"/>
              <wp:lineTo x="7200" y="0"/>
            </wp:wrapPolygon>
          </wp:wrapThrough>
          <wp:docPr id="3" name="Imagen 3" descr="https://camara.cl/common/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amara.cl/common/images/logo.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90551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E4D72"/>
    <w:multiLevelType w:val="hybridMultilevel"/>
    <w:tmpl w:val="4CBEA140"/>
    <w:lvl w:ilvl="0" w:tplc="0CAC91F8">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
    <w:nsid w:val="210A2CEA"/>
    <w:multiLevelType w:val="multilevel"/>
    <w:tmpl w:val="A69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EB399C"/>
    <w:multiLevelType w:val="hybridMultilevel"/>
    <w:tmpl w:val="ADAC48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4C32E67"/>
    <w:multiLevelType w:val="hybridMultilevel"/>
    <w:tmpl w:val="31A63D80"/>
    <w:lvl w:ilvl="0" w:tplc="BDD65F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BD421A7"/>
    <w:multiLevelType w:val="hybridMultilevel"/>
    <w:tmpl w:val="B650B8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5D8C013D"/>
    <w:multiLevelType w:val="hybridMultilevel"/>
    <w:tmpl w:val="2E142262"/>
    <w:lvl w:ilvl="0" w:tplc="57C0C5DC">
      <w:start w:val="1"/>
      <w:numFmt w:val="decimal"/>
      <w:lvlText w:val="%1."/>
      <w:lvlJc w:val="left"/>
      <w:pPr>
        <w:ind w:left="720" w:hanging="360"/>
      </w:pPr>
      <w:rPr>
        <w:rFonts w:ascii="Arial" w:hAnsi="Arial" w:cs="Arial"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6A0A619A"/>
    <w:multiLevelType w:val="hybridMultilevel"/>
    <w:tmpl w:val="5520469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70DC79C3"/>
    <w:multiLevelType w:val="hybridMultilevel"/>
    <w:tmpl w:val="9EFEE75C"/>
    <w:lvl w:ilvl="0" w:tplc="A48AC4F6">
      <w:start w:val="1"/>
      <w:numFmt w:val="decimal"/>
      <w:lvlText w:val="%1."/>
      <w:lvlJc w:val="left"/>
      <w:pPr>
        <w:ind w:left="1068" w:hanging="360"/>
      </w:pPr>
      <w:rPr>
        <w:rFonts w:hint="default"/>
        <w:b w:val="0"/>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8">
    <w:nsid w:val="7B0F44BD"/>
    <w:multiLevelType w:val="hybridMultilevel"/>
    <w:tmpl w:val="458C67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7"/>
  </w:num>
  <w:num w:numId="5">
    <w:abstractNumId w:val="0"/>
  </w:num>
  <w:num w:numId="6">
    <w:abstractNumId w:val="6"/>
  </w:num>
  <w:num w:numId="7">
    <w:abstractNumId w:val="5"/>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95AC2"/>
    <w:rsid w:val="000174B1"/>
    <w:rsid w:val="000C5819"/>
    <w:rsid w:val="00267A74"/>
    <w:rsid w:val="002E2F60"/>
    <w:rsid w:val="00395AC2"/>
    <w:rsid w:val="003B0F90"/>
    <w:rsid w:val="004306B6"/>
    <w:rsid w:val="004C0F8F"/>
    <w:rsid w:val="004E13BD"/>
    <w:rsid w:val="00524A03"/>
    <w:rsid w:val="00545F23"/>
    <w:rsid w:val="00586EAF"/>
    <w:rsid w:val="007D531C"/>
    <w:rsid w:val="008337DF"/>
    <w:rsid w:val="00835BEF"/>
    <w:rsid w:val="00852244"/>
    <w:rsid w:val="00876B0D"/>
    <w:rsid w:val="008A13AF"/>
    <w:rsid w:val="008D5010"/>
    <w:rsid w:val="00935FE1"/>
    <w:rsid w:val="00974073"/>
    <w:rsid w:val="009760D8"/>
    <w:rsid w:val="009864DE"/>
    <w:rsid w:val="009C0AA7"/>
    <w:rsid w:val="00AD5C9E"/>
    <w:rsid w:val="00AE4647"/>
    <w:rsid w:val="00B9125C"/>
    <w:rsid w:val="00B92375"/>
    <w:rsid w:val="00C74211"/>
    <w:rsid w:val="00C83F97"/>
    <w:rsid w:val="00D33755"/>
    <w:rsid w:val="00D35086"/>
    <w:rsid w:val="00D46A85"/>
    <w:rsid w:val="00DA484F"/>
    <w:rsid w:val="00DC4399"/>
    <w:rsid w:val="00E27A37"/>
    <w:rsid w:val="00E646FB"/>
    <w:rsid w:val="00EB2626"/>
    <w:rsid w:val="00F1348B"/>
    <w:rsid w:val="00F46059"/>
    <w:rsid w:val="00FA3AB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AC2"/>
  </w:style>
  <w:style w:type="paragraph" w:styleId="Ttulo1">
    <w:name w:val="heading 1"/>
    <w:basedOn w:val="Normal"/>
    <w:next w:val="Normal"/>
    <w:link w:val="Ttulo1Car"/>
    <w:uiPriority w:val="9"/>
    <w:qFormat/>
    <w:rsid w:val="00395AC2"/>
    <w:pPr>
      <w:keepNext/>
      <w:keepLines/>
      <w:spacing w:before="240" w:after="0"/>
      <w:jc w:val="both"/>
      <w:outlineLvl w:val="0"/>
    </w:pPr>
    <w:rPr>
      <w:rFonts w:ascii="Open Sans" w:eastAsia="Open Sans" w:hAnsi="Open Sans" w:cs="Open Sans"/>
      <w:b/>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5AC2"/>
    <w:rPr>
      <w:rFonts w:ascii="Open Sans" w:eastAsia="Open Sans" w:hAnsi="Open Sans" w:cs="Open Sans"/>
      <w:b/>
      <w:sz w:val="28"/>
      <w:szCs w:val="28"/>
      <w:lang w:eastAsia="es-MX"/>
    </w:rPr>
  </w:style>
  <w:style w:type="paragraph" w:styleId="Prrafodelista">
    <w:name w:val="List Paragraph"/>
    <w:basedOn w:val="Normal"/>
    <w:uiPriority w:val="34"/>
    <w:qFormat/>
    <w:rsid w:val="00395AC2"/>
    <w:pPr>
      <w:ind w:left="720"/>
      <w:contextualSpacing/>
      <w:jc w:val="both"/>
    </w:pPr>
    <w:rPr>
      <w:rFonts w:ascii="Open Sans" w:eastAsia="Open Sans" w:hAnsi="Open Sans" w:cs="Open Sans"/>
      <w:lang w:eastAsia="es-MX"/>
    </w:rPr>
  </w:style>
  <w:style w:type="paragraph" w:styleId="NormalWeb">
    <w:name w:val="Normal (Web)"/>
    <w:basedOn w:val="Normal"/>
    <w:uiPriority w:val="99"/>
    <w:semiHidden/>
    <w:unhideWhenUsed/>
    <w:rsid w:val="00395AC2"/>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HTMLconformatoprevio">
    <w:name w:val="HTML Preformatted"/>
    <w:basedOn w:val="Normal"/>
    <w:link w:val="HTMLconformatoprevioCar"/>
    <w:uiPriority w:val="99"/>
    <w:semiHidden/>
    <w:unhideWhenUsed/>
    <w:rsid w:val="00395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395AC2"/>
    <w:rPr>
      <w:rFonts w:ascii="Courier New" w:eastAsia="Times New Roman" w:hAnsi="Courier New" w:cs="Courier New"/>
      <w:sz w:val="20"/>
      <w:szCs w:val="20"/>
      <w:lang w:eastAsia="es-CL"/>
    </w:rPr>
  </w:style>
  <w:style w:type="paragraph" w:styleId="Encabezado">
    <w:name w:val="header"/>
    <w:basedOn w:val="Normal"/>
    <w:link w:val="EncabezadoCar"/>
    <w:uiPriority w:val="99"/>
    <w:unhideWhenUsed/>
    <w:rsid w:val="00935F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5FE1"/>
  </w:style>
  <w:style w:type="paragraph" w:styleId="Piedepgina">
    <w:name w:val="footer"/>
    <w:basedOn w:val="Normal"/>
    <w:link w:val="PiedepginaCar"/>
    <w:uiPriority w:val="99"/>
    <w:unhideWhenUsed/>
    <w:rsid w:val="00935F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5FE1"/>
  </w:style>
  <w:style w:type="paragraph" w:styleId="Textonotapie">
    <w:name w:val="footnote text"/>
    <w:basedOn w:val="Normal"/>
    <w:link w:val="TextonotapieCar"/>
    <w:uiPriority w:val="99"/>
    <w:semiHidden/>
    <w:unhideWhenUsed/>
    <w:rsid w:val="004C0F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C0F8F"/>
    <w:rPr>
      <w:sz w:val="20"/>
      <w:szCs w:val="20"/>
    </w:rPr>
  </w:style>
  <w:style w:type="character" w:styleId="Refdenotaalpie">
    <w:name w:val="footnote reference"/>
    <w:basedOn w:val="Fuentedeprrafopredeter"/>
    <w:uiPriority w:val="99"/>
    <w:semiHidden/>
    <w:unhideWhenUsed/>
    <w:rsid w:val="004C0F8F"/>
    <w:rPr>
      <w:vertAlign w:val="superscript"/>
    </w:rPr>
  </w:style>
  <w:style w:type="character" w:styleId="Hipervnculo">
    <w:name w:val="Hyperlink"/>
    <w:basedOn w:val="Fuentedeprrafopredeter"/>
    <w:uiPriority w:val="99"/>
    <w:unhideWhenUsed/>
    <w:rsid w:val="004C0F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AC2"/>
  </w:style>
  <w:style w:type="paragraph" w:styleId="Ttulo1">
    <w:name w:val="heading 1"/>
    <w:basedOn w:val="Normal"/>
    <w:next w:val="Normal"/>
    <w:link w:val="Ttulo1Car"/>
    <w:uiPriority w:val="9"/>
    <w:qFormat/>
    <w:rsid w:val="00395AC2"/>
    <w:pPr>
      <w:keepNext/>
      <w:keepLines/>
      <w:spacing w:before="240" w:after="0"/>
      <w:jc w:val="both"/>
      <w:outlineLvl w:val="0"/>
    </w:pPr>
    <w:rPr>
      <w:rFonts w:ascii="Open Sans" w:eastAsia="Open Sans" w:hAnsi="Open Sans" w:cs="Open Sans"/>
      <w:b/>
      <w:sz w:val="28"/>
      <w:szCs w:val="28"/>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5AC2"/>
    <w:rPr>
      <w:rFonts w:ascii="Open Sans" w:eastAsia="Open Sans" w:hAnsi="Open Sans" w:cs="Open Sans"/>
      <w:b/>
      <w:sz w:val="28"/>
      <w:szCs w:val="28"/>
      <w:lang w:val="es" w:eastAsia="es-MX"/>
    </w:rPr>
  </w:style>
  <w:style w:type="paragraph" w:styleId="Prrafodelista">
    <w:name w:val="List Paragraph"/>
    <w:basedOn w:val="Normal"/>
    <w:uiPriority w:val="34"/>
    <w:qFormat/>
    <w:rsid w:val="00395AC2"/>
    <w:pPr>
      <w:ind w:left="720"/>
      <w:contextualSpacing/>
      <w:jc w:val="both"/>
    </w:pPr>
    <w:rPr>
      <w:rFonts w:ascii="Open Sans" w:eastAsia="Open Sans" w:hAnsi="Open Sans" w:cs="Open Sans"/>
      <w:lang w:val="es" w:eastAsia="es-MX"/>
    </w:rPr>
  </w:style>
  <w:style w:type="paragraph" w:styleId="NormalWeb">
    <w:name w:val="Normal (Web)"/>
    <w:basedOn w:val="Normal"/>
    <w:uiPriority w:val="99"/>
    <w:semiHidden/>
    <w:unhideWhenUsed/>
    <w:rsid w:val="00395AC2"/>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HTMLconformatoprevio">
    <w:name w:val="HTML Preformatted"/>
    <w:basedOn w:val="Normal"/>
    <w:link w:val="HTMLconformatoprevioCar"/>
    <w:uiPriority w:val="99"/>
    <w:semiHidden/>
    <w:unhideWhenUsed/>
    <w:rsid w:val="00395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395AC2"/>
    <w:rPr>
      <w:rFonts w:ascii="Courier New" w:eastAsia="Times New Roman" w:hAnsi="Courier New" w:cs="Courier New"/>
      <w:sz w:val="20"/>
      <w:szCs w:val="20"/>
      <w:lang w:eastAsia="es-CL"/>
    </w:rPr>
  </w:style>
  <w:style w:type="paragraph" w:styleId="Encabezado">
    <w:name w:val="header"/>
    <w:basedOn w:val="Normal"/>
    <w:link w:val="EncabezadoCar"/>
    <w:uiPriority w:val="99"/>
    <w:unhideWhenUsed/>
    <w:rsid w:val="00935F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5FE1"/>
  </w:style>
  <w:style w:type="paragraph" w:styleId="Piedepgina">
    <w:name w:val="footer"/>
    <w:basedOn w:val="Normal"/>
    <w:link w:val="PiedepginaCar"/>
    <w:uiPriority w:val="99"/>
    <w:unhideWhenUsed/>
    <w:rsid w:val="00935F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5FE1"/>
  </w:style>
  <w:style w:type="paragraph" w:styleId="Textonotapie">
    <w:name w:val="footnote text"/>
    <w:basedOn w:val="Normal"/>
    <w:link w:val="TextonotapieCar"/>
    <w:uiPriority w:val="99"/>
    <w:semiHidden/>
    <w:unhideWhenUsed/>
    <w:rsid w:val="004C0F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C0F8F"/>
    <w:rPr>
      <w:sz w:val="20"/>
      <w:szCs w:val="20"/>
    </w:rPr>
  </w:style>
  <w:style w:type="character" w:styleId="Refdenotaalpie">
    <w:name w:val="footnote reference"/>
    <w:basedOn w:val="Fuentedeprrafopredeter"/>
    <w:uiPriority w:val="99"/>
    <w:semiHidden/>
    <w:unhideWhenUsed/>
    <w:rsid w:val="004C0F8F"/>
    <w:rPr>
      <w:vertAlign w:val="superscript"/>
    </w:rPr>
  </w:style>
  <w:style w:type="character" w:styleId="Hipervnculo">
    <w:name w:val="Hyperlink"/>
    <w:basedOn w:val="Fuentedeprrafopredeter"/>
    <w:uiPriority w:val="99"/>
    <w:unhideWhenUsed/>
    <w:rsid w:val="004C0F8F"/>
    <w:rPr>
      <w:color w:val="0000FF"/>
      <w:u w:val="single"/>
    </w:rPr>
  </w:style>
</w:styles>
</file>

<file path=word/webSettings.xml><?xml version="1.0" encoding="utf-8"?>
<w:webSettings xmlns:r="http://schemas.openxmlformats.org/officeDocument/2006/relationships" xmlns:w="http://schemas.openxmlformats.org/wordprocessingml/2006/main">
  <w:divs>
    <w:div w:id="626620686">
      <w:bodyDiv w:val="1"/>
      <w:marLeft w:val="0"/>
      <w:marRight w:val="0"/>
      <w:marTop w:val="0"/>
      <w:marBottom w:val="0"/>
      <w:divBdr>
        <w:top w:val="none" w:sz="0" w:space="0" w:color="auto"/>
        <w:left w:val="none" w:sz="0" w:space="0" w:color="auto"/>
        <w:bottom w:val="none" w:sz="0" w:space="0" w:color="auto"/>
        <w:right w:val="none" w:sz="0" w:space="0" w:color="auto"/>
      </w:divBdr>
    </w:div>
    <w:div w:id="649093033">
      <w:bodyDiv w:val="1"/>
      <w:marLeft w:val="0"/>
      <w:marRight w:val="0"/>
      <w:marTop w:val="0"/>
      <w:marBottom w:val="0"/>
      <w:divBdr>
        <w:top w:val="none" w:sz="0" w:space="0" w:color="auto"/>
        <w:left w:val="none" w:sz="0" w:space="0" w:color="auto"/>
        <w:bottom w:val="none" w:sz="0" w:space="0" w:color="auto"/>
        <w:right w:val="none" w:sz="0" w:space="0" w:color="auto"/>
      </w:divBdr>
    </w:div>
    <w:div w:id="728697001">
      <w:bodyDiv w:val="1"/>
      <w:marLeft w:val="0"/>
      <w:marRight w:val="0"/>
      <w:marTop w:val="0"/>
      <w:marBottom w:val="0"/>
      <w:divBdr>
        <w:top w:val="none" w:sz="0" w:space="0" w:color="auto"/>
        <w:left w:val="none" w:sz="0" w:space="0" w:color="auto"/>
        <w:bottom w:val="none" w:sz="0" w:space="0" w:color="auto"/>
        <w:right w:val="none" w:sz="0" w:space="0" w:color="auto"/>
      </w:divBdr>
    </w:div>
    <w:div w:id="757487464">
      <w:bodyDiv w:val="1"/>
      <w:marLeft w:val="0"/>
      <w:marRight w:val="0"/>
      <w:marTop w:val="0"/>
      <w:marBottom w:val="0"/>
      <w:divBdr>
        <w:top w:val="none" w:sz="0" w:space="0" w:color="auto"/>
        <w:left w:val="none" w:sz="0" w:space="0" w:color="auto"/>
        <w:bottom w:val="none" w:sz="0" w:space="0" w:color="auto"/>
        <w:right w:val="none" w:sz="0" w:space="0" w:color="auto"/>
      </w:divBdr>
    </w:div>
    <w:div w:id="1752464589">
      <w:bodyDiv w:val="1"/>
      <w:marLeft w:val="0"/>
      <w:marRight w:val="0"/>
      <w:marTop w:val="0"/>
      <w:marBottom w:val="0"/>
      <w:divBdr>
        <w:top w:val="none" w:sz="0" w:space="0" w:color="auto"/>
        <w:left w:val="none" w:sz="0" w:space="0" w:color="auto"/>
        <w:bottom w:val="none" w:sz="0" w:space="0" w:color="auto"/>
        <w:right w:val="none" w:sz="0" w:space="0" w:color="auto"/>
      </w:divBdr>
      <w:divsChild>
        <w:div w:id="961182174">
          <w:marLeft w:val="0"/>
          <w:marRight w:val="0"/>
          <w:marTop w:val="0"/>
          <w:marBottom w:val="0"/>
          <w:divBdr>
            <w:top w:val="none" w:sz="0" w:space="0" w:color="auto"/>
            <w:left w:val="none" w:sz="0" w:space="0" w:color="auto"/>
            <w:bottom w:val="none" w:sz="0" w:space="0" w:color="auto"/>
            <w:right w:val="none" w:sz="0" w:space="0" w:color="auto"/>
          </w:divBdr>
        </w:div>
      </w:divsChild>
    </w:div>
    <w:div w:id="193581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de.cl/wps/wcm/connect/846bce56-f114-403d-93bd-652cbae86fc3/6.pdf?MOD=AJPERES" TargetMode="External"/><Relationship Id="rId2" Type="http://schemas.openxmlformats.org/officeDocument/2006/relationships/hyperlink" Target="https://www.cde.cl/wps/wcm/connect/846bce56-f114-403d-93bd-652cbae86fc3/6.pdf?MOD=AJPERES" TargetMode="External"/><Relationship Id="rId1" Type="http://schemas.openxmlformats.org/officeDocument/2006/relationships/hyperlink" Target="http://www.bcn.cl" TargetMode="External"/><Relationship Id="rId5" Type="http://schemas.openxmlformats.org/officeDocument/2006/relationships/hyperlink" Target="http://www.equidadmujer.gov.co/oag/Documents/Violencia-economica-patrimonial.pdf" TargetMode="External"/><Relationship Id="rId4" Type="http://schemas.openxmlformats.org/officeDocument/2006/relationships/hyperlink" Target="https://observatorioviolencia.pe/violencia-economica-o-patrimonial-hacia-las-mujeres-y-los-integrantes-del-grupo-famili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5D058-75C9-4DEB-B4AF-D2442A8E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1680</Words>
  <Characters>9243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disetica</Company>
  <LinksUpToDate>false</LinksUpToDate>
  <CharactersWithSpaces>10902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José Rojas</dc:creator>
  <cp:lastModifiedBy>Guillermo Diaz Vallejos</cp:lastModifiedBy>
  <cp:revision>5</cp:revision>
  <dcterms:created xsi:type="dcterms:W3CDTF">2019-10-03T19:06:00Z</dcterms:created>
  <dcterms:modified xsi:type="dcterms:W3CDTF">2020-01-29T22:02:00Z</dcterms:modified>
</cp:coreProperties>
</file>