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BBA" w:rsidRDefault="00567BBA" w:rsidP="00892C37">
      <w:pPr>
        <w:spacing w:after="0" w:line="240" w:lineRule="auto"/>
        <w:jc w:val="both"/>
        <w:rPr>
          <w:rFonts w:asciiTheme="majorHAnsi" w:hAnsiTheme="majorHAnsi"/>
          <w:b/>
          <w:bCs/>
          <w:sz w:val="24"/>
          <w:szCs w:val="24"/>
        </w:rPr>
      </w:pPr>
      <w:r w:rsidRPr="00567BBA">
        <w:rPr>
          <w:rFonts w:asciiTheme="majorHAnsi" w:hAnsiTheme="majorHAnsi"/>
          <w:b/>
          <w:bCs/>
          <w:sz w:val="24"/>
          <w:szCs w:val="24"/>
        </w:rPr>
        <w:t>Modifica el Código Penal para sancionar la inobservancia del aislamiento u otra medida preventiva dispuesta por la autoridad sanitaria, en caso de epidemia o pandemia</w:t>
      </w:r>
    </w:p>
    <w:p w:rsidR="00567BBA" w:rsidRDefault="00567BBA" w:rsidP="00892C37">
      <w:pPr>
        <w:spacing w:after="0" w:line="240" w:lineRule="auto"/>
        <w:jc w:val="both"/>
        <w:rPr>
          <w:rFonts w:asciiTheme="majorHAnsi" w:hAnsiTheme="majorHAnsi"/>
          <w:b/>
          <w:bCs/>
          <w:sz w:val="24"/>
          <w:szCs w:val="24"/>
        </w:rPr>
      </w:pPr>
    </w:p>
    <w:p w:rsidR="00567BBA" w:rsidRDefault="00567BBA" w:rsidP="00567BBA">
      <w:pPr>
        <w:spacing w:after="0" w:line="240" w:lineRule="auto"/>
        <w:jc w:val="center"/>
        <w:rPr>
          <w:rFonts w:asciiTheme="majorHAnsi" w:hAnsiTheme="majorHAnsi"/>
          <w:b/>
          <w:bCs/>
          <w:sz w:val="24"/>
          <w:szCs w:val="24"/>
        </w:rPr>
      </w:pPr>
      <w:r w:rsidRPr="00567BBA">
        <w:rPr>
          <w:rFonts w:asciiTheme="majorHAnsi" w:hAnsiTheme="majorHAnsi"/>
          <w:b/>
          <w:bCs/>
          <w:sz w:val="24"/>
          <w:szCs w:val="24"/>
        </w:rPr>
        <w:t>Boletín N° 13304-11</w:t>
      </w:r>
    </w:p>
    <w:p w:rsidR="00892C37" w:rsidRDefault="00892C37" w:rsidP="00892C37">
      <w:pPr>
        <w:spacing w:after="0" w:line="240" w:lineRule="auto"/>
        <w:jc w:val="both"/>
        <w:rPr>
          <w:rFonts w:asciiTheme="majorHAnsi" w:hAnsiTheme="majorHAnsi"/>
          <w:b/>
          <w:bCs/>
          <w:sz w:val="24"/>
          <w:szCs w:val="24"/>
        </w:rPr>
      </w:pPr>
    </w:p>
    <w:p w:rsidR="00567BBA" w:rsidRPr="001257D8" w:rsidRDefault="00567BBA" w:rsidP="00892C37">
      <w:pPr>
        <w:spacing w:after="0" w:line="240" w:lineRule="auto"/>
        <w:jc w:val="both"/>
        <w:rPr>
          <w:rFonts w:asciiTheme="majorHAnsi" w:hAnsiTheme="majorHAnsi"/>
          <w:b/>
          <w:bCs/>
          <w:sz w:val="24"/>
          <w:szCs w:val="24"/>
        </w:rPr>
      </w:pPr>
    </w:p>
    <w:p w:rsidR="00F47269" w:rsidRDefault="00C349BD" w:rsidP="00C349BD">
      <w:pPr>
        <w:spacing w:after="0" w:line="240" w:lineRule="auto"/>
        <w:jc w:val="center"/>
        <w:rPr>
          <w:rFonts w:asciiTheme="majorHAnsi" w:hAnsiTheme="majorHAnsi"/>
          <w:b/>
          <w:bCs/>
          <w:i/>
          <w:iCs/>
          <w:sz w:val="24"/>
          <w:szCs w:val="24"/>
        </w:rPr>
      </w:pPr>
      <w:r w:rsidRPr="00C349BD">
        <w:rPr>
          <w:rFonts w:asciiTheme="majorHAnsi" w:hAnsiTheme="majorHAnsi"/>
          <w:sz w:val="24"/>
          <w:szCs w:val="24"/>
        </w:rPr>
        <w:t>1.</w:t>
      </w:r>
      <w:r>
        <w:rPr>
          <w:rFonts w:asciiTheme="majorHAnsi" w:hAnsiTheme="majorHAnsi"/>
          <w:b/>
          <w:bCs/>
          <w:i/>
          <w:iCs/>
          <w:sz w:val="24"/>
          <w:szCs w:val="24"/>
        </w:rPr>
        <w:t xml:space="preserve"> </w:t>
      </w:r>
      <w:r w:rsidR="00892C37" w:rsidRPr="00C349BD">
        <w:rPr>
          <w:rFonts w:asciiTheme="majorHAnsi" w:hAnsiTheme="majorHAnsi"/>
          <w:b/>
          <w:bCs/>
          <w:i/>
          <w:iCs/>
          <w:sz w:val="24"/>
          <w:szCs w:val="24"/>
        </w:rPr>
        <w:t>Fundamentos y antecedentes</w:t>
      </w:r>
    </w:p>
    <w:p w:rsidR="00C349BD" w:rsidRDefault="00C349BD" w:rsidP="00C349BD">
      <w:pPr>
        <w:spacing w:after="0" w:line="240" w:lineRule="auto"/>
        <w:jc w:val="center"/>
        <w:rPr>
          <w:rFonts w:asciiTheme="majorHAnsi" w:hAnsiTheme="majorHAnsi"/>
          <w:b/>
          <w:bCs/>
          <w:i/>
          <w:iCs/>
          <w:sz w:val="24"/>
          <w:szCs w:val="24"/>
        </w:rPr>
      </w:pPr>
    </w:p>
    <w:p w:rsidR="00C349BD" w:rsidRDefault="00C349BD" w:rsidP="00C349BD">
      <w:pPr>
        <w:spacing w:after="0" w:line="240" w:lineRule="auto"/>
        <w:jc w:val="center"/>
        <w:rPr>
          <w:rFonts w:asciiTheme="majorHAnsi" w:hAnsiTheme="majorHAnsi"/>
          <w:b/>
          <w:bCs/>
          <w:i/>
          <w:iCs/>
          <w:sz w:val="24"/>
          <w:szCs w:val="24"/>
        </w:rPr>
      </w:pPr>
    </w:p>
    <w:p w:rsidR="00C349BD" w:rsidRDefault="00C349BD" w:rsidP="00C349BD">
      <w:pPr>
        <w:spacing w:after="0" w:line="240" w:lineRule="auto"/>
        <w:jc w:val="both"/>
        <w:rPr>
          <w:rFonts w:asciiTheme="majorHAnsi" w:hAnsiTheme="majorHAnsi"/>
          <w:sz w:val="24"/>
          <w:szCs w:val="24"/>
        </w:rPr>
      </w:pPr>
      <w:r>
        <w:rPr>
          <w:rFonts w:asciiTheme="majorHAnsi" w:hAnsiTheme="majorHAnsi"/>
          <w:sz w:val="24"/>
          <w:szCs w:val="24"/>
        </w:rPr>
        <w:tab/>
        <w:t xml:space="preserve">Pese a su larga data, el Código Penal contempla, en el Párrafo XIV del Título VI del Libro III, un apartado especial para sancionar aquellas conductas que atentan contra la salubridad o salud pública. </w:t>
      </w:r>
    </w:p>
    <w:p w:rsidR="00C349BD" w:rsidRDefault="00C349BD" w:rsidP="00C349BD">
      <w:pPr>
        <w:spacing w:after="0" w:line="240" w:lineRule="auto"/>
        <w:jc w:val="both"/>
        <w:rPr>
          <w:rFonts w:asciiTheme="majorHAnsi" w:hAnsiTheme="majorHAnsi"/>
          <w:sz w:val="24"/>
          <w:szCs w:val="24"/>
        </w:rPr>
      </w:pPr>
    </w:p>
    <w:p w:rsidR="00C349BD" w:rsidRDefault="00C349BD" w:rsidP="00C349BD">
      <w:pPr>
        <w:spacing w:after="0" w:line="240" w:lineRule="auto"/>
        <w:jc w:val="both"/>
        <w:rPr>
          <w:rFonts w:asciiTheme="majorHAnsi" w:hAnsiTheme="majorHAnsi"/>
          <w:sz w:val="24"/>
          <w:szCs w:val="24"/>
        </w:rPr>
      </w:pPr>
      <w:r>
        <w:rPr>
          <w:rFonts w:asciiTheme="majorHAnsi" w:hAnsiTheme="majorHAnsi"/>
          <w:sz w:val="24"/>
          <w:szCs w:val="24"/>
        </w:rPr>
        <w:tab/>
        <w:t xml:space="preserve">Los tipos penales señalados, reformados sucesivamente a lo largo de la vigencia del Código, se hacen cargo de una multiplicidad de conductas que atentan contra la salud de las personas: la elaboración de agentes y elementos nocivos, la irradiación o vertido de los mismos, el ejercicio ilegal de profesiones del área de la salud, el envenenamiento o dimanación de agentes patógenos, </w:t>
      </w:r>
      <w:r w:rsidR="00530905">
        <w:rPr>
          <w:rFonts w:asciiTheme="majorHAnsi" w:hAnsiTheme="majorHAnsi"/>
          <w:sz w:val="24"/>
          <w:szCs w:val="24"/>
        </w:rPr>
        <w:t xml:space="preserve">gérmenes, </w:t>
      </w:r>
      <w:r>
        <w:rPr>
          <w:rFonts w:asciiTheme="majorHAnsi" w:hAnsiTheme="majorHAnsi"/>
          <w:sz w:val="24"/>
          <w:szCs w:val="24"/>
        </w:rPr>
        <w:t xml:space="preserve">entre </w:t>
      </w:r>
      <w:r w:rsidR="00E9571E">
        <w:rPr>
          <w:rFonts w:asciiTheme="majorHAnsi" w:hAnsiTheme="majorHAnsi"/>
          <w:sz w:val="24"/>
          <w:szCs w:val="24"/>
        </w:rPr>
        <w:t xml:space="preserve">varias </w:t>
      </w:r>
      <w:r>
        <w:rPr>
          <w:rFonts w:asciiTheme="majorHAnsi" w:hAnsiTheme="majorHAnsi"/>
          <w:sz w:val="24"/>
          <w:szCs w:val="24"/>
        </w:rPr>
        <w:t>otras</w:t>
      </w:r>
      <w:r w:rsidR="009450D9">
        <w:rPr>
          <w:rFonts w:asciiTheme="majorHAnsi" w:hAnsiTheme="majorHAnsi"/>
          <w:sz w:val="24"/>
          <w:szCs w:val="24"/>
        </w:rPr>
        <w:t xml:space="preserve">. </w:t>
      </w:r>
    </w:p>
    <w:p w:rsidR="00C349BD" w:rsidRDefault="00C349BD" w:rsidP="00C349BD">
      <w:pPr>
        <w:spacing w:after="0" w:line="240" w:lineRule="auto"/>
        <w:jc w:val="both"/>
        <w:rPr>
          <w:rFonts w:asciiTheme="majorHAnsi" w:hAnsiTheme="majorHAnsi"/>
          <w:sz w:val="24"/>
          <w:szCs w:val="24"/>
        </w:rPr>
      </w:pPr>
    </w:p>
    <w:p w:rsidR="00C349BD" w:rsidRDefault="00C349BD" w:rsidP="00C349BD">
      <w:pPr>
        <w:spacing w:after="0" w:line="240" w:lineRule="auto"/>
        <w:jc w:val="both"/>
        <w:rPr>
          <w:rFonts w:asciiTheme="majorHAnsi" w:hAnsiTheme="majorHAnsi"/>
          <w:sz w:val="24"/>
          <w:szCs w:val="24"/>
        </w:rPr>
      </w:pPr>
      <w:r>
        <w:rPr>
          <w:rFonts w:asciiTheme="majorHAnsi" w:hAnsiTheme="majorHAnsi"/>
          <w:sz w:val="24"/>
          <w:szCs w:val="24"/>
        </w:rPr>
        <w:tab/>
        <w:t xml:space="preserve">Este apartado </w:t>
      </w:r>
      <w:r w:rsidR="00645418">
        <w:rPr>
          <w:rFonts w:asciiTheme="majorHAnsi" w:hAnsiTheme="majorHAnsi"/>
          <w:sz w:val="24"/>
          <w:szCs w:val="24"/>
        </w:rPr>
        <w:t>no ha sido estudiado profusamente por la doctrina, ni genera un número representativo de causas en la justicia penal</w:t>
      </w:r>
      <w:r w:rsidR="00645418">
        <w:rPr>
          <w:rStyle w:val="Refdenotaalpie"/>
          <w:rFonts w:asciiTheme="majorHAnsi" w:hAnsiTheme="majorHAnsi"/>
          <w:sz w:val="24"/>
          <w:szCs w:val="24"/>
        </w:rPr>
        <w:footnoteReference w:id="1"/>
      </w:r>
      <w:r w:rsidR="00645418">
        <w:rPr>
          <w:rFonts w:asciiTheme="majorHAnsi" w:hAnsiTheme="majorHAnsi"/>
          <w:sz w:val="24"/>
          <w:szCs w:val="24"/>
        </w:rPr>
        <w:t xml:space="preserve">, por lo que la extensión de los tipos penales que contempla no siempre ha resultado del todo clara, habida consideración además de la antigüedad de su redacción. </w:t>
      </w:r>
      <w:r w:rsidR="009450D9">
        <w:rPr>
          <w:rFonts w:asciiTheme="majorHAnsi" w:hAnsiTheme="majorHAnsi"/>
          <w:sz w:val="24"/>
          <w:szCs w:val="24"/>
        </w:rPr>
        <w:t>Ante estos déficits normativos</w:t>
      </w:r>
      <w:r w:rsidR="00530905">
        <w:rPr>
          <w:rFonts w:asciiTheme="majorHAnsi" w:hAnsiTheme="majorHAnsi"/>
          <w:sz w:val="24"/>
          <w:szCs w:val="24"/>
        </w:rPr>
        <w:t>, a saber</w:t>
      </w:r>
      <w:r w:rsidR="009450D9">
        <w:rPr>
          <w:rFonts w:asciiTheme="majorHAnsi" w:hAnsiTheme="majorHAnsi"/>
          <w:sz w:val="24"/>
          <w:szCs w:val="24"/>
        </w:rPr>
        <w:t xml:space="preserve">: la poca claridad sobre sus alcances y la antigüedad de las figuras delictivas es necesario partir constatando la relevancia del bien jurídico que protegen. </w:t>
      </w:r>
    </w:p>
    <w:p w:rsidR="009450D9" w:rsidRDefault="009450D9" w:rsidP="00C349BD">
      <w:pPr>
        <w:spacing w:after="0" w:line="240" w:lineRule="auto"/>
        <w:jc w:val="both"/>
        <w:rPr>
          <w:rFonts w:asciiTheme="majorHAnsi" w:hAnsiTheme="majorHAnsi"/>
          <w:sz w:val="24"/>
          <w:szCs w:val="24"/>
        </w:rPr>
      </w:pPr>
    </w:p>
    <w:p w:rsidR="009450D9" w:rsidRDefault="009450D9" w:rsidP="009450D9">
      <w:pPr>
        <w:spacing w:after="0" w:line="240" w:lineRule="auto"/>
        <w:jc w:val="both"/>
        <w:rPr>
          <w:rFonts w:asciiTheme="majorHAnsi" w:hAnsiTheme="majorHAnsi"/>
          <w:sz w:val="24"/>
          <w:szCs w:val="24"/>
        </w:rPr>
      </w:pPr>
      <w:r>
        <w:rPr>
          <w:rFonts w:asciiTheme="majorHAnsi" w:hAnsiTheme="majorHAnsi"/>
          <w:sz w:val="24"/>
          <w:szCs w:val="24"/>
        </w:rPr>
        <w:tab/>
        <w:t>Un reciente estudio sobre la materia afirma que la salud pública, a la luz del Párrafo del Código Penal que la tutela, es “</w:t>
      </w:r>
      <w:r w:rsidRPr="009450D9">
        <w:rPr>
          <w:rFonts w:asciiTheme="majorHAnsi" w:hAnsiTheme="majorHAnsi"/>
          <w:i/>
          <w:iCs/>
          <w:sz w:val="24"/>
          <w:szCs w:val="24"/>
        </w:rPr>
        <w:t>un bien colectivo, autónomo e independiente, no equiparándose a las saludes individuales, sino al conjunto de condiciones positivas y negativas que garantizan la salud</w:t>
      </w:r>
      <w:r>
        <w:rPr>
          <w:rFonts w:asciiTheme="majorHAnsi" w:hAnsiTheme="majorHAnsi"/>
          <w:sz w:val="24"/>
          <w:szCs w:val="24"/>
        </w:rPr>
        <w:t>”</w:t>
      </w:r>
      <w:r>
        <w:rPr>
          <w:rStyle w:val="Refdenotaalpie"/>
          <w:rFonts w:asciiTheme="majorHAnsi" w:hAnsiTheme="majorHAnsi"/>
          <w:sz w:val="24"/>
          <w:szCs w:val="24"/>
        </w:rPr>
        <w:footnoteReference w:id="2"/>
      </w:r>
      <w:r>
        <w:rPr>
          <w:rFonts w:asciiTheme="majorHAnsi" w:hAnsiTheme="majorHAnsi"/>
          <w:sz w:val="24"/>
          <w:szCs w:val="24"/>
        </w:rPr>
        <w:t xml:space="preserve"> Profundizando, señala que es también: “</w:t>
      </w:r>
      <w:r w:rsidRPr="009450D9">
        <w:rPr>
          <w:rFonts w:asciiTheme="majorHAnsi" w:hAnsiTheme="majorHAnsi"/>
          <w:i/>
          <w:iCs/>
          <w:sz w:val="24"/>
          <w:szCs w:val="24"/>
        </w:rPr>
        <w:t>un bien jurídico colectivo con entidad propia, el cual tiende a vincularse a la seguridad en el consumo, con un contenido e injusto propio</w:t>
      </w:r>
      <w:r w:rsidRPr="009450D9">
        <w:rPr>
          <w:rFonts w:asciiTheme="majorHAnsi" w:hAnsiTheme="majorHAnsi"/>
          <w:sz w:val="24"/>
          <w:szCs w:val="24"/>
        </w:rPr>
        <w:t>.</w:t>
      </w:r>
      <w:r>
        <w:rPr>
          <w:rFonts w:asciiTheme="majorHAnsi" w:hAnsiTheme="majorHAnsi"/>
          <w:sz w:val="24"/>
          <w:szCs w:val="24"/>
        </w:rPr>
        <w:t>”</w:t>
      </w:r>
      <w:r w:rsidR="00803375">
        <w:rPr>
          <w:rStyle w:val="Refdenotaalpie"/>
          <w:rFonts w:asciiTheme="majorHAnsi" w:hAnsiTheme="majorHAnsi"/>
          <w:sz w:val="24"/>
          <w:szCs w:val="24"/>
        </w:rPr>
        <w:footnoteReference w:id="3"/>
      </w:r>
    </w:p>
    <w:p w:rsidR="00803375" w:rsidRDefault="00803375" w:rsidP="009450D9">
      <w:pPr>
        <w:spacing w:after="0" w:line="240" w:lineRule="auto"/>
        <w:jc w:val="both"/>
        <w:rPr>
          <w:rFonts w:asciiTheme="majorHAnsi" w:hAnsiTheme="majorHAnsi"/>
          <w:sz w:val="24"/>
          <w:szCs w:val="24"/>
        </w:rPr>
      </w:pPr>
    </w:p>
    <w:p w:rsidR="00803375" w:rsidRDefault="00803375" w:rsidP="009450D9">
      <w:pPr>
        <w:spacing w:after="0" w:line="240" w:lineRule="auto"/>
        <w:jc w:val="both"/>
        <w:rPr>
          <w:rFonts w:asciiTheme="majorHAnsi" w:hAnsiTheme="majorHAnsi"/>
          <w:sz w:val="24"/>
          <w:szCs w:val="24"/>
        </w:rPr>
      </w:pPr>
      <w:r>
        <w:rPr>
          <w:rFonts w:asciiTheme="majorHAnsi" w:hAnsiTheme="majorHAnsi"/>
          <w:sz w:val="24"/>
          <w:szCs w:val="24"/>
        </w:rPr>
        <w:lastRenderedPageBreak/>
        <w:tab/>
        <w:t>Según lo caracterizado, tal como ocurre con la mayoría de los bienes jurídicos que son definidos como colectivos, la salud pública presenta una característica supraindividual, encaminada a la concreción o realización de bienes individuales. Claro está, la integridad, salud y en no pocos casos la</w:t>
      </w:r>
      <w:r w:rsidR="00530905">
        <w:rPr>
          <w:rFonts w:asciiTheme="majorHAnsi" w:hAnsiTheme="majorHAnsi"/>
          <w:sz w:val="24"/>
          <w:szCs w:val="24"/>
        </w:rPr>
        <w:t xml:space="preserve"> propia</w:t>
      </w:r>
      <w:r>
        <w:rPr>
          <w:rFonts w:asciiTheme="majorHAnsi" w:hAnsiTheme="majorHAnsi"/>
          <w:sz w:val="24"/>
          <w:szCs w:val="24"/>
        </w:rPr>
        <w:t xml:space="preserve"> vida de las personas, en cuanto individuos, depende del seguimiento y de la protección de normas, sistemas y usos </w:t>
      </w:r>
      <w:r w:rsidR="00530905">
        <w:rPr>
          <w:rFonts w:asciiTheme="majorHAnsi" w:hAnsiTheme="majorHAnsi"/>
          <w:sz w:val="24"/>
          <w:szCs w:val="24"/>
        </w:rPr>
        <w:t>comunes</w:t>
      </w:r>
      <w:r>
        <w:rPr>
          <w:rFonts w:asciiTheme="majorHAnsi" w:hAnsiTheme="majorHAnsi"/>
          <w:sz w:val="24"/>
          <w:szCs w:val="24"/>
        </w:rPr>
        <w:t xml:space="preserve"> que la resguarden, derivados de distintos factores tales como </w:t>
      </w:r>
      <w:r w:rsidR="00530905">
        <w:rPr>
          <w:rFonts w:asciiTheme="majorHAnsi" w:hAnsiTheme="majorHAnsi"/>
          <w:sz w:val="24"/>
          <w:szCs w:val="24"/>
        </w:rPr>
        <w:t>la higiene</w:t>
      </w:r>
      <w:r>
        <w:rPr>
          <w:rFonts w:asciiTheme="majorHAnsi" w:hAnsiTheme="majorHAnsi"/>
          <w:sz w:val="24"/>
          <w:szCs w:val="24"/>
        </w:rPr>
        <w:t xml:space="preserve"> del agua, la inocuidad de determinadas sustancias, la legalidad en el ejercicio de profesiones</w:t>
      </w:r>
      <w:r w:rsidR="006D79D0">
        <w:rPr>
          <w:rFonts w:asciiTheme="majorHAnsi" w:hAnsiTheme="majorHAnsi"/>
          <w:sz w:val="24"/>
          <w:szCs w:val="24"/>
        </w:rPr>
        <w:t xml:space="preserve"> y oficios de la salud</w:t>
      </w:r>
      <w:r>
        <w:rPr>
          <w:rFonts w:asciiTheme="majorHAnsi" w:hAnsiTheme="majorHAnsi"/>
          <w:sz w:val="24"/>
          <w:szCs w:val="24"/>
        </w:rPr>
        <w:t xml:space="preserve">, entre </w:t>
      </w:r>
      <w:r w:rsidR="00530905">
        <w:rPr>
          <w:rFonts w:asciiTheme="majorHAnsi" w:hAnsiTheme="majorHAnsi"/>
          <w:sz w:val="24"/>
          <w:szCs w:val="24"/>
        </w:rPr>
        <w:t xml:space="preserve">muchos </w:t>
      </w:r>
      <w:r>
        <w:rPr>
          <w:rFonts w:asciiTheme="majorHAnsi" w:hAnsiTheme="majorHAnsi"/>
          <w:sz w:val="24"/>
          <w:szCs w:val="24"/>
        </w:rPr>
        <w:t xml:space="preserve">otros. </w:t>
      </w:r>
      <w:r w:rsidR="00530905">
        <w:rPr>
          <w:rFonts w:asciiTheme="majorHAnsi" w:hAnsiTheme="majorHAnsi"/>
          <w:sz w:val="24"/>
          <w:szCs w:val="24"/>
        </w:rPr>
        <w:t xml:space="preserve">De ahí la relevancia del bien jurídico que se analiza. </w:t>
      </w:r>
    </w:p>
    <w:p w:rsidR="00530905" w:rsidRDefault="00530905" w:rsidP="009450D9">
      <w:pPr>
        <w:spacing w:after="0" w:line="240" w:lineRule="auto"/>
        <w:jc w:val="both"/>
        <w:rPr>
          <w:rFonts w:asciiTheme="majorHAnsi" w:hAnsiTheme="majorHAnsi"/>
          <w:sz w:val="24"/>
          <w:szCs w:val="24"/>
        </w:rPr>
      </w:pPr>
    </w:p>
    <w:p w:rsidR="00E9571E" w:rsidRDefault="00E9571E" w:rsidP="009450D9">
      <w:pPr>
        <w:spacing w:after="0" w:line="240" w:lineRule="auto"/>
        <w:jc w:val="both"/>
        <w:rPr>
          <w:rFonts w:asciiTheme="majorHAnsi" w:hAnsiTheme="majorHAnsi"/>
          <w:sz w:val="24"/>
          <w:szCs w:val="24"/>
        </w:rPr>
      </w:pPr>
      <w:r>
        <w:rPr>
          <w:rFonts w:asciiTheme="majorHAnsi" w:hAnsiTheme="majorHAnsi"/>
          <w:sz w:val="24"/>
          <w:szCs w:val="24"/>
        </w:rPr>
        <w:tab/>
        <w:t>Con todo, en el contexto de la actual crisis sanitaria producida por la pandemia global de virus SARSCoV2, que ocasiona la patología COVID19, se ha discutido sobre el alcance de estos tipos penales para abarcar y sancionar la conducta de incumplimiento o desacato de una cuarentena preventiva, la que puede ser instruida por la autoridad sanitaria. Tal fue el caso de un sujeto infectado con el virus que, desoyendo la orden administrativa que le fuere dada al llegar al país, voló dentro del mismo y concurrió a distintas reuniones sociales, ocasionando una cadena de contagios que exigió el aislamiento de 27 personas</w:t>
      </w:r>
      <w:r w:rsidR="006D79D0">
        <w:rPr>
          <w:rFonts w:asciiTheme="majorHAnsi" w:hAnsiTheme="majorHAnsi"/>
          <w:sz w:val="24"/>
          <w:szCs w:val="24"/>
        </w:rPr>
        <w:t xml:space="preserve"> y </w:t>
      </w:r>
      <w:r>
        <w:rPr>
          <w:rFonts w:asciiTheme="majorHAnsi" w:hAnsiTheme="majorHAnsi"/>
          <w:sz w:val="24"/>
          <w:szCs w:val="24"/>
        </w:rPr>
        <w:t>que todavía no ha podido ser cuantificada del todo</w:t>
      </w:r>
      <w:r>
        <w:rPr>
          <w:rStyle w:val="Refdenotaalpie"/>
          <w:rFonts w:asciiTheme="majorHAnsi" w:hAnsiTheme="majorHAnsi"/>
          <w:sz w:val="24"/>
          <w:szCs w:val="24"/>
        </w:rPr>
        <w:footnoteReference w:id="4"/>
      </w:r>
      <w:r>
        <w:rPr>
          <w:rFonts w:asciiTheme="majorHAnsi" w:hAnsiTheme="majorHAnsi"/>
          <w:sz w:val="24"/>
          <w:szCs w:val="24"/>
        </w:rPr>
        <w:t>.</w:t>
      </w:r>
    </w:p>
    <w:p w:rsidR="00E9571E" w:rsidRDefault="00E9571E" w:rsidP="009450D9">
      <w:pPr>
        <w:spacing w:after="0" w:line="240" w:lineRule="auto"/>
        <w:jc w:val="both"/>
        <w:rPr>
          <w:rFonts w:asciiTheme="majorHAnsi" w:hAnsiTheme="majorHAnsi"/>
          <w:sz w:val="24"/>
          <w:szCs w:val="24"/>
        </w:rPr>
      </w:pPr>
    </w:p>
    <w:p w:rsidR="00E9571E" w:rsidRDefault="00E9571E" w:rsidP="009450D9">
      <w:pPr>
        <w:spacing w:after="0" w:line="240" w:lineRule="auto"/>
        <w:jc w:val="both"/>
        <w:rPr>
          <w:rFonts w:asciiTheme="majorHAnsi" w:hAnsiTheme="majorHAnsi"/>
          <w:sz w:val="24"/>
          <w:szCs w:val="24"/>
        </w:rPr>
      </w:pPr>
      <w:r>
        <w:rPr>
          <w:rFonts w:asciiTheme="majorHAnsi" w:hAnsiTheme="majorHAnsi"/>
          <w:sz w:val="24"/>
          <w:szCs w:val="24"/>
        </w:rPr>
        <w:tab/>
        <w:t>Así las cosas, si bien es claro que la autoridad sanitaria tiene la potestad de ordenar una medida de cuarentena preventiva para evitar los contagios masivos en caso de epidemia, pudiendo sancionar el quebrantamiento de aquella medida a través de un sumario sanitario (Libro X del Código Sanitario)</w:t>
      </w:r>
      <w:r w:rsidR="006D79D0">
        <w:rPr>
          <w:rFonts w:asciiTheme="majorHAnsi" w:hAnsiTheme="majorHAnsi"/>
          <w:sz w:val="24"/>
          <w:szCs w:val="24"/>
        </w:rPr>
        <w:t>, no queda del todo claro el abordaje penal de tal conducta, el que se hace procedente si se tome en cuenta la entidad del bien jurídico en juego y el desvalor de la conducta desplegada. Por ello,</w:t>
      </w:r>
      <w:r>
        <w:rPr>
          <w:rFonts w:asciiTheme="majorHAnsi" w:hAnsiTheme="majorHAnsi"/>
          <w:sz w:val="24"/>
          <w:szCs w:val="24"/>
        </w:rPr>
        <w:t xml:space="preserve"> el artículo 318 exige una actualización en su redacción que incluya la sanción al incumplimiento de esta obligación, en protección de la salud pública</w:t>
      </w:r>
      <w:r w:rsidR="006D79D0">
        <w:rPr>
          <w:rFonts w:asciiTheme="majorHAnsi" w:hAnsiTheme="majorHAnsi"/>
          <w:sz w:val="24"/>
          <w:szCs w:val="24"/>
        </w:rPr>
        <w:t>.</w:t>
      </w:r>
    </w:p>
    <w:p w:rsidR="006D79D0" w:rsidRDefault="006D79D0" w:rsidP="009450D9">
      <w:pPr>
        <w:spacing w:after="0" w:line="240" w:lineRule="auto"/>
        <w:jc w:val="both"/>
        <w:rPr>
          <w:rFonts w:asciiTheme="majorHAnsi" w:hAnsiTheme="majorHAnsi"/>
          <w:sz w:val="24"/>
          <w:szCs w:val="24"/>
        </w:rPr>
      </w:pPr>
    </w:p>
    <w:p w:rsidR="006D79D0" w:rsidRDefault="006D79D0" w:rsidP="009450D9">
      <w:pPr>
        <w:spacing w:after="0" w:line="240" w:lineRule="auto"/>
        <w:jc w:val="both"/>
        <w:rPr>
          <w:rFonts w:asciiTheme="majorHAnsi" w:hAnsiTheme="majorHAnsi"/>
          <w:sz w:val="24"/>
          <w:szCs w:val="24"/>
        </w:rPr>
      </w:pPr>
      <w:r>
        <w:rPr>
          <w:rFonts w:asciiTheme="majorHAnsi" w:hAnsiTheme="majorHAnsi"/>
          <w:sz w:val="24"/>
          <w:szCs w:val="24"/>
        </w:rPr>
        <w:tab/>
        <w:t>En adición a la redacción adicional al tipo penal del artículo 318, se propone aumentar en 1 o 2 grados la aplicación de la sanción aflictiva cuando de la conducta se siguiere una enfermedad grave o la muerte de una persona.</w:t>
      </w:r>
    </w:p>
    <w:p w:rsidR="00530905" w:rsidRDefault="00530905" w:rsidP="009450D9">
      <w:pPr>
        <w:spacing w:after="0" w:line="240" w:lineRule="auto"/>
        <w:jc w:val="both"/>
        <w:rPr>
          <w:rFonts w:asciiTheme="majorHAnsi" w:hAnsiTheme="majorHAnsi"/>
          <w:sz w:val="24"/>
          <w:szCs w:val="24"/>
        </w:rPr>
      </w:pPr>
      <w:r>
        <w:rPr>
          <w:rFonts w:asciiTheme="majorHAnsi" w:hAnsiTheme="majorHAnsi"/>
          <w:sz w:val="24"/>
          <w:szCs w:val="24"/>
        </w:rPr>
        <w:tab/>
      </w:r>
    </w:p>
    <w:p w:rsidR="00C349BD" w:rsidRPr="006D79D0" w:rsidRDefault="00C349BD" w:rsidP="006D79D0">
      <w:pPr>
        <w:spacing w:after="0" w:line="240" w:lineRule="auto"/>
        <w:jc w:val="both"/>
        <w:rPr>
          <w:rFonts w:asciiTheme="majorHAnsi" w:hAnsiTheme="majorHAnsi"/>
          <w:sz w:val="24"/>
          <w:szCs w:val="24"/>
        </w:rPr>
      </w:pPr>
    </w:p>
    <w:p w:rsidR="00E1200A" w:rsidRPr="001257D8" w:rsidRDefault="00E1200A" w:rsidP="00E1200A">
      <w:pPr>
        <w:spacing w:after="0" w:line="240" w:lineRule="auto"/>
        <w:jc w:val="center"/>
        <w:rPr>
          <w:rFonts w:asciiTheme="majorHAnsi" w:hAnsiTheme="majorHAnsi"/>
          <w:b/>
          <w:bCs/>
          <w:i/>
          <w:iCs/>
          <w:sz w:val="24"/>
          <w:szCs w:val="24"/>
        </w:rPr>
      </w:pPr>
      <w:r w:rsidRPr="001257D8">
        <w:rPr>
          <w:rFonts w:asciiTheme="majorHAnsi" w:hAnsiTheme="majorHAnsi"/>
          <w:sz w:val="24"/>
          <w:szCs w:val="24"/>
        </w:rPr>
        <w:t xml:space="preserve">2. </w:t>
      </w:r>
      <w:r w:rsidRPr="001257D8">
        <w:rPr>
          <w:rFonts w:asciiTheme="majorHAnsi" w:hAnsiTheme="majorHAnsi"/>
          <w:b/>
          <w:bCs/>
          <w:i/>
          <w:iCs/>
          <w:sz w:val="24"/>
          <w:szCs w:val="24"/>
        </w:rPr>
        <w:t>Idea Matriz</w:t>
      </w:r>
    </w:p>
    <w:p w:rsidR="00E1200A" w:rsidRDefault="00E1200A" w:rsidP="00E1200A">
      <w:pPr>
        <w:spacing w:after="0" w:line="240" w:lineRule="auto"/>
        <w:jc w:val="center"/>
        <w:rPr>
          <w:rFonts w:asciiTheme="majorHAnsi" w:hAnsiTheme="majorHAnsi"/>
          <w:b/>
          <w:bCs/>
          <w:i/>
          <w:iCs/>
          <w:sz w:val="24"/>
          <w:szCs w:val="24"/>
        </w:rPr>
      </w:pPr>
    </w:p>
    <w:p w:rsidR="006D79D0" w:rsidRDefault="006D79D0" w:rsidP="00E1200A">
      <w:pPr>
        <w:spacing w:after="0" w:line="240" w:lineRule="auto"/>
        <w:jc w:val="center"/>
        <w:rPr>
          <w:rFonts w:asciiTheme="majorHAnsi" w:hAnsiTheme="majorHAnsi"/>
          <w:b/>
          <w:bCs/>
          <w:i/>
          <w:iCs/>
          <w:sz w:val="24"/>
          <w:szCs w:val="24"/>
        </w:rPr>
      </w:pPr>
    </w:p>
    <w:p w:rsidR="001257D8" w:rsidRPr="001257D8" w:rsidRDefault="006D79D0" w:rsidP="006D79D0">
      <w:pPr>
        <w:spacing w:after="0" w:line="240" w:lineRule="auto"/>
        <w:ind w:firstLine="708"/>
        <w:jc w:val="both"/>
        <w:rPr>
          <w:rFonts w:asciiTheme="majorHAnsi" w:hAnsiTheme="majorHAnsi"/>
          <w:sz w:val="24"/>
          <w:szCs w:val="24"/>
        </w:rPr>
      </w:pPr>
      <w:r>
        <w:rPr>
          <w:rFonts w:asciiTheme="majorHAnsi" w:hAnsiTheme="majorHAnsi"/>
          <w:sz w:val="24"/>
          <w:szCs w:val="24"/>
        </w:rPr>
        <w:t xml:space="preserve">El presente proyecto de ley </w:t>
      </w:r>
      <w:r w:rsidRPr="006D79D0">
        <w:rPr>
          <w:rFonts w:asciiTheme="majorHAnsi" w:hAnsiTheme="majorHAnsi"/>
          <w:sz w:val="24"/>
          <w:szCs w:val="24"/>
        </w:rPr>
        <w:t xml:space="preserve">modifica el </w:t>
      </w:r>
      <w:r>
        <w:rPr>
          <w:rFonts w:asciiTheme="majorHAnsi" w:hAnsiTheme="majorHAnsi"/>
          <w:sz w:val="24"/>
          <w:szCs w:val="24"/>
        </w:rPr>
        <w:t>C</w:t>
      </w:r>
      <w:r w:rsidRPr="006D79D0">
        <w:rPr>
          <w:rFonts w:asciiTheme="majorHAnsi" w:hAnsiTheme="majorHAnsi"/>
          <w:sz w:val="24"/>
          <w:szCs w:val="24"/>
        </w:rPr>
        <w:t xml:space="preserve">ódigo </w:t>
      </w:r>
      <w:r>
        <w:rPr>
          <w:rFonts w:asciiTheme="majorHAnsi" w:hAnsiTheme="majorHAnsi"/>
          <w:sz w:val="24"/>
          <w:szCs w:val="24"/>
        </w:rPr>
        <w:t>P</w:t>
      </w:r>
      <w:r w:rsidRPr="006D79D0">
        <w:rPr>
          <w:rFonts w:asciiTheme="majorHAnsi" w:hAnsiTheme="majorHAnsi"/>
          <w:sz w:val="24"/>
          <w:szCs w:val="24"/>
        </w:rPr>
        <w:t xml:space="preserve">enal con el objeto de sancionar el incumplimiento de </w:t>
      </w:r>
      <w:r>
        <w:rPr>
          <w:rFonts w:asciiTheme="majorHAnsi" w:hAnsiTheme="majorHAnsi"/>
          <w:sz w:val="24"/>
          <w:szCs w:val="24"/>
        </w:rPr>
        <w:t xml:space="preserve">un </w:t>
      </w:r>
      <w:r w:rsidR="002C20C5">
        <w:rPr>
          <w:rFonts w:asciiTheme="majorHAnsi" w:hAnsiTheme="majorHAnsi"/>
          <w:sz w:val="24"/>
          <w:szCs w:val="24"/>
        </w:rPr>
        <w:t xml:space="preserve">aislamiento u </w:t>
      </w:r>
      <w:r w:rsidR="00BE64F7">
        <w:rPr>
          <w:rFonts w:asciiTheme="majorHAnsi" w:hAnsiTheme="majorHAnsi"/>
          <w:sz w:val="24"/>
          <w:szCs w:val="24"/>
        </w:rPr>
        <w:t xml:space="preserve">otra </w:t>
      </w:r>
      <w:r w:rsidR="00792A8D">
        <w:rPr>
          <w:rFonts w:asciiTheme="majorHAnsi" w:hAnsiTheme="majorHAnsi"/>
          <w:sz w:val="24"/>
          <w:szCs w:val="24"/>
        </w:rPr>
        <w:t>medida</w:t>
      </w:r>
      <w:r w:rsidR="002A712E">
        <w:rPr>
          <w:rFonts w:asciiTheme="majorHAnsi" w:hAnsiTheme="majorHAnsi"/>
          <w:sz w:val="24"/>
          <w:szCs w:val="24"/>
        </w:rPr>
        <w:t xml:space="preserve"> extraordinaria</w:t>
      </w:r>
      <w:r w:rsidR="00792A8D">
        <w:rPr>
          <w:rFonts w:asciiTheme="majorHAnsi" w:hAnsiTheme="majorHAnsi"/>
          <w:sz w:val="24"/>
          <w:szCs w:val="24"/>
        </w:rPr>
        <w:t xml:space="preserve"> </w:t>
      </w:r>
      <w:r w:rsidRPr="006D79D0">
        <w:rPr>
          <w:rFonts w:asciiTheme="majorHAnsi" w:hAnsiTheme="majorHAnsi"/>
          <w:sz w:val="24"/>
          <w:szCs w:val="24"/>
        </w:rPr>
        <w:t>dispuest</w:t>
      </w:r>
      <w:r>
        <w:rPr>
          <w:rFonts w:asciiTheme="majorHAnsi" w:hAnsiTheme="majorHAnsi"/>
          <w:sz w:val="24"/>
          <w:szCs w:val="24"/>
        </w:rPr>
        <w:t>o</w:t>
      </w:r>
      <w:r w:rsidRPr="006D79D0">
        <w:rPr>
          <w:rFonts w:asciiTheme="majorHAnsi" w:hAnsiTheme="majorHAnsi"/>
          <w:sz w:val="24"/>
          <w:szCs w:val="24"/>
        </w:rPr>
        <w:t xml:space="preserve"> por la autoridad sanitaria</w:t>
      </w:r>
      <w:r w:rsidR="00AC28D7">
        <w:rPr>
          <w:rFonts w:asciiTheme="majorHAnsi" w:hAnsiTheme="majorHAnsi"/>
          <w:sz w:val="24"/>
          <w:szCs w:val="24"/>
        </w:rPr>
        <w:t xml:space="preserve"> </w:t>
      </w:r>
      <w:r w:rsidR="006D7AD3">
        <w:rPr>
          <w:rFonts w:asciiTheme="majorHAnsi" w:hAnsiTheme="majorHAnsi"/>
          <w:sz w:val="24"/>
          <w:szCs w:val="24"/>
        </w:rPr>
        <w:t>con ocasión de epidemia o pandemia</w:t>
      </w:r>
      <w:r w:rsidRPr="006D79D0">
        <w:rPr>
          <w:rFonts w:asciiTheme="majorHAnsi" w:hAnsiTheme="majorHAnsi"/>
          <w:sz w:val="24"/>
          <w:szCs w:val="24"/>
        </w:rPr>
        <w:t>, agravando tal sanción para el caso que de dicha conducta se haya seguido enfermedad grave o la muerte de una persona.</w:t>
      </w:r>
    </w:p>
    <w:p w:rsidR="001257D8" w:rsidRDefault="001257D8" w:rsidP="001257D8">
      <w:pPr>
        <w:spacing w:after="0" w:line="240" w:lineRule="auto"/>
        <w:jc w:val="center"/>
        <w:rPr>
          <w:rFonts w:asciiTheme="majorHAnsi" w:hAnsiTheme="majorHAnsi"/>
          <w:b/>
          <w:bCs/>
          <w:i/>
          <w:iCs/>
          <w:sz w:val="24"/>
          <w:szCs w:val="24"/>
        </w:rPr>
      </w:pPr>
      <w:r w:rsidRPr="001257D8">
        <w:rPr>
          <w:rFonts w:asciiTheme="majorHAnsi" w:hAnsiTheme="majorHAnsi"/>
          <w:sz w:val="24"/>
          <w:szCs w:val="24"/>
        </w:rPr>
        <w:lastRenderedPageBreak/>
        <w:t xml:space="preserve">3. </w:t>
      </w:r>
      <w:r w:rsidRPr="001257D8">
        <w:rPr>
          <w:rFonts w:asciiTheme="majorHAnsi" w:hAnsiTheme="majorHAnsi"/>
          <w:b/>
          <w:bCs/>
          <w:i/>
          <w:iCs/>
          <w:sz w:val="24"/>
          <w:szCs w:val="24"/>
        </w:rPr>
        <w:t>Normativa vigente afectada por el proyecto</w:t>
      </w:r>
    </w:p>
    <w:p w:rsidR="006D79D0" w:rsidRDefault="006D79D0" w:rsidP="001257D8">
      <w:pPr>
        <w:spacing w:after="0" w:line="240" w:lineRule="auto"/>
        <w:jc w:val="center"/>
        <w:rPr>
          <w:rFonts w:asciiTheme="majorHAnsi" w:hAnsiTheme="majorHAnsi"/>
          <w:b/>
          <w:bCs/>
          <w:i/>
          <w:iCs/>
          <w:sz w:val="24"/>
          <w:szCs w:val="24"/>
        </w:rPr>
      </w:pPr>
    </w:p>
    <w:p w:rsidR="006D79D0" w:rsidRDefault="006D79D0" w:rsidP="001257D8">
      <w:pPr>
        <w:spacing w:after="0" w:line="240" w:lineRule="auto"/>
        <w:jc w:val="center"/>
        <w:rPr>
          <w:rFonts w:asciiTheme="majorHAnsi" w:hAnsiTheme="majorHAnsi"/>
          <w:b/>
          <w:bCs/>
          <w:i/>
          <w:iCs/>
          <w:sz w:val="24"/>
          <w:szCs w:val="24"/>
        </w:rPr>
      </w:pPr>
    </w:p>
    <w:p w:rsidR="006D79D0" w:rsidRPr="006D79D0" w:rsidRDefault="006D79D0" w:rsidP="001257D8">
      <w:pPr>
        <w:spacing w:after="0" w:line="240" w:lineRule="auto"/>
        <w:jc w:val="center"/>
        <w:rPr>
          <w:rFonts w:asciiTheme="majorHAnsi" w:hAnsiTheme="majorHAnsi"/>
          <w:sz w:val="24"/>
          <w:szCs w:val="24"/>
        </w:rPr>
      </w:pPr>
      <w:r>
        <w:rPr>
          <w:rFonts w:asciiTheme="majorHAnsi" w:hAnsiTheme="majorHAnsi"/>
          <w:sz w:val="24"/>
          <w:szCs w:val="24"/>
        </w:rPr>
        <w:t>Código Penal</w:t>
      </w:r>
    </w:p>
    <w:p w:rsidR="00A23FCC" w:rsidRDefault="00A23FCC" w:rsidP="006D79D0">
      <w:pPr>
        <w:spacing w:after="0" w:line="240" w:lineRule="auto"/>
        <w:rPr>
          <w:rFonts w:asciiTheme="majorHAnsi" w:hAnsiTheme="majorHAnsi"/>
          <w:b/>
          <w:bCs/>
          <w:i/>
          <w:iCs/>
          <w:sz w:val="24"/>
          <w:szCs w:val="24"/>
        </w:rPr>
      </w:pPr>
    </w:p>
    <w:p w:rsidR="006D79D0" w:rsidRPr="001257D8" w:rsidRDefault="006D79D0" w:rsidP="006D79D0">
      <w:pPr>
        <w:spacing w:after="0" w:line="240" w:lineRule="auto"/>
        <w:rPr>
          <w:rFonts w:asciiTheme="majorHAnsi" w:hAnsiTheme="majorHAnsi"/>
          <w:sz w:val="24"/>
          <w:szCs w:val="24"/>
        </w:rPr>
      </w:pPr>
    </w:p>
    <w:p w:rsidR="001257D8" w:rsidRDefault="001257D8" w:rsidP="001257D8">
      <w:pPr>
        <w:spacing w:after="0" w:line="240" w:lineRule="auto"/>
        <w:jc w:val="center"/>
        <w:rPr>
          <w:rFonts w:asciiTheme="majorHAnsi" w:hAnsiTheme="majorHAnsi"/>
          <w:b/>
          <w:bCs/>
          <w:sz w:val="24"/>
          <w:szCs w:val="24"/>
        </w:rPr>
      </w:pPr>
      <w:r w:rsidRPr="001257D8">
        <w:rPr>
          <w:rFonts w:asciiTheme="majorHAnsi" w:hAnsiTheme="majorHAnsi"/>
          <w:sz w:val="24"/>
          <w:szCs w:val="24"/>
        </w:rPr>
        <w:t xml:space="preserve">4. </w:t>
      </w:r>
      <w:r w:rsidRPr="001257D8">
        <w:rPr>
          <w:rFonts w:asciiTheme="majorHAnsi" w:hAnsiTheme="majorHAnsi"/>
          <w:b/>
          <w:bCs/>
          <w:i/>
          <w:iCs/>
          <w:sz w:val="24"/>
          <w:szCs w:val="24"/>
        </w:rPr>
        <w:t xml:space="preserve">Proyecto de Ley </w:t>
      </w:r>
    </w:p>
    <w:p w:rsidR="006D79D0" w:rsidRDefault="006D79D0" w:rsidP="001257D8">
      <w:pPr>
        <w:spacing w:after="0" w:line="240" w:lineRule="auto"/>
        <w:jc w:val="center"/>
        <w:rPr>
          <w:rFonts w:asciiTheme="majorHAnsi" w:hAnsiTheme="majorHAnsi"/>
          <w:b/>
          <w:bCs/>
          <w:sz w:val="24"/>
          <w:szCs w:val="24"/>
        </w:rPr>
      </w:pPr>
    </w:p>
    <w:p w:rsidR="006D79D0" w:rsidRDefault="006D79D0" w:rsidP="001257D8">
      <w:pPr>
        <w:spacing w:after="0" w:line="240" w:lineRule="auto"/>
        <w:jc w:val="center"/>
        <w:rPr>
          <w:rFonts w:asciiTheme="majorHAnsi" w:hAnsiTheme="majorHAnsi"/>
          <w:b/>
          <w:bCs/>
          <w:sz w:val="24"/>
          <w:szCs w:val="24"/>
        </w:rPr>
      </w:pPr>
    </w:p>
    <w:p w:rsidR="006D79D0" w:rsidRDefault="008F5412" w:rsidP="006D79D0">
      <w:pPr>
        <w:spacing w:after="0" w:line="240" w:lineRule="auto"/>
        <w:jc w:val="both"/>
        <w:rPr>
          <w:rFonts w:asciiTheme="majorHAnsi" w:hAnsiTheme="majorHAnsi"/>
          <w:sz w:val="24"/>
          <w:szCs w:val="24"/>
        </w:rPr>
      </w:pPr>
      <w:r>
        <w:rPr>
          <w:rFonts w:asciiTheme="majorHAnsi" w:hAnsiTheme="majorHAnsi"/>
          <w:b/>
          <w:bCs/>
          <w:sz w:val="24"/>
          <w:szCs w:val="24"/>
        </w:rPr>
        <w:t>“</w:t>
      </w:r>
      <w:r w:rsidR="006D79D0">
        <w:rPr>
          <w:rFonts w:asciiTheme="majorHAnsi" w:hAnsiTheme="majorHAnsi"/>
          <w:b/>
          <w:bCs/>
          <w:sz w:val="24"/>
          <w:szCs w:val="24"/>
        </w:rPr>
        <w:t xml:space="preserve">ARTÍCULO ÚNICO: </w:t>
      </w:r>
      <w:r w:rsidR="006D79D0">
        <w:rPr>
          <w:rFonts w:asciiTheme="majorHAnsi" w:hAnsiTheme="majorHAnsi"/>
          <w:sz w:val="24"/>
          <w:szCs w:val="24"/>
        </w:rPr>
        <w:t>Agrégue</w:t>
      </w:r>
      <w:r w:rsidR="00C95225">
        <w:rPr>
          <w:rFonts w:asciiTheme="majorHAnsi" w:hAnsiTheme="majorHAnsi"/>
          <w:sz w:val="24"/>
          <w:szCs w:val="24"/>
        </w:rPr>
        <w:t>n</w:t>
      </w:r>
      <w:r w:rsidR="006D79D0">
        <w:rPr>
          <w:rFonts w:asciiTheme="majorHAnsi" w:hAnsiTheme="majorHAnsi"/>
          <w:sz w:val="24"/>
          <w:szCs w:val="24"/>
        </w:rPr>
        <w:t xml:space="preserve">se unos nuevos incisos segundo y tercero al </w:t>
      </w:r>
      <w:r w:rsidR="008C5277">
        <w:rPr>
          <w:rFonts w:asciiTheme="majorHAnsi" w:hAnsiTheme="majorHAnsi"/>
          <w:sz w:val="24"/>
          <w:szCs w:val="24"/>
        </w:rPr>
        <w:t xml:space="preserve">artículo 318 del </w:t>
      </w:r>
      <w:r w:rsidR="006D79D0">
        <w:rPr>
          <w:rFonts w:asciiTheme="majorHAnsi" w:hAnsiTheme="majorHAnsi"/>
          <w:sz w:val="24"/>
          <w:szCs w:val="24"/>
        </w:rPr>
        <w:t>Código Penal, del siguiente tenor:</w:t>
      </w:r>
    </w:p>
    <w:p w:rsidR="006D79D0" w:rsidRDefault="006D79D0" w:rsidP="006D79D0">
      <w:pPr>
        <w:spacing w:after="0" w:line="240" w:lineRule="auto"/>
        <w:jc w:val="both"/>
        <w:rPr>
          <w:rFonts w:asciiTheme="majorHAnsi" w:hAnsiTheme="majorHAnsi"/>
          <w:sz w:val="24"/>
          <w:szCs w:val="24"/>
        </w:rPr>
      </w:pPr>
    </w:p>
    <w:p w:rsidR="006D79D0" w:rsidRPr="006D79D0" w:rsidRDefault="006D79D0" w:rsidP="006D79D0">
      <w:pPr>
        <w:spacing w:after="0" w:line="240" w:lineRule="auto"/>
        <w:jc w:val="both"/>
        <w:rPr>
          <w:rFonts w:asciiTheme="majorHAnsi" w:hAnsiTheme="majorHAnsi"/>
          <w:i/>
          <w:iCs/>
          <w:sz w:val="24"/>
          <w:szCs w:val="24"/>
        </w:rPr>
      </w:pPr>
      <w:r>
        <w:rPr>
          <w:rFonts w:asciiTheme="majorHAnsi" w:hAnsiTheme="majorHAnsi"/>
          <w:sz w:val="24"/>
          <w:szCs w:val="24"/>
        </w:rPr>
        <w:t>“</w:t>
      </w:r>
      <w:r w:rsidRPr="006D79D0">
        <w:rPr>
          <w:rFonts w:asciiTheme="majorHAnsi" w:hAnsiTheme="majorHAnsi"/>
          <w:i/>
          <w:iCs/>
          <w:sz w:val="24"/>
          <w:szCs w:val="24"/>
        </w:rPr>
        <w:t>Idéntica pena se aplicará a quien pusiere en peligro la salud pública infringiendo el aislamiento o cualquier otra medida extraordinaria, debidamente publicada, que fuere dispuesta por la autoridad sanitaria con ocasión de epidemia o pandemia.</w:t>
      </w:r>
    </w:p>
    <w:p w:rsidR="006D79D0" w:rsidRPr="006D79D0" w:rsidRDefault="006D79D0" w:rsidP="006D79D0">
      <w:pPr>
        <w:spacing w:after="0" w:line="240" w:lineRule="auto"/>
        <w:jc w:val="both"/>
        <w:rPr>
          <w:rFonts w:asciiTheme="majorHAnsi" w:hAnsiTheme="majorHAnsi"/>
          <w:i/>
          <w:iCs/>
          <w:sz w:val="24"/>
          <w:szCs w:val="24"/>
        </w:rPr>
      </w:pPr>
    </w:p>
    <w:p w:rsidR="006D79D0" w:rsidRPr="006D79D0" w:rsidRDefault="006D79D0" w:rsidP="006D79D0">
      <w:pPr>
        <w:spacing w:after="0" w:line="240" w:lineRule="auto"/>
        <w:jc w:val="both"/>
        <w:rPr>
          <w:rFonts w:asciiTheme="majorHAnsi" w:hAnsiTheme="majorHAnsi"/>
          <w:sz w:val="24"/>
          <w:szCs w:val="24"/>
        </w:rPr>
      </w:pPr>
      <w:r w:rsidRPr="006D79D0">
        <w:rPr>
          <w:rFonts w:asciiTheme="majorHAnsi" w:hAnsiTheme="majorHAnsi"/>
          <w:i/>
          <w:iCs/>
          <w:sz w:val="24"/>
          <w:szCs w:val="24"/>
        </w:rPr>
        <w:t>Si a consecuencia de la conducta señalada en el inciso anterior se produjere enfermedad grave o la muerte de alguna persona, la pena privativa de libertad se aumentará en uno o dos grados respectivamente.</w:t>
      </w:r>
      <w:r>
        <w:rPr>
          <w:rFonts w:asciiTheme="majorHAnsi" w:hAnsiTheme="majorHAnsi"/>
          <w:sz w:val="24"/>
          <w:szCs w:val="24"/>
        </w:rPr>
        <w:t>”</w:t>
      </w:r>
      <w:r w:rsidR="008F5412">
        <w:rPr>
          <w:rFonts w:asciiTheme="majorHAnsi" w:hAnsiTheme="majorHAnsi"/>
          <w:sz w:val="24"/>
          <w:szCs w:val="24"/>
        </w:rPr>
        <w:t xml:space="preserve">. </w:t>
      </w:r>
      <w:r w:rsidR="009358C6">
        <w:rPr>
          <w:rFonts w:asciiTheme="majorHAnsi" w:hAnsiTheme="majorHAnsi"/>
          <w:sz w:val="24"/>
          <w:szCs w:val="24"/>
        </w:rPr>
        <w:t>“.</w:t>
      </w:r>
      <w:bookmarkStart w:id="0" w:name="_GoBack"/>
      <w:bookmarkEnd w:id="0"/>
    </w:p>
    <w:p w:rsidR="001257D8" w:rsidRPr="001257D8" w:rsidRDefault="001257D8" w:rsidP="000D7268">
      <w:pPr>
        <w:spacing w:after="0" w:line="240" w:lineRule="auto"/>
        <w:rPr>
          <w:rFonts w:asciiTheme="majorHAnsi" w:hAnsiTheme="majorHAnsi"/>
          <w:sz w:val="24"/>
          <w:szCs w:val="24"/>
        </w:rPr>
      </w:pPr>
    </w:p>
    <w:p w:rsidR="00E90882" w:rsidRDefault="00E90882" w:rsidP="00E90882">
      <w:pPr>
        <w:spacing w:after="0" w:line="240" w:lineRule="auto"/>
        <w:jc w:val="both"/>
        <w:rPr>
          <w:rFonts w:asciiTheme="majorHAnsi" w:hAnsiTheme="majorHAnsi"/>
          <w:i/>
          <w:iCs/>
          <w:sz w:val="24"/>
          <w:szCs w:val="24"/>
        </w:rPr>
      </w:pPr>
    </w:p>
    <w:p w:rsidR="00E90882" w:rsidRDefault="00E90882" w:rsidP="006B3680">
      <w:pPr>
        <w:spacing w:after="0" w:line="240" w:lineRule="auto"/>
        <w:rPr>
          <w:rFonts w:asciiTheme="majorHAnsi" w:hAnsiTheme="majorHAnsi"/>
          <w:i/>
          <w:iCs/>
          <w:sz w:val="24"/>
          <w:szCs w:val="24"/>
        </w:rPr>
      </w:pPr>
    </w:p>
    <w:p w:rsidR="000D7268" w:rsidRDefault="000D7268" w:rsidP="000D7268">
      <w:pPr>
        <w:spacing w:after="0" w:line="240" w:lineRule="auto"/>
        <w:jc w:val="center"/>
      </w:pPr>
    </w:p>
    <w:p w:rsidR="006D79D0" w:rsidRDefault="006D79D0" w:rsidP="000D7268">
      <w:pPr>
        <w:spacing w:after="0" w:line="240" w:lineRule="auto"/>
        <w:jc w:val="center"/>
      </w:pPr>
    </w:p>
    <w:p w:rsidR="006D79D0" w:rsidRDefault="006D79D0" w:rsidP="000D7268">
      <w:pPr>
        <w:spacing w:after="0" w:line="240" w:lineRule="auto"/>
        <w:jc w:val="center"/>
      </w:pPr>
    </w:p>
    <w:p w:rsidR="006D79D0" w:rsidRDefault="006D79D0" w:rsidP="000D7268">
      <w:pPr>
        <w:spacing w:after="0" w:line="240" w:lineRule="auto"/>
        <w:jc w:val="center"/>
      </w:pPr>
    </w:p>
    <w:p w:rsidR="006D79D0" w:rsidRDefault="006D79D0" w:rsidP="000D7268">
      <w:pPr>
        <w:spacing w:after="0" w:line="240" w:lineRule="auto"/>
        <w:jc w:val="center"/>
      </w:pPr>
    </w:p>
    <w:p w:rsidR="006D79D0" w:rsidRDefault="006D79D0" w:rsidP="000D7268">
      <w:pPr>
        <w:spacing w:after="0" w:line="240" w:lineRule="auto"/>
        <w:jc w:val="center"/>
      </w:pPr>
    </w:p>
    <w:p w:rsidR="006D79D0" w:rsidRDefault="006D79D0" w:rsidP="000D7268">
      <w:pPr>
        <w:spacing w:after="0" w:line="240" w:lineRule="auto"/>
        <w:jc w:val="center"/>
      </w:pPr>
    </w:p>
    <w:p w:rsidR="006D79D0" w:rsidRDefault="006D79D0" w:rsidP="000D7268">
      <w:pPr>
        <w:spacing w:after="0" w:line="240" w:lineRule="auto"/>
        <w:jc w:val="center"/>
      </w:pPr>
    </w:p>
    <w:p w:rsidR="006D79D0" w:rsidRDefault="006D79D0" w:rsidP="000D7268">
      <w:pPr>
        <w:spacing w:after="0" w:line="240" w:lineRule="auto"/>
        <w:jc w:val="center"/>
      </w:pPr>
    </w:p>
    <w:p w:rsidR="006D79D0" w:rsidRDefault="006D79D0" w:rsidP="000D7268">
      <w:pPr>
        <w:spacing w:after="0" w:line="240" w:lineRule="auto"/>
        <w:jc w:val="center"/>
      </w:pPr>
    </w:p>
    <w:p w:rsidR="006D79D0" w:rsidRDefault="006D79D0" w:rsidP="000D7268">
      <w:pPr>
        <w:spacing w:after="0" w:line="240" w:lineRule="auto"/>
        <w:jc w:val="center"/>
      </w:pPr>
      <w:r>
        <w:t>___________________________</w:t>
      </w:r>
    </w:p>
    <w:p w:rsidR="006D79D0" w:rsidRDefault="002A712E" w:rsidP="000D7268">
      <w:pPr>
        <w:spacing w:after="0" w:line="240" w:lineRule="auto"/>
        <w:jc w:val="center"/>
        <w:rPr>
          <w:b/>
          <w:bCs/>
        </w:rPr>
      </w:pPr>
      <w:r>
        <w:rPr>
          <w:b/>
          <w:bCs/>
        </w:rPr>
        <w:t>Diego Paulsen Kehr</w:t>
      </w:r>
    </w:p>
    <w:p w:rsidR="006D79D0" w:rsidRPr="006D79D0" w:rsidRDefault="006D79D0" w:rsidP="000D7268">
      <w:pPr>
        <w:spacing w:after="0" w:line="240" w:lineRule="auto"/>
        <w:jc w:val="center"/>
      </w:pPr>
      <w:r>
        <w:t>DIPUTADO</w:t>
      </w:r>
    </w:p>
    <w:sectPr w:rsidR="006D79D0" w:rsidRPr="006D79D0" w:rsidSect="00892C37">
      <w:pgSz w:w="12240" w:h="15840"/>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D61" w:rsidRDefault="00736D61" w:rsidP="00416691">
      <w:pPr>
        <w:spacing w:after="0" w:line="240" w:lineRule="auto"/>
      </w:pPr>
      <w:r>
        <w:separator/>
      </w:r>
    </w:p>
  </w:endnote>
  <w:endnote w:type="continuationSeparator" w:id="0">
    <w:p w:rsidR="00736D61" w:rsidRDefault="00736D61" w:rsidP="004166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D61" w:rsidRDefault="00736D61" w:rsidP="00416691">
      <w:pPr>
        <w:spacing w:after="0" w:line="240" w:lineRule="auto"/>
      </w:pPr>
      <w:r>
        <w:separator/>
      </w:r>
    </w:p>
  </w:footnote>
  <w:footnote w:type="continuationSeparator" w:id="0">
    <w:p w:rsidR="00736D61" w:rsidRDefault="00736D61" w:rsidP="00416691">
      <w:pPr>
        <w:spacing w:after="0" w:line="240" w:lineRule="auto"/>
      </w:pPr>
      <w:r>
        <w:continuationSeparator/>
      </w:r>
    </w:p>
  </w:footnote>
  <w:footnote w:id="1">
    <w:p w:rsidR="00645418" w:rsidRPr="00E9571E" w:rsidRDefault="00645418" w:rsidP="00645418">
      <w:pPr>
        <w:pStyle w:val="Textonotapie"/>
        <w:jc w:val="both"/>
        <w:rPr>
          <w:rFonts w:asciiTheme="majorHAnsi" w:hAnsiTheme="majorHAnsi" w:cstheme="majorHAnsi"/>
        </w:rPr>
      </w:pPr>
      <w:r w:rsidRPr="00E9571E">
        <w:rPr>
          <w:rStyle w:val="Refdenotaalpie"/>
          <w:rFonts w:asciiTheme="majorHAnsi" w:hAnsiTheme="majorHAnsi" w:cstheme="majorHAnsi"/>
        </w:rPr>
        <w:footnoteRef/>
      </w:r>
      <w:r w:rsidRPr="00E9571E">
        <w:rPr>
          <w:rFonts w:asciiTheme="majorHAnsi" w:hAnsiTheme="majorHAnsi" w:cstheme="majorHAnsi"/>
        </w:rPr>
        <w:t xml:space="preserve"> El Boletín Estadístico del Ministerio Público, para el año 2018, los informa en la categoría de “otros delitos” (distintos de los delitos de la ley drogas, que también conllevan un menoscabo a la salud pública), representando 21.873 casos del total de 1.379.642 hechos delictuales conocidos e investigados</w:t>
      </w:r>
      <w:r w:rsidR="009450D9" w:rsidRPr="00E9571E">
        <w:rPr>
          <w:rFonts w:asciiTheme="majorHAnsi" w:hAnsiTheme="majorHAnsi" w:cstheme="majorHAnsi"/>
        </w:rPr>
        <w:t xml:space="preserve"> (cercano al 2%)</w:t>
      </w:r>
      <w:r w:rsidRPr="00E9571E">
        <w:rPr>
          <w:rFonts w:asciiTheme="majorHAnsi" w:hAnsiTheme="majorHAnsi" w:cstheme="majorHAnsi"/>
        </w:rPr>
        <w:t xml:space="preserve"> </w:t>
      </w:r>
    </w:p>
  </w:footnote>
  <w:footnote w:id="2">
    <w:p w:rsidR="009450D9" w:rsidRPr="00E9571E" w:rsidRDefault="009450D9" w:rsidP="009450D9">
      <w:pPr>
        <w:pStyle w:val="Textonotapie"/>
        <w:jc w:val="both"/>
        <w:rPr>
          <w:rFonts w:asciiTheme="majorHAnsi" w:hAnsiTheme="majorHAnsi" w:cstheme="majorHAnsi"/>
        </w:rPr>
      </w:pPr>
      <w:r w:rsidRPr="00E9571E">
        <w:rPr>
          <w:rStyle w:val="Refdenotaalpie"/>
          <w:rFonts w:asciiTheme="majorHAnsi" w:hAnsiTheme="majorHAnsi" w:cstheme="majorHAnsi"/>
        </w:rPr>
        <w:footnoteRef/>
      </w:r>
      <w:r w:rsidRPr="00E9571E">
        <w:rPr>
          <w:rFonts w:asciiTheme="majorHAnsi" w:hAnsiTheme="majorHAnsi" w:cstheme="majorHAnsi"/>
        </w:rPr>
        <w:t xml:space="preserve"> Cubillos, Rocío y Giudobono, María Ignacia (2017): “</w:t>
      </w:r>
      <w:r w:rsidRPr="00E9571E">
        <w:rPr>
          <w:rFonts w:asciiTheme="majorHAnsi" w:hAnsiTheme="majorHAnsi" w:cstheme="majorHAnsi"/>
          <w:i/>
          <w:iCs/>
        </w:rPr>
        <w:t>Análisis del artículo 315 del Código Penal chileno</w:t>
      </w:r>
      <w:r w:rsidRPr="00E9571E">
        <w:rPr>
          <w:rFonts w:asciiTheme="majorHAnsi" w:hAnsiTheme="majorHAnsi" w:cstheme="majorHAnsi"/>
        </w:rPr>
        <w:t xml:space="preserve">”, Memoria para optar al grado de licenciado en ciencias jurídicas de la Facultad de Derecho de la Universidad de Chile, profesor guía: Lautaro Contreras Chaimovich, p. 21. </w:t>
      </w:r>
    </w:p>
  </w:footnote>
  <w:footnote w:id="3">
    <w:p w:rsidR="00803375" w:rsidRPr="00E9571E" w:rsidRDefault="00803375">
      <w:pPr>
        <w:pStyle w:val="Textonotapie"/>
        <w:rPr>
          <w:rFonts w:asciiTheme="majorHAnsi" w:hAnsiTheme="majorHAnsi" w:cstheme="majorHAnsi"/>
        </w:rPr>
      </w:pPr>
      <w:r w:rsidRPr="00E9571E">
        <w:rPr>
          <w:rStyle w:val="Refdenotaalpie"/>
          <w:rFonts w:asciiTheme="majorHAnsi" w:hAnsiTheme="majorHAnsi" w:cstheme="majorHAnsi"/>
        </w:rPr>
        <w:footnoteRef/>
      </w:r>
      <w:r w:rsidRPr="00E9571E">
        <w:rPr>
          <w:rFonts w:asciiTheme="majorHAnsi" w:hAnsiTheme="majorHAnsi" w:cstheme="majorHAnsi"/>
        </w:rPr>
        <w:t xml:space="preserve"> </w:t>
      </w:r>
      <w:r w:rsidRPr="00E9571E">
        <w:rPr>
          <w:rFonts w:asciiTheme="majorHAnsi" w:hAnsiTheme="majorHAnsi" w:cstheme="majorHAnsi"/>
          <w:i/>
          <w:iCs/>
        </w:rPr>
        <w:t>Ídem</w:t>
      </w:r>
      <w:r w:rsidRPr="00E9571E">
        <w:rPr>
          <w:rFonts w:asciiTheme="majorHAnsi" w:hAnsiTheme="majorHAnsi" w:cstheme="majorHAnsi"/>
        </w:rPr>
        <w:t xml:space="preserve">. </w:t>
      </w:r>
    </w:p>
  </w:footnote>
  <w:footnote w:id="4">
    <w:p w:rsidR="00E9571E" w:rsidRDefault="00E9571E" w:rsidP="00E9571E">
      <w:pPr>
        <w:pStyle w:val="Textonotapie"/>
        <w:jc w:val="both"/>
      </w:pPr>
      <w:r w:rsidRPr="00E9571E">
        <w:rPr>
          <w:rStyle w:val="Refdenotaalpie"/>
          <w:rFonts w:asciiTheme="majorHAnsi" w:hAnsiTheme="majorHAnsi" w:cstheme="majorHAnsi"/>
        </w:rPr>
        <w:footnoteRef/>
      </w:r>
      <w:r w:rsidRPr="00E9571E">
        <w:rPr>
          <w:rFonts w:asciiTheme="majorHAnsi" w:hAnsiTheme="majorHAnsi" w:cstheme="majorHAnsi"/>
        </w:rPr>
        <w:t xml:space="preserve"> Nota de prensa en: </w:t>
      </w:r>
      <w:hyperlink r:id="rId1" w:history="1">
        <w:r w:rsidRPr="00E9571E">
          <w:rPr>
            <w:rStyle w:val="Hipervnculo"/>
            <w:rFonts w:asciiTheme="majorHAnsi" w:hAnsiTheme="majorHAnsi" w:cstheme="majorHAnsi"/>
          </w:rPr>
          <w:t>https://www.soychile.cl/Temuco/Policial/2020/03/15/643142/Confirman-que-paciente-contagiado-con-coronavirus-viajo-en-un-avion-desde-Santiago-a-Temuco-27-pasajeros-en-cuarentena.aspx</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559D8"/>
    <w:multiLevelType w:val="hybridMultilevel"/>
    <w:tmpl w:val="58227F3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6325E12"/>
    <w:multiLevelType w:val="hybridMultilevel"/>
    <w:tmpl w:val="1C146F8C"/>
    <w:lvl w:ilvl="0" w:tplc="FDD8CDD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447621A"/>
    <w:multiLevelType w:val="hybridMultilevel"/>
    <w:tmpl w:val="D89C76B6"/>
    <w:lvl w:ilvl="0" w:tplc="340A000F">
      <w:start w:val="1"/>
      <w:numFmt w:val="decimal"/>
      <w:lvlText w:val="%1."/>
      <w:lvlJc w:val="left"/>
      <w:pPr>
        <w:ind w:left="720" w:hanging="360"/>
      </w:pPr>
      <w:rPr>
        <w:rFonts w:hint="default"/>
        <w:b w:val="0"/>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63D07EC2"/>
    <w:multiLevelType w:val="hybridMultilevel"/>
    <w:tmpl w:val="1C044AE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67AB4696"/>
    <w:multiLevelType w:val="hybridMultilevel"/>
    <w:tmpl w:val="2BF0FF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B10B1"/>
    <w:rsid w:val="00004B05"/>
    <w:rsid w:val="00061A7B"/>
    <w:rsid w:val="00093DB3"/>
    <w:rsid w:val="000D7268"/>
    <w:rsid w:val="000E2815"/>
    <w:rsid w:val="00111ECE"/>
    <w:rsid w:val="001257D8"/>
    <w:rsid w:val="00160BA4"/>
    <w:rsid w:val="00246A56"/>
    <w:rsid w:val="00266026"/>
    <w:rsid w:val="002A712E"/>
    <w:rsid w:val="002C20C5"/>
    <w:rsid w:val="00362259"/>
    <w:rsid w:val="003640E1"/>
    <w:rsid w:val="003B7604"/>
    <w:rsid w:val="00416691"/>
    <w:rsid w:val="00502F9D"/>
    <w:rsid w:val="00530905"/>
    <w:rsid w:val="00535357"/>
    <w:rsid w:val="00567BBA"/>
    <w:rsid w:val="0058465C"/>
    <w:rsid w:val="005B4841"/>
    <w:rsid w:val="0063511A"/>
    <w:rsid w:val="00645418"/>
    <w:rsid w:val="006B3680"/>
    <w:rsid w:val="006D79D0"/>
    <w:rsid w:val="006D7AD3"/>
    <w:rsid w:val="00736D61"/>
    <w:rsid w:val="00741804"/>
    <w:rsid w:val="00792A8D"/>
    <w:rsid w:val="007A6F64"/>
    <w:rsid w:val="00803375"/>
    <w:rsid w:val="00892C37"/>
    <w:rsid w:val="008C5277"/>
    <w:rsid w:val="008E2501"/>
    <w:rsid w:val="008F5412"/>
    <w:rsid w:val="009358C6"/>
    <w:rsid w:val="009450D9"/>
    <w:rsid w:val="009C723E"/>
    <w:rsid w:val="009E3A0D"/>
    <w:rsid w:val="00A040FD"/>
    <w:rsid w:val="00A0738A"/>
    <w:rsid w:val="00A23FCC"/>
    <w:rsid w:val="00A46B18"/>
    <w:rsid w:val="00A7703E"/>
    <w:rsid w:val="00AB10B1"/>
    <w:rsid w:val="00AB6251"/>
    <w:rsid w:val="00AC28D7"/>
    <w:rsid w:val="00AE1B10"/>
    <w:rsid w:val="00B67181"/>
    <w:rsid w:val="00BE3F5F"/>
    <w:rsid w:val="00BE64F7"/>
    <w:rsid w:val="00C04396"/>
    <w:rsid w:val="00C20309"/>
    <w:rsid w:val="00C349BD"/>
    <w:rsid w:val="00C95225"/>
    <w:rsid w:val="00CC4C4E"/>
    <w:rsid w:val="00D00593"/>
    <w:rsid w:val="00DF741A"/>
    <w:rsid w:val="00E1200A"/>
    <w:rsid w:val="00E13276"/>
    <w:rsid w:val="00E50294"/>
    <w:rsid w:val="00E90882"/>
    <w:rsid w:val="00E9571E"/>
    <w:rsid w:val="00EC515A"/>
    <w:rsid w:val="00EE0565"/>
    <w:rsid w:val="00F172D9"/>
    <w:rsid w:val="00F47269"/>
    <w:rsid w:val="00F6644B"/>
    <w:rsid w:val="00F752E5"/>
    <w:rsid w:val="00F90AD8"/>
    <w:rsid w:val="00FB4EDF"/>
    <w:rsid w:val="00FD3BD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F6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2C37"/>
    <w:pPr>
      <w:ind w:left="720"/>
      <w:contextualSpacing/>
    </w:pPr>
  </w:style>
  <w:style w:type="paragraph" w:styleId="Textonotapie">
    <w:name w:val="footnote text"/>
    <w:basedOn w:val="Normal"/>
    <w:link w:val="TextonotapieCar"/>
    <w:uiPriority w:val="99"/>
    <w:semiHidden/>
    <w:unhideWhenUsed/>
    <w:rsid w:val="0041669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16691"/>
    <w:rPr>
      <w:sz w:val="20"/>
      <w:szCs w:val="20"/>
    </w:rPr>
  </w:style>
  <w:style w:type="character" w:styleId="Refdenotaalpie">
    <w:name w:val="footnote reference"/>
    <w:basedOn w:val="Fuentedeprrafopredeter"/>
    <w:uiPriority w:val="99"/>
    <w:semiHidden/>
    <w:unhideWhenUsed/>
    <w:rsid w:val="00416691"/>
    <w:rPr>
      <w:vertAlign w:val="superscript"/>
    </w:rPr>
  </w:style>
  <w:style w:type="character" w:styleId="Hipervnculo">
    <w:name w:val="Hyperlink"/>
    <w:basedOn w:val="Fuentedeprrafopredeter"/>
    <w:uiPriority w:val="99"/>
    <w:semiHidden/>
    <w:unhideWhenUsed/>
    <w:rsid w:val="0041669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oychile.cl/Temuco/Policial/2020/03/15/643142/Confirman-que-paciente-contagiado-con-coronavirus-viajo-en-un-avion-desde-Santiago-a-Temuco-27-pasajeros-en-cuarentena.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8C45A-FE32-4A3D-AA0A-9EF7E127D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791</Words>
  <Characters>4356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Mera Schmidt</dc:creator>
  <cp:lastModifiedBy>Guillermo Diaz Vallejos</cp:lastModifiedBy>
  <cp:revision>2</cp:revision>
  <dcterms:created xsi:type="dcterms:W3CDTF">2020-03-17T21:40:00Z</dcterms:created>
  <dcterms:modified xsi:type="dcterms:W3CDTF">2020-03-17T21:40:00Z</dcterms:modified>
</cp:coreProperties>
</file>