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B6" w:rsidRDefault="00ED7EB6" w:rsidP="00D348F3">
      <w:pPr>
        <w:ind w:right="-149"/>
        <w:jc w:val="center"/>
        <w:rPr>
          <w:rFonts w:ascii="Georgia" w:hAnsi="Georgia"/>
          <w:sz w:val="22"/>
        </w:rPr>
      </w:pPr>
    </w:p>
    <w:p w:rsidR="00A63539" w:rsidRPr="00A63539" w:rsidRDefault="00A63539" w:rsidP="00D348F3">
      <w:pPr>
        <w:ind w:right="-149"/>
        <w:jc w:val="center"/>
        <w:rPr>
          <w:rFonts w:ascii="Georgia" w:hAnsi="Georgia"/>
          <w:sz w:val="22"/>
        </w:rPr>
      </w:pPr>
      <w:r w:rsidRPr="006F5C9F">
        <w:rPr>
          <w:rFonts w:ascii="Georgia" w:hAnsi="Georgia"/>
          <w:noProof/>
          <w:lang w:val="es-ES" w:eastAsia="es-ES"/>
        </w:rPr>
        <w:drawing>
          <wp:inline distT="0" distB="0" distL="0" distR="0">
            <wp:extent cx="721360" cy="548640"/>
            <wp:effectExtent l="0" t="0" r="0" b="101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548640"/>
                    </a:xfrm>
                    <a:prstGeom prst="rect">
                      <a:avLst/>
                    </a:prstGeom>
                    <a:noFill/>
                    <a:ln>
                      <a:noFill/>
                    </a:ln>
                  </pic:spPr>
                </pic:pic>
              </a:graphicData>
            </a:graphic>
          </wp:inline>
        </w:drawing>
      </w:r>
    </w:p>
    <w:p w:rsidR="00A63539" w:rsidRPr="00A63539" w:rsidRDefault="00A63539" w:rsidP="00D348F3">
      <w:pPr>
        <w:spacing w:line="276" w:lineRule="auto"/>
        <w:ind w:right="-149"/>
        <w:jc w:val="center"/>
        <w:rPr>
          <w:rFonts w:ascii="Georgia" w:hAnsi="Georgia"/>
        </w:rPr>
      </w:pPr>
      <w:r w:rsidRPr="006F5C9F">
        <w:rPr>
          <w:rFonts w:ascii="Georgia" w:hAnsi="Georgia"/>
          <w:i/>
        </w:rPr>
        <w:t>Cámara de Diputados</w:t>
      </w:r>
    </w:p>
    <w:p w:rsidR="00A63539" w:rsidRDefault="00A63539" w:rsidP="00D348F3">
      <w:pPr>
        <w:ind w:right="-149"/>
        <w:jc w:val="center"/>
        <w:rPr>
          <w:rFonts w:ascii="Georgia" w:hAnsi="Georgia"/>
          <w:sz w:val="22"/>
        </w:rPr>
      </w:pPr>
    </w:p>
    <w:p w:rsidR="00743299" w:rsidRDefault="00D348F3" w:rsidP="00D348F3">
      <w:pPr>
        <w:ind w:right="-149"/>
        <w:jc w:val="both"/>
        <w:rPr>
          <w:rFonts w:ascii="Arial" w:hAnsi="Arial" w:cs="Arial"/>
          <w:b/>
          <w:bCs/>
        </w:rPr>
      </w:pPr>
      <w:r w:rsidRPr="00D348F3">
        <w:rPr>
          <w:rFonts w:ascii="Arial" w:hAnsi="Arial" w:cs="Arial"/>
          <w:b/>
          <w:bCs/>
        </w:rPr>
        <w:t>Modifica el Código del Trabajo para especificar que la declaración de alerta sanitaria o estado de catástrofe habilita a los trabajadores para ejercer el derecho de interrumpir sus labores o abandonar el lugar de trabajo</w:t>
      </w:r>
    </w:p>
    <w:p w:rsidR="00D348F3" w:rsidRDefault="00D348F3" w:rsidP="00D348F3">
      <w:pPr>
        <w:ind w:right="-149"/>
        <w:jc w:val="both"/>
        <w:rPr>
          <w:rFonts w:ascii="Arial" w:hAnsi="Arial" w:cs="Arial"/>
          <w:b/>
          <w:bCs/>
        </w:rPr>
      </w:pPr>
    </w:p>
    <w:p w:rsidR="00D348F3" w:rsidRPr="00413FD2" w:rsidRDefault="00D348F3" w:rsidP="00D348F3">
      <w:pPr>
        <w:ind w:right="-149"/>
        <w:jc w:val="center"/>
        <w:rPr>
          <w:rFonts w:ascii="Arial" w:hAnsi="Arial" w:cs="Arial"/>
          <w:b/>
          <w:bCs/>
        </w:rPr>
      </w:pPr>
      <w:r>
        <w:rPr>
          <w:rFonts w:ascii="Arial" w:hAnsi="Arial" w:cs="Arial"/>
          <w:b/>
          <w:bCs/>
        </w:rPr>
        <w:t>Boletín N° 13357-13</w:t>
      </w:r>
    </w:p>
    <w:p w:rsidR="00743299" w:rsidRPr="00413FD2" w:rsidRDefault="00743299" w:rsidP="00D348F3">
      <w:pPr>
        <w:ind w:right="-149"/>
        <w:jc w:val="both"/>
        <w:rPr>
          <w:rFonts w:ascii="Arial" w:hAnsi="Arial" w:cs="Arial"/>
        </w:rPr>
      </w:pPr>
    </w:p>
    <w:p w:rsidR="00A4070D" w:rsidRPr="00413FD2" w:rsidRDefault="00743299" w:rsidP="00D348F3">
      <w:pPr>
        <w:ind w:right="-149"/>
        <w:jc w:val="both"/>
        <w:rPr>
          <w:rFonts w:ascii="Arial" w:hAnsi="Arial" w:cs="Arial"/>
        </w:rPr>
      </w:pPr>
      <w:r w:rsidRPr="00413FD2">
        <w:rPr>
          <w:rFonts w:ascii="Arial" w:hAnsi="Arial" w:cs="Arial"/>
          <w:b/>
        </w:rPr>
        <w:t xml:space="preserve">1. </w:t>
      </w:r>
      <w:r w:rsidR="00D96B22" w:rsidRPr="00413FD2">
        <w:rPr>
          <w:rFonts w:ascii="Arial" w:hAnsi="Arial" w:cs="Arial"/>
          <w:b/>
        </w:rPr>
        <w:t>Fundamento. -</w:t>
      </w:r>
      <w:r w:rsidRPr="00413FD2">
        <w:rPr>
          <w:rFonts w:ascii="Arial" w:hAnsi="Arial" w:cs="Arial"/>
        </w:rPr>
        <w:t xml:space="preserve"> </w:t>
      </w:r>
    </w:p>
    <w:p w:rsidR="007355A5" w:rsidRPr="00413FD2" w:rsidRDefault="007355A5" w:rsidP="00D348F3">
      <w:pPr>
        <w:ind w:right="-149"/>
        <w:jc w:val="both"/>
        <w:rPr>
          <w:rFonts w:ascii="Arial" w:hAnsi="Arial" w:cs="Arial"/>
          <w:lang w:val="es-ES"/>
        </w:rPr>
      </w:pPr>
    </w:p>
    <w:p w:rsidR="00A4070D" w:rsidRPr="00413FD2" w:rsidRDefault="00E56842" w:rsidP="00D348F3">
      <w:pPr>
        <w:ind w:right="-149"/>
        <w:jc w:val="both"/>
        <w:rPr>
          <w:rFonts w:ascii="Arial" w:hAnsi="Arial" w:cs="Arial"/>
          <w:lang w:val="es-ES"/>
        </w:rPr>
      </w:pPr>
      <w:r w:rsidRPr="00413FD2">
        <w:rPr>
          <w:rFonts w:ascii="Arial" w:hAnsi="Arial" w:cs="Arial"/>
          <w:lang w:val="es-ES"/>
        </w:rPr>
        <w:tab/>
      </w:r>
      <w:r w:rsidR="007355A5" w:rsidRPr="00413FD2">
        <w:rPr>
          <w:rFonts w:ascii="Arial" w:hAnsi="Arial" w:cs="Arial"/>
          <w:lang w:val="es-ES"/>
        </w:rPr>
        <w:t>Es de público conocimiento que, durante la segunda quincena de diciembre de 2019 hasta la fecha, se ha producido un brote, en la República Popular China, de un virus al cual se le ha denominado provisoriamente "Nuevo Coronavirus 2019 (2019-nCoV), que luego fue declarado pandemia por la Organización Mundial de Salud</w:t>
      </w:r>
      <w:r w:rsidR="003C3823" w:rsidRPr="00413FD2">
        <w:rPr>
          <w:rFonts w:ascii="Arial" w:hAnsi="Arial" w:cs="Arial"/>
          <w:lang w:val="es-ES"/>
        </w:rPr>
        <w:t>, debido a su rápida</w:t>
      </w:r>
      <w:r w:rsidRPr="00413FD2">
        <w:rPr>
          <w:rFonts w:ascii="Arial" w:hAnsi="Arial" w:cs="Arial"/>
          <w:lang w:val="es-ES"/>
        </w:rPr>
        <w:t xml:space="preserve"> propagación</w:t>
      </w:r>
      <w:r w:rsidR="003C3823" w:rsidRPr="00413FD2">
        <w:rPr>
          <w:rFonts w:ascii="Arial" w:hAnsi="Arial" w:cs="Arial"/>
          <w:lang w:val="es-ES"/>
        </w:rPr>
        <w:t>,</w:t>
      </w:r>
      <w:r w:rsidR="007355A5" w:rsidRPr="00413FD2">
        <w:rPr>
          <w:rFonts w:ascii="Arial" w:hAnsi="Arial" w:cs="Arial"/>
          <w:lang w:val="es-ES"/>
        </w:rPr>
        <w:t xml:space="preserve"> y que en la actualidad afecta gravemente a todo el territorio nacional, motivo por el cual el </w:t>
      </w:r>
      <w:r w:rsidRPr="00413FD2">
        <w:rPr>
          <w:rFonts w:ascii="Arial" w:hAnsi="Arial" w:cs="Arial"/>
          <w:lang w:val="es-ES"/>
        </w:rPr>
        <w:t>Presidente de la República declaró estado de catástrofe por calamidad pública.</w:t>
      </w:r>
    </w:p>
    <w:p w:rsidR="00E56842" w:rsidRPr="00413FD2" w:rsidRDefault="00E56842" w:rsidP="00D348F3">
      <w:pPr>
        <w:ind w:right="-149"/>
        <w:jc w:val="both"/>
        <w:rPr>
          <w:rFonts w:ascii="Arial" w:hAnsi="Arial" w:cs="Arial"/>
          <w:lang w:val="es-ES"/>
        </w:rPr>
      </w:pPr>
    </w:p>
    <w:p w:rsidR="00E56842" w:rsidRPr="00413FD2" w:rsidRDefault="00E56842" w:rsidP="00D348F3">
      <w:pPr>
        <w:ind w:right="-149"/>
        <w:jc w:val="both"/>
        <w:rPr>
          <w:rFonts w:ascii="Arial" w:hAnsi="Arial" w:cs="Arial"/>
        </w:rPr>
      </w:pPr>
      <w:r w:rsidRPr="00413FD2">
        <w:rPr>
          <w:rFonts w:ascii="Arial" w:hAnsi="Arial" w:cs="Arial"/>
          <w:lang w:val="es-ES"/>
        </w:rPr>
        <w:tab/>
        <w:t>Esta declaración de estado de catástrofe estuvo antecedida de una declaración de alerta sanitaria, decretada</w:t>
      </w:r>
      <w:r w:rsidR="00291480" w:rsidRPr="00413FD2">
        <w:rPr>
          <w:rFonts w:ascii="Arial" w:hAnsi="Arial" w:cs="Arial"/>
          <w:lang w:val="es-ES"/>
        </w:rPr>
        <w:t xml:space="preserve"> por el Ministerio de Salud, producto del</w:t>
      </w:r>
      <w:r w:rsidRPr="00413FD2">
        <w:rPr>
          <w:rFonts w:ascii="Arial" w:hAnsi="Arial" w:cs="Arial"/>
          <w:lang w:val="es-ES"/>
        </w:rPr>
        <w:t xml:space="preserve"> grave riesgo que significa para la salud pública</w:t>
      </w:r>
      <w:r w:rsidR="003C3823" w:rsidRPr="00413FD2">
        <w:rPr>
          <w:rFonts w:ascii="Arial" w:hAnsi="Arial" w:cs="Arial"/>
          <w:lang w:val="es-ES"/>
        </w:rPr>
        <w:t xml:space="preserve"> la propagación del Coronavirus o </w:t>
      </w:r>
      <w:r w:rsidR="003C3823" w:rsidRPr="00413FD2">
        <w:rPr>
          <w:rFonts w:ascii="Arial" w:hAnsi="Arial" w:cs="Arial"/>
        </w:rPr>
        <w:t xml:space="preserve">Covid-19. </w:t>
      </w:r>
      <w:r w:rsidR="003C3823" w:rsidRPr="00413FD2">
        <w:rPr>
          <w:rFonts w:ascii="Arial" w:hAnsi="Arial" w:cs="Arial"/>
          <w:lang w:val="es-ES"/>
        </w:rPr>
        <w:t xml:space="preserve"> </w:t>
      </w:r>
      <w:r w:rsidRPr="00413FD2">
        <w:rPr>
          <w:rFonts w:ascii="Arial" w:hAnsi="Arial" w:cs="Arial"/>
          <w:lang w:val="es-ES"/>
        </w:rPr>
        <w:t xml:space="preserve">   </w:t>
      </w:r>
    </w:p>
    <w:p w:rsidR="007355A5" w:rsidRPr="00413FD2" w:rsidRDefault="007355A5" w:rsidP="00D348F3">
      <w:pPr>
        <w:ind w:right="-149"/>
        <w:jc w:val="both"/>
        <w:rPr>
          <w:rFonts w:ascii="Arial" w:hAnsi="Arial" w:cs="Arial"/>
        </w:rPr>
      </w:pPr>
    </w:p>
    <w:p w:rsidR="005B2B11" w:rsidRPr="00413FD2" w:rsidRDefault="00E56842" w:rsidP="00D348F3">
      <w:pPr>
        <w:ind w:right="-149"/>
        <w:jc w:val="both"/>
        <w:rPr>
          <w:rFonts w:ascii="Arial" w:hAnsi="Arial" w:cs="Arial"/>
        </w:rPr>
      </w:pPr>
      <w:r w:rsidRPr="00413FD2">
        <w:rPr>
          <w:rFonts w:ascii="Arial" w:hAnsi="Arial" w:cs="Arial"/>
        </w:rPr>
        <w:tab/>
        <w:t xml:space="preserve">Estas acciones en materia de salud han tenido su </w:t>
      </w:r>
      <w:r w:rsidR="00D96B22" w:rsidRPr="00413FD2">
        <w:rPr>
          <w:rFonts w:ascii="Arial" w:hAnsi="Arial" w:cs="Arial"/>
        </w:rPr>
        <w:t>correlato</w:t>
      </w:r>
      <w:r w:rsidRPr="00413FD2">
        <w:rPr>
          <w:rFonts w:ascii="Arial" w:hAnsi="Arial" w:cs="Arial"/>
        </w:rPr>
        <w:t xml:space="preserve"> en el ámbito l</w:t>
      </w:r>
      <w:r w:rsidR="005B2B11" w:rsidRPr="00413FD2">
        <w:rPr>
          <w:rFonts w:ascii="Arial" w:hAnsi="Arial" w:cs="Arial"/>
        </w:rPr>
        <w:t xml:space="preserve">aboral, donde destacan los Dictámenes 1116/004 y 1239/005, que fijan criterios y orientaciones sobre el impacto, en materia laboral, de la emergencia sanitaria </w:t>
      </w:r>
      <w:r w:rsidR="003C3823" w:rsidRPr="00413FD2">
        <w:rPr>
          <w:rFonts w:ascii="Arial" w:hAnsi="Arial" w:cs="Arial"/>
        </w:rPr>
        <w:t>provocada por</w:t>
      </w:r>
      <w:r w:rsidR="005B2B11" w:rsidRPr="00413FD2">
        <w:rPr>
          <w:rFonts w:ascii="Arial" w:hAnsi="Arial" w:cs="Arial"/>
        </w:rPr>
        <w:t xml:space="preserve"> el virus Covid-19. </w:t>
      </w:r>
    </w:p>
    <w:p w:rsidR="005B2B11" w:rsidRPr="00413FD2" w:rsidRDefault="005B2B11" w:rsidP="00D348F3">
      <w:pPr>
        <w:ind w:right="-149"/>
        <w:jc w:val="both"/>
        <w:rPr>
          <w:rFonts w:ascii="Arial" w:hAnsi="Arial" w:cs="Arial"/>
        </w:rPr>
      </w:pPr>
    </w:p>
    <w:p w:rsidR="003B3A31" w:rsidRPr="00413FD2" w:rsidRDefault="003B3A31" w:rsidP="00D348F3">
      <w:pPr>
        <w:ind w:right="-149"/>
        <w:jc w:val="both"/>
        <w:rPr>
          <w:rFonts w:ascii="Arial" w:hAnsi="Arial" w:cs="Arial"/>
        </w:rPr>
      </w:pPr>
      <w:r w:rsidRPr="00413FD2">
        <w:rPr>
          <w:rFonts w:ascii="Arial" w:hAnsi="Arial" w:cs="Arial"/>
        </w:rPr>
        <w:tab/>
        <w:t>El artículo 184</w:t>
      </w:r>
      <w:r w:rsidR="003C3823" w:rsidRPr="00413FD2">
        <w:rPr>
          <w:rFonts w:ascii="Arial" w:hAnsi="Arial" w:cs="Arial"/>
        </w:rPr>
        <w:t xml:space="preserve"> del Código del Trabajo</w:t>
      </w:r>
      <w:r w:rsidRPr="00413FD2">
        <w:rPr>
          <w:rFonts w:ascii="Arial" w:hAnsi="Arial" w:cs="Arial"/>
        </w:rPr>
        <w:t xml:space="preserve">, </w:t>
      </w:r>
      <w:r w:rsidR="003C3823" w:rsidRPr="00413FD2">
        <w:rPr>
          <w:rFonts w:ascii="Arial" w:hAnsi="Arial" w:cs="Arial"/>
        </w:rPr>
        <w:t xml:space="preserve">que consagra una norma general </w:t>
      </w:r>
      <w:r w:rsidR="00E11929" w:rsidRPr="00413FD2">
        <w:rPr>
          <w:rFonts w:ascii="Arial" w:hAnsi="Arial" w:cs="Arial"/>
        </w:rPr>
        <w:t>de protección de la vida y salud de los trabajadores, establece un deber</w:t>
      </w:r>
      <w:r w:rsidR="003C3823" w:rsidRPr="00413FD2">
        <w:rPr>
          <w:rFonts w:ascii="Arial" w:hAnsi="Arial" w:cs="Arial"/>
        </w:rPr>
        <w:t xml:space="preserve"> general</w:t>
      </w:r>
      <w:r w:rsidR="00E11929" w:rsidRPr="00413FD2">
        <w:rPr>
          <w:rFonts w:ascii="Arial" w:hAnsi="Arial" w:cs="Arial"/>
        </w:rPr>
        <w:t xml:space="preserve"> para el empleador de tomar todas las medidas necesarias para resguardar la vida y salud de los trabajador</w:t>
      </w:r>
      <w:r w:rsidR="00032C65" w:rsidRPr="00413FD2">
        <w:rPr>
          <w:rFonts w:ascii="Arial" w:hAnsi="Arial" w:cs="Arial"/>
        </w:rPr>
        <w:t>es, informando a estos</w:t>
      </w:r>
      <w:r w:rsidR="00E11929" w:rsidRPr="00413FD2">
        <w:rPr>
          <w:rFonts w:ascii="Arial" w:hAnsi="Arial" w:cs="Arial"/>
        </w:rPr>
        <w:t xml:space="preserve"> los posibles riesgos y manteniendo las condiciones adecuadas de higiene y seguridad en las faenas, como también los implementos necesarios para prevenir accidentes y enfermedades profesionales.</w:t>
      </w:r>
    </w:p>
    <w:p w:rsidR="00E11929" w:rsidRPr="00413FD2" w:rsidRDefault="00E11929" w:rsidP="00D348F3">
      <w:pPr>
        <w:ind w:right="-149"/>
        <w:jc w:val="both"/>
        <w:rPr>
          <w:rFonts w:ascii="Arial" w:hAnsi="Arial" w:cs="Arial"/>
        </w:rPr>
      </w:pPr>
    </w:p>
    <w:p w:rsidR="00E11929" w:rsidRPr="00413FD2" w:rsidRDefault="00E11929" w:rsidP="00D348F3">
      <w:pPr>
        <w:ind w:right="-149"/>
        <w:jc w:val="both"/>
        <w:rPr>
          <w:rFonts w:ascii="Arial" w:hAnsi="Arial" w:cs="Arial"/>
        </w:rPr>
      </w:pPr>
      <w:r w:rsidRPr="00413FD2">
        <w:rPr>
          <w:rFonts w:ascii="Arial" w:hAnsi="Arial" w:cs="Arial"/>
        </w:rPr>
        <w:tab/>
        <w:t xml:space="preserve">El inciso 4º del mismo artículo señala que corresponderá a la </w:t>
      </w:r>
      <w:r w:rsidR="00D96B22" w:rsidRPr="00413FD2">
        <w:rPr>
          <w:rFonts w:ascii="Arial" w:hAnsi="Arial" w:cs="Arial"/>
        </w:rPr>
        <w:t>Dirección</w:t>
      </w:r>
      <w:r w:rsidRPr="00413FD2">
        <w:rPr>
          <w:rFonts w:ascii="Arial" w:hAnsi="Arial" w:cs="Arial"/>
        </w:rPr>
        <w:t xml:space="preserve"> del Trabajo fiscalizar el cumplimiento de las normas de higiene y seguridad en el trabajo en los términos señalados por el artículo 191, sin perjuicio de las facultades conferidas a otros servicios del Estado en virtud de las leyes que los rigen.</w:t>
      </w:r>
    </w:p>
    <w:p w:rsidR="00E11929" w:rsidRPr="00413FD2" w:rsidRDefault="00E11929" w:rsidP="00D348F3">
      <w:pPr>
        <w:ind w:right="-149"/>
        <w:jc w:val="both"/>
        <w:rPr>
          <w:rFonts w:ascii="Arial" w:hAnsi="Arial" w:cs="Arial"/>
        </w:rPr>
      </w:pPr>
    </w:p>
    <w:p w:rsidR="00E11929" w:rsidRPr="00413FD2" w:rsidRDefault="00E11929" w:rsidP="00D348F3">
      <w:pPr>
        <w:ind w:right="-291"/>
        <w:jc w:val="both"/>
        <w:rPr>
          <w:rFonts w:ascii="Arial" w:hAnsi="Arial" w:cs="Arial"/>
        </w:rPr>
      </w:pPr>
      <w:r w:rsidRPr="00413FD2">
        <w:rPr>
          <w:rFonts w:ascii="Arial" w:hAnsi="Arial" w:cs="Arial"/>
        </w:rPr>
        <w:tab/>
        <w:t>Ahora bien, de forma complementaria al deber general que tiene el empleador, el Código establece obligaciones específicas en el artículo 18</w:t>
      </w:r>
      <w:r w:rsidR="0078713C" w:rsidRPr="00413FD2">
        <w:rPr>
          <w:rFonts w:ascii="Arial" w:hAnsi="Arial" w:cs="Arial"/>
        </w:rPr>
        <w:t>4 bis, como la de informar a los trabajadores la existencia de un riesgo y de las medidas adoptadas para eliminarlo o atenuarlo. Otra obligación especialmente importante</w:t>
      </w:r>
      <w:r w:rsidR="003C3823" w:rsidRPr="00413FD2">
        <w:rPr>
          <w:rFonts w:ascii="Arial" w:hAnsi="Arial" w:cs="Arial"/>
        </w:rPr>
        <w:t>,</w:t>
      </w:r>
      <w:r w:rsidR="0078713C" w:rsidRPr="00413FD2">
        <w:rPr>
          <w:rFonts w:ascii="Arial" w:hAnsi="Arial" w:cs="Arial"/>
        </w:rPr>
        <w:t xml:space="preserve"> </w:t>
      </w:r>
      <w:r w:rsidR="0078713C" w:rsidRPr="00413FD2">
        <w:rPr>
          <w:rFonts w:ascii="Arial" w:hAnsi="Arial" w:cs="Arial"/>
        </w:rPr>
        <w:lastRenderedPageBreak/>
        <w:t xml:space="preserve">en el contexto de </w:t>
      </w:r>
      <w:r w:rsidR="003C3823" w:rsidRPr="00413FD2">
        <w:rPr>
          <w:rFonts w:ascii="Arial" w:hAnsi="Arial" w:cs="Arial"/>
        </w:rPr>
        <w:t xml:space="preserve">una </w:t>
      </w:r>
      <w:r w:rsidR="0078713C" w:rsidRPr="00413FD2">
        <w:rPr>
          <w:rFonts w:ascii="Arial" w:hAnsi="Arial" w:cs="Arial"/>
        </w:rPr>
        <w:t>emergencia sanitaria</w:t>
      </w:r>
      <w:r w:rsidR="003C3823" w:rsidRPr="00413FD2">
        <w:rPr>
          <w:rFonts w:ascii="Arial" w:hAnsi="Arial" w:cs="Arial"/>
        </w:rPr>
        <w:t>,</w:t>
      </w:r>
      <w:r w:rsidR="0078713C" w:rsidRPr="00413FD2">
        <w:rPr>
          <w:rFonts w:ascii="Arial" w:hAnsi="Arial" w:cs="Arial"/>
        </w:rPr>
        <w:t xml:space="preserve"> es la de adoptar medidas para la suspensión inmediata de las faenas afectadas y la evacuación de los </w:t>
      </w:r>
      <w:r w:rsidR="00D348F3">
        <w:rPr>
          <w:rFonts w:ascii="Arial" w:hAnsi="Arial" w:cs="Arial"/>
        </w:rPr>
        <w:t xml:space="preserve"> </w:t>
      </w:r>
      <w:r w:rsidR="0078713C" w:rsidRPr="00413FD2">
        <w:rPr>
          <w:rFonts w:ascii="Arial" w:hAnsi="Arial" w:cs="Arial"/>
        </w:rPr>
        <w:t xml:space="preserve">trabajadores, </w:t>
      </w:r>
      <w:r w:rsidR="00D96B22" w:rsidRPr="00413FD2">
        <w:rPr>
          <w:rFonts w:ascii="Arial" w:hAnsi="Arial" w:cs="Arial"/>
        </w:rPr>
        <w:t>en caso de que</w:t>
      </w:r>
      <w:r w:rsidR="0078713C" w:rsidRPr="00413FD2">
        <w:rPr>
          <w:rFonts w:ascii="Arial" w:hAnsi="Arial" w:cs="Arial"/>
        </w:rPr>
        <w:t xml:space="preserve"> el riesgo no se pueda eliminar o atenuar, como es el riesgo que afec</w:t>
      </w:r>
      <w:r w:rsidR="003C3823" w:rsidRPr="00413FD2">
        <w:rPr>
          <w:rFonts w:ascii="Arial" w:hAnsi="Arial" w:cs="Arial"/>
        </w:rPr>
        <w:t>ta al país por la pandemia por Corona</w:t>
      </w:r>
      <w:r w:rsidR="0078713C" w:rsidRPr="00413FD2">
        <w:rPr>
          <w:rFonts w:ascii="Arial" w:hAnsi="Arial" w:cs="Arial"/>
        </w:rPr>
        <w:t>virus.</w:t>
      </w:r>
    </w:p>
    <w:p w:rsidR="00E11929" w:rsidRPr="00413FD2" w:rsidRDefault="00E11929" w:rsidP="00D348F3">
      <w:pPr>
        <w:ind w:right="-149"/>
        <w:jc w:val="both"/>
        <w:rPr>
          <w:rFonts w:ascii="Arial" w:hAnsi="Arial" w:cs="Arial"/>
        </w:rPr>
      </w:pPr>
    </w:p>
    <w:p w:rsidR="0078713C" w:rsidRPr="00413FD2" w:rsidRDefault="00E11929" w:rsidP="00D348F3">
      <w:pPr>
        <w:ind w:right="-149"/>
        <w:jc w:val="both"/>
        <w:rPr>
          <w:rFonts w:ascii="Arial" w:hAnsi="Arial" w:cs="Arial"/>
        </w:rPr>
      </w:pPr>
      <w:r w:rsidRPr="00413FD2">
        <w:rPr>
          <w:rFonts w:ascii="Arial" w:hAnsi="Arial" w:cs="Arial"/>
        </w:rPr>
        <w:tab/>
        <w:t xml:space="preserve">Adicionalmente, </w:t>
      </w:r>
      <w:r w:rsidR="0078713C" w:rsidRPr="00413FD2">
        <w:rPr>
          <w:rFonts w:ascii="Arial" w:hAnsi="Arial" w:cs="Arial"/>
        </w:rPr>
        <w:t xml:space="preserve">esta misma norma, permita al trabajador interrumpir sus labores y, de ser necesario, abandonar el lugar de trabajo cuando considere, por motivos razonables, que continuar en ellas implica un riesgo grave e inminente para su vida o salud. La única obligación que debe cumplir el trabajador que ejerza este derecho es dar cuenta de este hecho al empleador dentro del más breve plazo, el que deberá informar de la suspensión de las mismas a la Inspección del Trabajo respectiva. </w:t>
      </w:r>
    </w:p>
    <w:p w:rsidR="006A767E" w:rsidRPr="00413FD2" w:rsidRDefault="006A767E" w:rsidP="00D348F3">
      <w:pPr>
        <w:ind w:right="-149"/>
        <w:jc w:val="both"/>
        <w:rPr>
          <w:rFonts w:ascii="Arial" w:hAnsi="Arial" w:cs="Arial"/>
        </w:rPr>
      </w:pPr>
    </w:p>
    <w:p w:rsidR="006A767E" w:rsidRPr="00413FD2" w:rsidRDefault="006A767E" w:rsidP="00D348F3">
      <w:pPr>
        <w:ind w:right="-149"/>
        <w:jc w:val="both"/>
        <w:rPr>
          <w:rFonts w:ascii="Arial" w:hAnsi="Arial" w:cs="Arial"/>
        </w:rPr>
      </w:pPr>
      <w:r w:rsidRPr="00413FD2">
        <w:rPr>
          <w:rFonts w:ascii="Arial" w:hAnsi="Arial" w:cs="Arial"/>
        </w:rPr>
        <w:tab/>
        <w:t xml:space="preserve">La Dirección del Trabajo, mediante el </w:t>
      </w:r>
      <w:r w:rsidR="00D96B22" w:rsidRPr="00413FD2">
        <w:rPr>
          <w:rFonts w:ascii="Arial" w:hAnsi="Arial" w:cs="Arial"/>
        </w:rPr>
        <w:t>Dictamen</w:t>
      </w:r>
      <w:r w:rsidRPr="00413FD2">
        <w:rPr>
          <w:rFonts w:ascii="Arial" w:hAnsi="Arial" w:cs="Arial"/>
        </w:rPr>
        <w:t xml:space="preserve"> ORD. Nº 4604/112 de octubre de 2017</w:t>
      </w:r>
      <w:r w:rsidR="00DD1D89" w:rsidRPr="00413FD2">
        <w:rPr>
          <w:rStyle w:val="Refdenotaalpie"/>
          <w:rFonts w:ascii="Arial" w:hAnsi="Arial" w:cs="Arial"/>
        </w:rPr>
        <w:footnoteReference w:id="1"/>
      </w:r>
      <w:r w:rsidRPr="00413FD2">
        <w:rPr>
          <w:rFonts w:ascii="Arial" w:hAnsi="Arial" w:cs="Arial"/>
        </w:rPr>
        <w:t xml:space="preserve"> precisó el sentido y alcance del artículo 184 bis, incorporado por la ley Nº 21.012, publicada el 09 de junio de 2017, señalando que:</w:t>
      </w:r>
    </w:p>
    <w:p w:rsidR="006A767E" w:rsidRPr="00413FD2" w:rsidRDefault="006A767E" w:rsidP="00D348F3">
      <w:pPr>
        <w:ind w:right="-149"/>
        <w:jc w:val="both"/>
        <w:rPr>
          <w:rFonts w:ascii="Arial" w:hAnsi="Arial" w:cs="Arial"/>
        </w:rPr>
      </w:pPr>
    </w:p>
    <w:p w:rsidR="006A767E" w:rsidRPr="00413FD2" w:rsidRDefault="006A767E" w:rsidP="00D348F3">
      <w:pPr>
        <w:ind w:left="567" w:right="418"/>
        <w:jc w:val="both"/>
        <w:rPr>
          <w:rFonts w:ascii="Arial" w:hAnsi="Arial" w:cs="Arial"/>
        </w:rPr>
      </w:pPr>
      <w:r w:rsidRPr="00413FD2">
        <w:rPr>
          <w:rFonts w:ascii="Arial" w:hAnsi="Arial" w:cs="Arial"/>
        </w:rPr>
        <w:t>“</w:t>
      </w:r>
      <w:r w:rsidRPr="00413FD2">
        <w:rPr>
          <w:rFonts w:ascii="Arial" w:hAnsi="Arial" w:cs="Arial"/>
          <w:lang w:val="es-ES"/>
        </w:rPr>
        <w:t>El fin perseguido por el legislador al establecer la normativa en comento, es imponer al empleador la obligación de informar y</w:t>
      </w:r>
      <w:r w:rsidR="00D348F3">
        <w:rPr>
          <w:rFonts w:ascii="Arial" w:hAnsi="Arial" w:cs="Arial"/>
          <w:lang w:val="es-ES"/>
        </w:rPr>
        <w:t xml:space="preserve">  </w:t>
      </w:r>
      <w:r w:rsidRPr="00413FD2">
        <w:rPr>
          <w:rFonts w:ascii="Arial" w:hAnsi="Arial" w:cs="Arial"/>
          <w:lang w:val="es-ES"/>
        </w:rPr>
        <w:t xml:space="preserve"> adoptar las medidas de evacuación y suspensión inmediata de </w:t>
      </w:r>
      <w:r w:rsidR="00D348F3">
        <w:rPr>
          <w:rFonts w:ascii="Arial" w:hAnsi="Arial" w:cs="Arial"/>
          <w:lang w:val="es-ES"/>
        </w:rPr>
        <w:t xml:space="preserve"> </w:t>
      </w:r>
      <w:r w:rsidRPr="00413FD2">
        <w:rPr>
          <w:rFonts w:ascii="Arial" w:hAnsi="Arial" w:cs="Arial"/>
          <w:lang w:val="es-ES"/>
        </w:rPr>
        <w:t>faenas, en caso de sobrevenir en el lugar de trabajo un riesgo grave e inminente para la vida y salud de sus dependientes y asegurar el derecho de estos últimos para interrumpir y abandonar el lugar de trabajo, cuando, razonablemente, consideren que su permanencia pueda significar un riesgo grave e inminente para su vida y salud, según consta en moción parlamentaria correspondiente al boletín N°9.385-13.”.</w:t>
      </w:r>
      <w:r w:rsidRPr="00413FD2">
        <w:rPr>
          <w:rFonts w:ascii="Arial" w:hAnsi="Arial" w:cs="Arial"/>
        </w:rPr>
        <w:t xml:space="preserve"> </w:t>
      </w:r>
    </w:p>
    <w:p w:rsidR="00DD1D89" w:rsidRPr="00413FD2" w:rsidRDefault="00DD1D89" w:rsidP="00D348F3">
      <w:pPr>
        <w:ind w:right="-149"/>
        <w:jc w:val="both"/>
        <w:rPr>
          <w:rFonts w:ascii="Arial" w:hAnsi="Arial" w:cs="Arial"/>
        </w:rPr>
      </w:pPr>
    </w:p>
    <w:p w:rsidR="00DD1D89" w:rsidRPr="00413FD2" w:rsidRDefault="00032C65" w:rsidP="00D348F3">
      <w:pPr>
        <w:ind w:right="-149"/>
        <w:jc w:val="both"/>
        <w:rPr>
          <w:rFonts w:ascii="Arial" w:hAnsi="Arial" w:cs="Arial"/>
        </w:rPr>
      </w:pPr>
      <w:r w:rsidRPr="00413FD2">
        <w:rPr>
          <w:rFonts w:ascii="Arial" w:hAnsi="Arial" w:cs="Arial"/>
        </w:rPr>
        <w:tab/>
      </w:r>
      <w:r w:rsidR="00DD1D89" w:rsidRPr="00413FD2">
        <w:rPr>
          <w:rFonts w:ascii="Arial" w:hAnsi="Arial" w:cs="Arial"/>
        </w:rPr>
        <w:t xml:space="preserve">En cuanto al significado de la expresión “riesgo grave o inminente”, el </w:t>
      </w:r>
      <w:r w:rsidR="00D96B22" w:rsidRPr="00413FD2">
        <w:rPr>
          <w:rFonts w:ascii="Arial" w:hAnsi="Arial" w:cs="Arial"/>
        </w:rPr>
        <w:t>dictamen</w:t>
      </w:r>
      <w:r w:rsidR="00DD1D89" w:rsidRPr="00413FD2">
        <w:rPr>
          <w:rFonts w:ascii="Arial" w:hAnsi="Arial" w:cs="Arial"/>
        </w:rPr>
        <w:t xml:space="preserve"> señala que:</w:t>
      </w:r>
    </w:p>
    <w:p w:rsidR="00032C65" w:rsidRPr="00413FD2" w:rsidRDefault="00032C65" w:rsidP="00D348F3">
      <w:pPr>
        <w:ind w:right="-149"/>
        <w:jc w:val="both"/>
        <w:rPr>
          <w:rFonts w:ascii="Arial" w:hAnsi="Arial" w:cs="Arial"/>
          <w:lang w:val="es-ES"/>
        </w:rPr>
      </w:pPr>
    </w:p>
    <w:p w:rsidR="00DD1D89" w:rsidRPr="00413FD2" w:rsidRDefault="00DD1D89" w:rsidP="00D348F3">
      <w:pPr>
        <w:ind w:left="567" w:right="276"/>
        <w:jc w:val="both"/>
        <w:rPr>
          <w:rFonts w:ascii="Arial" w:hAnsi="Arial" w:cs="Arial"/>
        </w:rPr>
      </w:pPr>
      <w:r w:rsidRPr="00413FD2">
        <w:rPr>
          <w:rFonts w:ascii="Arial" w:hAnsi="Arial" w:cs="Arial"/>
          <w:lang w:val="es-ES"/>
        </w:rPr>
        <w:t>“Según se desprende de la historia fidedigna del establecimiento de</w:t>
      </w:r>
      <w:r w:rsidR="00D348F3">
        <w:rPr>
          <w:rFonts w:ascii="Arial" w:hAnsi="Arial" w:cs="Arial"/>
          <w:lang w:val="es-ES"/>
        </w:rPr>
        <w:t xml:space="preserve">   </w:t>
      </w:r>
      <w:r w:rsidRPr="00413FD2">
        <w:rPr>
          <w:rFonts w:ascii="Arial" w:hAnsi="Arial" w:cs="Arial"/>
          <w:lang w:val="es-ES"/>
        </w:rPr>
        <w:t xml:space="preserve"> la citada ley N°21.012, el riesgo grave o inminente aludido puede derivar tanto de las características propias o inherentes a la actividad desarrollada por los trabajadores afectados como también a causa de la ocurrencia de un hecho constitutivo de caso fortuito o fuerza mayor, como un terremoto, tsunami, etc. Cabe hacer presente al respecto, </w:t>
      </w:r>
      <w:r w:rsidR="00D348F3">
        <w:rPr>
          <w:rFonts w:ascii="Arial" w:hAnsi="Arial" w:cs="Arial"/>
          <w:lang w:val="es-ES"/>
        </w:rPr>
        <w:t xml:space="preserve"> </w:t>
      </w:r>
      <w:r w:rsidRPr="00413FD2">
        <w:rPr>
          <w:rFonts w:ascii="Arial" w:hAnsi="Arial" w:cs="Arial"/>
          <w:lang w:val="es-ES"/>
        </w:rPr>
        <w:t xml:space="preserve">que el artículo 45 del Código Civil define tales sucesos en los siguientes términos: "Se llama fuerza mayor o caso fortuito el imprevisto a que no es posible resistir como un naufragio, un </w:t>
      </w:r>
      <w:r w:rsidR="00D348F3">
        <w:rPr>
          <w:rFonts w:ascii="Arial" w:hAnsi="Arial" w:cs="Arial"/>
          <w:lang w:val="es-ES"/>
        </w:rPr>
        <w:t xml:space="preserve">  </w:t>
      </w:r>
      <w:r w:rsidRPr="00413FD2">
        <w:rPr>
          <w:rFonts w:ascii="Arial" w:hAnsi="Arial" w:cs="Arial"/>
          <w:lang w:val="es-ES"/>
        </w:rPr>
        <w:t>terremoto, el apresamiento de enemigos, los actos de autoridad ejercidos por un funcionario público, etc.".</w:t>
      </w:r>
      <w:r w:rsidRPr="00413FD2">
        <w:rPr>
          <w:rFonts w:ascii="Arial" w:hAnsi="Arial" w:cs="Arial"/>
        </w:rPr>
        <w:t xml:space="preserve"> </w:t>
      </w:r>
    </w:p>
    <w:p w:rsidR="00032C65" w:rsidRPr="00413FD2" w:rsidRDefault="00032C65" w:rsidP="00D348F3">
      <w:pPr>
        <w:ind w:right="-149"/>
        <w:jc w:val="both"/>
        <w:rPr>
          <w:rFonts w:ascii="Arial" w:hAnsi="Arial" w:cs="Arial"/>
        </w:rPr>
      </w:pPr>
    </w:p>
    <w:p w:rsidR="00032C65" w:rsidRPr="00413FD2" w:rsidRDefault="00032C65" w:rsidP="00D348F3">
      <w:pPr>
        <w:ind w:right="-149"/>
        <w:jc w:val="both"/>
        <w:rPr>
          <w:rFonts w:ascii="Arial" w:hAnsi="Arial" w:cs="Arial"/>
        </w:rPr>
      </w:pPr>
      <w:r w:rsidRPr="00413FD2">
        <w:rPr>
          <w:rFonts w:ascii="Arial" w:hAnsi="Arial" w:cs="Arial"/>
        </w:rPr>
        <w:tab/>
        <w:t xml:space="preserve">En otras palabras, será considerado riesgo inminente “[…] </w:t>
      </w:r>
      <w:r w:rsidRPr="00413FD2">
        <w:rPr>
          <w:rFonts w:ascii="Arial" w:hAnsi="Arial" w:cs="Arial"/>
          <w:lang w:val="es-ES"/>
        </w:rPr>
        <w:t xml:space="preserve">todas aquellas situaciones que impliquen la ocurrencia de una contingencia importante e inmediata que amenace la seguridad y salud en el trabajo, incluyendo, además, de los riesgos inherentes que derivan de la actividad laboral que se trate, todo hecho que dé origen a </w:t>
      </w:r>
      <w:r w:rsidR="00D96B22" w:rsidRPr="00413FD2">
        <w:rPr>
          <w:rFonts w:ascii="Arial" w:hAnsi="Arial" w:cs="Arial"/>
          <w:lang w:val="es-ES"/>
        </w:rPr>
        <w:t>dicha contingencia</w:t>
      </w:r>
      <w:r w:rsidRPr="00413FD2">
        <w:rPr>
          <w:rFonts w:ascii="Arial" w:hAnsi="Arial" w:cs="Arial"/>
          <w:lang w:val="es-ES"/>
        </w:rPr>
        <w:t>.”.</w:t>
      </w:r>
    </w:p>
    <w:p w:rsidR="00DD1D89" w:rsidRPr="00413FD2" w:rsidRDefault="00DD1D89" w:rsidP="00D348F3">
      <w:pPr>
        <w:ind w:right="-149"/>
        <w:jc w:val="both"/>
        <w:rPr>
          <w:rFonts w:ascii="Arial" w:hAnsi="Arial" w:cs="Arial"/>
        </w:rPr>
      </w:pPr>
    </w:p>
    <w:p w:rsidR="0078713C" w:rsidRPr="00413FD2" w:rsidRDefault="00032C65" w:rsidP="00D348F3">
      <w:pPr>
        <w:ind w:right="-149"/>
        <w:jc w:val="both"/>
        <w:rPr>
          <w:rFonts w:ascii="Arial" w:hAnsi="Arial" w:cs="Arial"/>
          <w:lang w:val="es-ES"/>
        </w:rPr>
      </w:pPr>
      <w:r w:rsidRPr="00413FD2">
        <w:rPr>
          <w:rFonts w:ascii="Arial" w:hAnsi="Arial" w:cs="Arial"/>
        </w:rPr>
        <w:tab/>
      </w:r>
      <w:r w:rsidR="00DD1D89" w:rsidRPr="00413FD2">
        <w:rPr>
          <w:rFonts w:ascii="Arial" w:hAnsi="Arial" w:cs="Arial"/>
        </w:rPr>
        <w:t xml:space="preserve">El </w:t>
      </w:r>
      <w:r w:rsidR="00D96B22" w:rsidRPr="00413FD2">
        <w:rPr>
          <w:rFonts w:ascii="Arial" w:hAnsi="Arial" w:cs="Arial"/>
        </w:rPr>
        <w:t>dictamen</w:t>
      </w:r>
      <w:r w:rsidR="00DD1D89" w:rsidRPr="00413FD2">
        <w:rPr>
          <w:rFonts w:ascii="Arial" w:hAnsi="Arial" w:cs="Arial"/>
        </w:rPr>
        <w:t xml:space="preserve"> concluye que, respecto a las dos obligaciones del empleador, estas son </w:t>
      </w:r>
      <w:r w:rsidR="00D96B22" w:rsidRPr="00413FD2">
        <w:rPr>
          <w:rFonts w:ascii="Arial" w:hAnsi="Arial" w:cs="Arial"/>
        </w:rPr>
        <w:t>exigibles “</w:t>
      </w:r>
      <w:r w:rsidR="00DD1D89" w:rsidRPr="00413FD2">
        <w:rPr>
          <w:rFonts w:ascii="Arial" w:hAnsi="Arial" w:cs="Arial"/>
        </w:rPr>
        <w:t xml:space="preserve">[…] </w:t>
      </w:r>
      <w:r w:rsidR="00DD1D89" w:rsidRPr="00413FD2">
        <w:rPr>
          <w:rFonts w:ascii="Arial" w:hAnsi="Arial" w:cs="Arial"/>
          <w:lang w:val="es-ES"/>
        </w:rPr>
        <w:t xml:space="preserve">en todas aquellas situaciones que impliquen la ocurrencia de una contingencia importante e inmediata que amenace la </w:t>
      </w:r>
      <w:r w:rsidRPr="00413FD2">
        <w:rPr>
          <w:rFonts w:ascii="Arial" w:hAnsi="Arial" w:cs="Arial"/>
          <w:lang w:val="es-ES"/>
        </w:rPr>
        <w:t>seguridad y salud en el trabajo […]”</w:t>
      </w:r>
    </w:p>
    <w:p w:rsidR="00032C65" w:rsidRPr="00413FD2" w:rsidRDefault="00032C65" w:rsidP="00D348F3">
      <w:pPr>
        <w:ind w:right="-149"/>
        <w:jc w:val="both"/>
        <w:rPr>
          <w:rFonts w:ascii="Arial" w:hAnsi="Arial" w:cs="Arial"/>
        </w:rPr>
      </w:pPr>
    </w:p>
    <w:p w:rsidR="0078713C" w:rsidRPr="00413FD2" w:rsidRDefault="0078713C" w:rsidP="00D348F3">
      <w:pPr>
        <w:ind w:right="-149"/>
        <w:jc w:val="both"/>
        <w:rPr>
          <w:rFonts w:ascii="Arial" w:hAnsi="Arial" w:cs="Arial"/>
        </w:rPr>
      </w:pPr>
      <w:r w:rsidRPr="00413FD2">
        <w:rPr>
          <w:rFonts w:ascii="Arial" w:hAnsi="Arial" w:cs="Arial"/>
        </w:rPr>
        <w:tab/>
        <w:t xml:space="preserve">Previendo posibles perjuicios o represalias contra el trabajador que ejerza este derecho, la misma norma señala expresamente que </w:t>
      </w:r>
      <w:r w:rsidR="00D96B22" w:rsidRPr="00413FD2">
        <w:rPr>
          <w:rFonts w:ascii="Arial" w:hAnsi="Arial" w:cs="Arial"/>
        </w:rPr>
        <w:t>los trabajadores no podrán</w:t>
      </w:r>
      <w:r w:rsidRPr="00413FD2">
        <w:rPr>
          <w:rFonts w:ascii="Arial" w:hAnsi="Arial" w:cs="Arial"/>
        </w:rPr>
        <w:t xml:space="preserve"> sufrir perjuicios o menoscabo alguno derivado </w:t>
      </w:r>
      <w:r w:rsidR="00D96B22" w:rsidRPr="00413FD2">
        <w:rPr>
          <w:rFonts w:ascii="Arial" w:hAnsi="Arial" w:cs="Arial"/>
        </w:rPr>
        <w:t>de</w:t>
      </w:r>
      <w:r w:rsidRPr="00413FD2">
        <w:rPr>
          <w:rFonts w:ascii="Arial" w:hAnsi="Arial" w:cs="Arial"/>
        </w:rPr>
        <w:t xml:space="preserve"> las medidas de seguridad adoptadas por el empleador o por el </w:t>
      </w:r>
      <w:r w:rsidR="00D96B22" w:rsidRPr="00413FD2">
        <w:rPr>
          <w:rFonts w:ascii="Arial" w:hAnsi="Arial" w:cs="Arial"/>
        </w:rPr>
        <w:t>ejercicio</w:t>
      </w:r>
      <w:r w:rsidRPr="00413FD2">
        <w:rPr>
          <w:rFonts w:ascii="Arial" w:hAnsi="Arial" w:cs="Arial"/>
        </w:rPr>
        <w:t xml:space="preserve"> del derecho de interrupción de sus labores, pudiendo además ejercer </w:t>
      </w:r>
      <w:r w:rsidR="00704EB2" w:rsidRPr="00413FD2">
        <w:rPr>
          <w:rFonts w:ascii="Arial" w:hAnsi="Arial" w:cs="Arial"/>
        </w:rPr>
        <w:t>la acción de</w:t>
      </w:r>
      <w:r w:rsidR="003C3823" w:rsidRPr="00413FD2">
        <w:rPr>
          <w:rFonts w:ascii="Arial" w:hAnsi="Arial" w:cs="Arial"/>
        </w:rPr>
        <w:t xml:space="preserve"> tutela de</w:t>
      </w:r>
      <w:r w:rsidR="00704EB2" w:rsidRPr="00413FD2">
        <w:rPr>
          <w:rFonts w:ascii="Arial" w:hAnsi="Arial" w:cs="Arial"/>
        </w:rPr>
        <w:t xml:space="preserve"> derechos fundamentales.</w:t>
      </w:r>
      <w:r w:rsidR="00DD1D89" w:rsidRPr="00413FD2">
        <w:rPr>
          <w:rFonts w:ascii="Arial" w:hAnsi="Arial" w:cs="Arial"/>
        </w:rPr>
        <w:t xml:space="preserve"> Esta norma impide que el empleador pueda utilizar como causal de despido el artículo 160 Nº 4 del Código del Trabajo, eso es, el abandono del trabajo por parte del trabajador, no siendo considerada la interrupción del trabajo una salida intempestiva o injustificada</w:t>
      </w:r>
      <w:r w:rsidR="00032C65" w:rsidRPr="00413FD2">
        <w:rPr>
          <w:rFonts w:ascii="Arial" w:hAnsi="Arial" w:cs="Arial"/>
        </w:rPr>
        <w:t>,</w:t>
      </w:r>
      <w:r w:rsidR="00DD1D89" w:rsidRPr="00413FD2">
        <w:rPr>
          <w:rFonts w:ascii="Arial" w:hAnsi="Arial" w:cs="Arial"/>
        </w:rPr>
        <w:t xml:space="preserve"> o </w:t>
      </w:r>
      <w:r w:rsidR="00032C65" w:rsidRPr="00413FD2">
        <w:rPr>
          <w:rFonts w:ascii="Arial" w:hAnsi="Arial" w:cs="Arial"/>
        </w:rPr>
        <w:t>una negativa a trabajar sin causa de parte del trabajador.</w:t>
      </w:r>
    </w:p>
    <w:p w:rsidR="00704EB2" w:rsidRPr="00413FD2" w:rsidRDefault="00704EB2" w:rsidP="00D348F3">
      <w:pPr>
        <w:ind w:right="-149"/>
        <w:jc w:val="both"/>
        <w:rPr>
          <w:rFonts w:ascii="Arial" w:hAnsi="Arial" w:cs="Arial"/>
        </w:rPr>
      </w:pPr>
    </w:p>
    <w:p w:rsidR="00704EB2" w:rsidRPr="00413FD2" w:rsidRDefault="00704EB2" w:rsidP="00D348F3">
      <w:pPr>
        <w:ind w:right="-149"/>
        <w:jc w:val="both"/>
        <w:rPr>
          <w:rFonts w:ascii="Arial" w:hAnsi="Arial" w:cs="Arial"/>
        </w:rPr>
      </w:pPr>
      <w:r w:rsidRPr="00413FD2">
        <w:rPr>
          <w:rFonts w:ascii="Arial" w:hAnsi="Arial" w:cs="Arial"/>
        </w:rPr>
        <w:tab/>
        <w:t>El artículo 184 bis finaliza ordenando a la Dirección del Trabajo la fiscalización</w:t>
      </w:r>
      <w:r w:rsidR="00DE0E1B" w:rsidRPr="00413FD2">
        <w:rPr>
          <w:rFonts w:ascii="Arial" w:hAnsi="Arial" w:cs="Arial"/>
        </w:rPr>
        <w:t xml:space="preserve"> de las obligaciones que pesan sobre el empleador en resguardo de la vida y salud de los trabajadores. Además, el artículo 192 concede acción popular para denunciar infracciones a las normas sobre protección a los trabajadores, pudiendo cualquier persona </w:t>
      </w:r>
      <w:r w:rsidR="00C35174" w:rsidRPr="00413FD2">
        <w:rPr>
          <w:rFonts w:ascii="Arial" w:hAnsi="Arial" w:cs="Arial"/>
        </w:rPr>
        <w:t>efectuar la respectiva denuncia ante la Inspección del Trabajo.</w:t>
      </w:r>
    </w:p>
    <w:p w:rsidR="00092F39" w:rsidRPr="00413FD2" w:rsidRDefault="00092F39" w:rsidP="00D348F3">
      <w:pPr>
        <w:ind w:right="-149"/>
        <w:jc w:val="both"/>
        <w:rPr>
          <w:rFonts w:ascii="Arial" w:hAnsi="Arial" w:cs="Arial"/>
        </w:rPr>
      </w:pPr>
    </w:p>
    <w:p w:rsidR="00FC5ED4" w:rsidRPr="00413FD2" w:rsidRDefault="00FC5ED4" w:rsidP="00D348F3">
      <w:pPr>
        <w:ind w:right="-149" w:firstLine="708"/>
        <w:jc w:val="both"/>
        <w:rPr>
          <w:rFonts w:ascii="Arial" w:hAnsi="Arial" w:cs="Arial"/>
        </w:rPr>
      </w:pPr>
      <w:r w:rsidRPr="00413FD2">
        <w:rPr>
          <w:rFonts w:ascii="Arial" w:hAnsi="Arial" w:cs="Arial"/>
        </w:rPr>
        <w:t>Si bien los inspectores del trabajo están habilitados para ordenar la suspensión inmediata de las labores que</w:t>
      </w:r>
      <w:r w:rsidR="00C35174" w:rsidRPr="00413FD2">
        <w:rPr>
          <w:rFonts w:ascii="Arial" w:hAnsi="Arial" w:cs="Arial"/>
        </w:rPr>
        <w:t>,</w:t>
      </w:r>
      <w:r w:rsidRPr="00413FD2">
        <w:rPr>
          <w:rFonts w:ascii="Arial" w:hAnsi="Arial" w:cs="Arial"/>
        </w:rPr>
        <w:t xml:space="preserve"> a su juicio, constituyen peligro inminente para la salud o vida de los trabajadores (</w:t>
      </w:r>
      <w:r w:rsidR="00291480" w:rsidRPr="00413FD2">
        <w:rPr>
          <w:rFonts w:ascii="Arial" w:hAnsi="Arial" w:cs="Arial"/>
        </w:rPr>
        <w:t xml:space="preserve">art. 28, </w:t>
      </w:r>
      <w:r w:rsidRPr="00413FD2">
        <w:rPr>
          <w:rFonts w:ascii="Arial" w:hAnsi="Arial" w:cs="Arial"/>
        </w:rPr>
        <w:t>D.F.L Nº2 de 1967), y así lo reitera el art. 191 del Código del Trabajo, al facultar a la Dirección del Trabajo para resguardar el cumplimiento de las medidas básicas exigibles, su operatividad exige una precisi</w:t>
      </w:r>
      <w:r w:rsidR="00092F39" w:rsidRPr="00413FD2">
        <w:rPr>
          <w:rFonts w:ascii="Arial" w:hAnsi="Arial" w:cs="Arial"/>
        </w:rPr>
        <w:t>ón, pues resulta indispensable</w:t>
      </w:r>
      <w:r w:rsidRPr="00413FD2">
        <w:rPr>
          <w:rFonts w:ascii="Arial" w:hAnsi="Arial" w:cs="Arial"/>
        </w:rPr>
        <w:t xml:space="preserve"> interpretar el carácter imperativo de tales medidas</w:t>
      </w:r>
      <w:r w:rsidR="00C35174" w:rsidRPr="00413FD2">
        <w:rPr>
          <w:rFonts w:ascii="Arial" w:hAnsi="Arial" w:cs="Arial"/>
        </w:rPr>
        <w:t>,</w:t>
      </w:r>
      <w:r w:rsidRPr="00413FD2">
        <w:rPr>
          <w:rFonts w:ascii="Arial" w:hAnsi="Arial" w:cs="Arial"/>
        </w:rPr>
        <w:t xml:space="preserve"> incluso referido a circunstancias externas como </w:t>
      </w:r>
      <w:r w:rsidR="00C35174" w:rsidRPr="00413FD2">
        <w:rPr>
          <w:rFonts w:ascii="Arial" w:hAnsi="Arial" w:cs="Arial"/>
        </w:rPr>
        <w:t>es</w:t>
      </w:r>
      <w:r w:rsidRPr="00413FD2">
        <w:rPr>
          <w:rFonts w:ascii="Arial" w:hAnsi="Arial" w:cs="Arial"/>
        </w:rPr>
        <w:t xml:space="preserve"> esta situa</w:t>
      </w:r>
      <w:r w:rsidR="00C35174" w:rsidRPr="00413FD2">
        <w:rPr>
          <w:rFonts w:ascii="Arial" w:hAnsi="Arial" w:cs="Arial"/>
        </w:rPr>
        <w:t>ción de emergencia sanitaria.</w:t>
      </w:r>
    </w:p>
    <w:p w:rsidR="005B2B11" w:rsidRPr="00413FD2" w:rsidRDefault="005B2B11" w:rsidP="00D348F3">
      <w:pPr>
        <w:ind w:right="-149" w:firstLine="708"/>
        <w:jc w:val="both"/>
        <w:rPr>
          <w:rFonts w:ascii="Arial" w:hAnsi="Arial" w:cs="Arial"/>
        </w:rPr>
      </w:pPr>
    </w:p>
    <w:p w:rsidR="005B2B11" w:rsidRPr="00413FD2" w:rsidRDefault="005B2B11" w:rsidP="00D348F3">
      <w:pPr>
        <w:ind w:right="-149" w:firstLine="708"/>
        <w:jc w:val="both"/>
        <w:rPr>
          <w:rFonts w:ascii="Arial" w:hAnsi="Arial" w:cs="Arial"/>
        </w:rPr>
      </w:pPr>
      <w:r w:rsidRPr="00413FD2">
        <w:rPr>
          <w:rFonts w:ascii="Arial" w:hAnsi="Arial" w:cs="Arial"/>
        </w:rPr>
        <w:t xml:space="preserve">En los recientes dictámenes referidos a la situación sanitaria antes citados, la Dirección del Trabajo no manifiesta un criterio que sea </w:t>
      </w:r>
      <w:r w:rsidR="00D96B22" w:rsidRPr="00413FD2">
        <w:rPr>
          <w:rFonts w:ascii="Arial" w:hAnsi="Arial" w:cs="Arial"/>
        </w:rPr>
        <w:t>suficientemente</w:t>
      </w:r>
      <w:r w:rsidRPr="00413FD2">
        <w:rPr>
          <w:rFonts w:ascii="Arial" w:hAnsi="Arial" w:cs="Arial"/>
        </w:rPr>
        <w:t xml:space="preserve"> claro respecto a la obligación del empleador de suspender las faenas, frente al riesgo inminente para la vida o salud de los trabajadores que significa </w:t>
      </w:r>
      <w:r w:rsidR="00E95240" w:rsidRPr="00413FD2">
        <w:rPr>
          <w:rFonts w:ascii="Arial" w:hAnsi="Arial" w:cs="Arial"/>
        </w:rPr>
        <w:t>la rápida propagación del</w:t>
      </w:r>
      <w:r w:rsidR="009F6EB3" w:rsidRPr="00413FD2">
        <w:rPr>
          <w:rFonts w:ascii="Arial" w:hAnsi="Arial" w:cs="Arial"/>
        </w:rPr>
        <w:t xml:space="preserve"> C</w:t>
      </w:r>
      <w:r w:rsidRPr="00413FD2">
        <w:rPr>
          <w:rFonts w:ascii="Arial" w:hAnsi="Arial" w:cs="Arial"/>
        </w:rPr>
        <w:t xml:space="preserve">oronavirus. Señala el </w:t>
      </w:r>
      <w:r w:rsidR="00D96B22" w:rsidRPr="00413FD2">
        <w:rPr>
          <w:rFonts w:ascii="Arial" w:hAnsi="Arial" w:cs="Arial"/>
        </w:rPr>
        <w:t>dictamen</w:t>
      </w:r>
      <w:r w:rsidRPr="00413FD2">
        <w:rPr>
          <w:rFonts w:ascii="Arial" w:hAnsi="Arial" w:cs="Arial"/>
        </w:rPr>
        <w:t xml:space="preserve"> de forma </w:t>
      </w:r>
      <w:r w:rsidR="00D96B22" w:rsidRPr="00413FD2">
        <w:rPr>
          <w:rFonts w:ascii="Arial" w:hAnsi="Arial" w:cs="Arial"/>
        </w:rPr>
        <w:t>condicional</w:t>
      </w:r>
      <w:r w:rsidRPr="00413FD2">
        <w:rPr>
          <w:rFonts w:ascii="Arial" w:hAnsi="Arial" w:cs="Arial"/>
        </w:rPr>
        <w:t xml:space="preserve"> que “[…] la no adopción por parte del empleador de las medidas dictadas por la autoridad</w:t>
      </w:r>
      <w:r w:rsidR="00E95240" w:rsidRPr="00413FD2">
        <w:rPr>
          <w:rFonts w:ascii="Arial" w:hAnsi="Arial" w:cs="Arial"/>
        </w:rPr>
        <w:t xml:space="preserve"> sanitaria para prevenir el contagio de Covid-19 en el lugar de trabajo, </w:t>
      </w:r>
      <w:r w:rsidR="00E95240" w:rsidRPr="00413FD2">
        <w:rPr>
          <w:rFonts w:ascii="Arial" w:hAnsi="Arial" w:cs="Arial"/>
          <w:b/>
        </w:rPr>
        <w:t xml:space="preserve">podría </w:t>
      </w:r>
      <w:r w:rsidR="00E95240" w:rsidRPr="00413FD2">
        <w:rPr>
          <w:rFonts w:ascii="Arial" w:hAnsi="Arial" w:cs="Arial"/>
        </w:rPr>
        <w:t>considerarse dentro de las situaciones de riesgo grave e inminente para la vida y salud de los trabajadores a que alude el artículo 184 bis […]”.</w:t>
      </w:r>
    </w:p>
    <w:p w:rsidR="00733FDD" w:rsidRPr="00413FD2" w:rsidRDefault="00733FDD" w:rsidP="00D348F3">
      <w:pPr>
        <w:ind w:right="-149"/>
        <w:jc w:val="both"/>
        <w:rPr>
          <w:rFonts w:ascii="Arial" w:hAnsi="Arial" w:cs="Arial"/>
        </w:rPr>
      </w:pPr>
    </w:p>
    <w:p w:rsidR="00733FDD" w:rsidRPr="00413FD2" w:rsidRDefault="00733FDD" w:rsidP="00D348F3">
      <w:pPr>
        <w:ind w:right="-149"/>
        <w:jc w:val="both"/>
        <w:rPr>
          <w:rFonts w:ascii="Arial" w:hAnsi="Arial" w:cs="Arial"/>
        </w:rPr>
      </w:pPr>
      <w:r w:rsidRPr="00413FD2">
        <w:rPr>
          <w:rFonts w:ascii="Arial" w:hAnsi="Arial" w:cs="Arial"/>
        </w:rPr>
        <w:tab/>
        <w:t>Es la gravedad de estos hechos –</w:t>
      </w:r>
      <w:r w:rsidR="00C35174" w:rsidRPr="00413FD2">
        <w:rPr>
          <w:rFonts w:ascii="Arial" w:hAnsi="Arial" w:cs="Arial"/>
        </w:rPr>
        <w:t>enfrentados a</w:t>
      </w:r>
      <w:r w:rsidR="003847AF" w:rsidRPr="00413FD2">
        <w:rPr>
          <w:rFonts w:ascii="Arial" w:hAnsi="Arial" w:cs="Arial"/>
        </w:rPr>
        <w:t xml:space="preserve"> la </w:t>
      </w:r>
      <w:r w:rsidR="00D96B22" w:rsidRPr="00413FD2">
        <w:rPr>
          <w:rFonts w:ascii="Arial" w:hAnsi="Arial" w:cs="Arial"/>
        </w:rPr>
        <w:t>primacía del</w:t>
      </w:r>
      <w:r w:rsidRPr="00413FD2">
        <w:rPr>
          <w:rFonts w:ascii="Arial" w:hAnsi="Arial" w:cs="Arial"/>
        </w:rPr>
        <w:t xml:space="preserve"> </w:t>
      </w:r>
      <w:r w:rsidRPr="00413FD2">
        <w:rPr>
          <w:rFonts w:ascii="Arial" w:hAnsi="Arial" w:cs="Arial"/>
          <w:i/>
        </w:rPr>
        <w:t>ánimo de lucro</w:t>
      </w:r>
      <w:r w:rsidRPr="00413FD2">
        <w:rPr>
          <w:rFonts w:ascii="Arial" w:hAnsi="Arial" w:cs="Arial"/>
        </w:rPr>
        <w:t xml:space="preserve"> o el </w:t>
      </w:r>
      <w:r w:rsidRPr="00413FD2">
        <w:rPr>
          <w:rFonts w:ascii="Arial" w:hAnsi="Arial" w:cs="Arial"/>
          <w:i/>
        </w:rPr>
        <w:t>espíritu fisiócrata</w:t>
      </w:r>
      <w:r w:rsidR="003847AF" w:rsidRPr="00413FD2">
        <w:rPr>
          <w:rFonts w:ascii="Arial" w:hAnsi="Arial" w:cs="Arial"/>
          <w:i/>
        </w:rPr>
        <w:t xml:space="preserve"> </w:t>
      </w:r>
      <w:r w:rsidR="003847AF" w:rsidRPr="00413FD2">
        <w:rPr>
          <w:rFonts w:ascii="Arial" w:hAnsi="Arial" w:cs="Arial"/>
        </w:rPr>
        <w:t>por sobre la seguridad de los trabajadores</w:t>
      </w:r>
      <w:r w:rsidRPr="00413FD2">
        <w:rPr>
          <w:rFonts w:ascii="Arial" w:hAnsi="Arial" w:cs="Arial"/>
        </w:rPr>
        <w:t>-,</w:t>
      </w:r>
      <w:r w:rsidR="003847AF" w:rsidRPr="00413FD2">
        <w:rPr>
          <w:rFonts w:ascii="Arial" w:hAnsi="Arial" w:cs="Arial"/>
        </w:rPr>
        <w:t xml:space="preserve"> </w:t>
      </w:r>
      <w:r w:rsidRPr="00413FD2">
        <w:rPr>
          <w:rFonts w:ascii="Arial" w:hAnsi="Arial" w:cs="Arial"/>
        </w:rPr>
        <w:t>hacen necesaria una revisión legislativa en la materia</w:t>
      </w:r>
      <w:r w:rsidR="00C35174" w:rsidRPr="00413FD2">
        <w:rPr>
          <w:rFonts w:ascii="Arial" w:hAnsi="Arial" w:cs="Arial"/>
        </w:rPr>
        <w:t>,</w:t>
      </w:r>
      <w:r w:rsidRPr="00413FD2">
        <w:rPr>
          <w:rFonts w:ascii="Arial" w:hAnsi="Arial" w:cs="Arial"/>
        </w:rPr>
        <w:t xml:space="preserve"> a objeto de garantizar </w:t>
      </w:r>
      <w:r w:rsidR="00C35174" w:rsidRPr="00413FD2">
        <w:rPr>
          <w:rFonts w:ascii="Arial" w:hAnsi="Arial" w:cs="Arial"/>
        </w:rPr>
        <w:t xml:space="preserve">la vida y salud </w:t>
      </w:r>
      <w:r w:rsidRPr="00413FD2">
        <w:rPr>
          <w:rFonts w:ascii="Arial" w:hAnsi="Arial" w:cs="Arial"/>
        </w:rPr>
        <w:t>a la parte jurídicamente</w:t>
      </w:r>
      <w:r w:rsidR="00980DBC" w:rsidRPr="00413FD2">
        <w:rPr>
          <w:rFonts w:ascii="Arial" w:hAnsi="Arial" w:cs="Arial"/>
        </w:rPr>
        <w:t xml:space="preserve"> más débil</w:t>
      </w:r>
      <w:r w:rsidRPr="00413FD2">
        <w:rPr>
          <w:rFonts w:ascii="Arial" w:hAnsi="Arial" w:cs="Arial"/>
        </w:rPr>
        <w:t xml:space="preserve"> de la relación </w:t>
      </w:r>
      <w:r w:rsidR="00D96B22" w:rsidRPr="00413FD2">
        <w:rPr>
          <w:rFonts w:ascii="Arial" w:hAnsi="Arial" w:cs="Arial"/>
        </w:rPr>
        <w:t>laboral, en</w:t>
      </w:r>
      <w:r w:rsidRPr="00413FD2">
        <w:rPr>
          <w:rFonts w:ascii="Arial" w:hAnsi="Arial" w:cs="Arial"/>
        </w:rPr>
        <w:t xml:space="preserve"> circunstancias excepcionales</w:t>
      </w:r>
      <w:r w:rsidR="00FC5ED4" w:rsidRPr="00413FD2">
        <w:rPr>
          <w:rFonts w:ascii="Arial" w:hAnsi="Arial" w:cs="Arial"/>
        </w:rPr>
        <w:t xml:space="preserve"> </w:t>
      </w:r>
      <w:r w:rsidR="00C35174" w:rsidRPr="00413FD2">
        <w:rPr>
          <w:rFonts w:ascii="Arial" w:hAnsi="Arial" w:cs="Arial"/>
        </w:rPr>
        <w:t>como es una pandemia.</w:t>
      </w:r>
    </w:p>
    <w:p w:rsidR="00733FDD" w:rsidRPr="00413FD2" w:rsidRDefault="00733FDD" w:rsidP="00D348F3">
      <w:pPr>
        <w:ind w:right="-149"/>
        <w:jc w:val="both"/>
        <w:rPr>
          <w:rFonts w:ascii="Arial" w:hAnsi="Arial" w:cs="Arial"/>
        </w:rPr>
      </w:pPr>
    </w:p>
    <w:p w:rsidR="00B04C1F" w:rsidRPr="00413FD2" w:rsidRDefault="00733FDD" w:rsidP="00D348F3">
      <w:pPr>
        <w:ind w:right="-149"/>
        <w:jc w:val="both"/>
        <w:rPr>
          <w:rFonts w:ascii="Arial" w:hAnsi="Arial" w:cs="Arial"/>
        </w:rPr>
      </w:pPr>
      <w:r w:rsidRPr="00413FD2">
        <w:rPr>
          <w:rFonts w:ascii="Arial" w:hAnsi="Arial" w:cs="Arial"/>
          <w:b/>
        </w:rPr>
        <w:lastRenderedPageBreak/>
        <w:t xml:space="preserve">2. Ideas </w:t>
      </w:r>
      <w:r w:rsidR="00D96B22" w:rsidRPr="00413FD2">
        <w:rPr>
          <w:rFonts w:ascii="Arial" w:hAnsi="Arial" w:cs="Arial"/>
          <w:b/>
        </w:rPr>
        <w:t>Matrices. -</w:t>
      </w:r>
      <w:r w:rsidRPr="00413FD2">
        <w:rPr>
          <w:rFonts w:ascii="Arial" w:hAnsi="Arial" w:cs="Arial"/>
          <w:b/>
        </w:rPr>
        <w:t xml:space="preserve"> </w:t>
      </w:r>
      <w:bookmarkStart w:id="0" w:name="_Hlk35861313"/>
      <w:r w:rsidR="00C55BD0" w:rsidRPr="00413FD2">
        <w:rPr>
          <w:rFonts w:ascii="Arial" w:hAnsi="Arial" w:cs="Arial"/>
        </w:rPr>
        <w:t xml:space="preserve">El presente proyecto </w:t>
      </w:r>
      <w:r w:rsidR="00C35174" w:rsidRPr="00413FD2">
        <w:rPr>
          <w:rFonts w:ascii="Arial" w:hAnsi="Arial" w:cs="Arial"/>
        </w:rPr>
        <w:t xml:space="preserve">establece </w:t>
      </w:r>
      <w:r w:rsidR="00A34F81" w:rsidRPr="00413FD2">
        <w:rPr>
          <w:rFonts w:ascii="Arial" w:hAnsi="Arial" w:cs="Arial"/>
        </w:rPr>
        <w:t xml:space="preserve">que será considerado siempre riesgo grave e inminente para la vida o salud de los trabajadores la declaración de alerta sanitaria o estado de catástrofe, que afecte el lugar donde estos realicen sus labores. Debiendo el empleador, en consecuencia, suspender de manera inmediata </w:t>
      </w:r>
      <w:r w:rsidR="00B04C1F" w:rsidRPr="00413FD2">
        <w:rPr>
          <w:rFonts w:ascii="Arial" w:hAnsi="Arial" w:cs="Arial"/>
        </w:rPr>
        <w:t xml:space="preserve">las labores </w:t>
      </w:r>
      <w:r w:rsidR="009F6EB3" w:rsidRPr="00413FD2">
        <w:rPr>
          <w:rFonts w:ascii="Arial" w:hAnsi="Arial" w:cs="Arial"/>
        </w:rPr>
        <w:t>de</w:t>
      </w:r>
      <w:r w:rsidR="00B04C1F" w:rsidRPr="00413FD2">
        <w:rPr>
          <w:rFonts w:ascii="Arial" w:hAnsi="Arial" w:cs="Arial"/>
        </w:rPr>
        <w:t xml:space="preserve"> los trabajadores </w:t>
      </w:r>
      <w:r w:rsidR="009F6EB3" w:rsidRPr="00413FD2">
        <w:rPr>
          <w:rFonts w:ascii="Arial" w:hAnsi="Arial" w:cs="Arial"/>
        </w:rPr>
        <w:t>que se realicen</w:t>
      </w:r>
      <w:r w:rsidR="00B04C1F" w:rsidRPr="00413FD2">
        <w:rPr>
          <w:rFonts w:ascii="Arial" w:hAnsi="Arial" w:cs="Arial"/>
        </w:rPr>
        <w:t xml:space="preserve"> dentro del territorio </w:t>
      </w:r>
      <w:r w:rsidR="009F6EB3" w:rsidRPr="00413FD2">
        <w:rPr>
          <w:rFonts w:ascii="Arial" w:hAnsi="Arial" w:cs="Arial"/>
        </w:rPr>
        <w:t>afectado por una alerta sanitaria</w:t>
      </w:r>
      <w:r w:rsidR="00B04C1F" w:rsidRPr="00413FD2">
        <w:rPr>
          <w:rFonts w:ascii="Arial" w:hAnsi="Arial" w:cs="Arial"/>
        </w:rPr>
        <w:t xml:space="preserve"> o estado de catástrofe. </w:t>
      </w:r>
    </w:p>
    <w:p w:rsidR="00B04C1F" w:rsidRPr="00413FD2" w:rsidRDefault="00B04C1F" w:rsidP="00D348F3">
      <w:pPr>
        <w:ind w:right="-149"/>
        <w:jc w:val="both"/>
        <w:rPr>
          <w:rFonts w:ascii="Arial" w:hAnsi="Arial" w:cs="Arial"/>
        </w:rPr>
      </w:pPr>
    </w:p>
    <w:p w:rsidR="00B04C1F" w:rsidRPr="00413FD2" w:rsidRDefault="00B04C1F" w:rsidP="00D348F3">
      <w:pPr>
        <w:ind w:right="-149"/>
        <w:jc w:val="both"/>
        <w:rPr>
          <w:rFonts w:ascii="Arial" w:hAnsi="Arial" w:cs="Arial"/>
        </w:rPr>
      </w:pPr>
      <w:r w:rsidRPr="00413FD2">
        <w:rPr>
          <w:rFonts w:ascii="Arial" w:hAnsi="Arial" w:cs="Arial"/>
        </w:rPr>
        <w:t>A su vez, el trabajador estará autorizado para interru</w:t>
      </w:r>
      <w:r w:rsidR="009F6EB3" w:rsidRPr="00413FD2">
        <w:rPr>
          <w:rFonts w:ascii="Arial" w:hAnsi="Arial" w:cs="Arial"/>
        </w:rPr>
        <w:t>m</w:t>
      </w:r>
      <w:r w:rsidRPr="00413FD2">
        <w:rPr>
          <w:rFonts w:ascii="Arial" w:hAnsi="Arial" w:cs="Arial"/>
        </w:rPr>
        <w:t>p</w:t>
      </w:r>
      <w:r w:rsidR="009F6EB3" w:rsidRPr="00413FD2">
        <w:rPr>
          <w:rFonts w:ascii="Arial" w:hAnsi="Arial" w:cs="Arial"/>
        </w:rPr>
        <w:t>ir sus labores por la sola decl</w:t>
      </w:r>
      <w:r w:rsidRPr="00413FD2">
        <w:rPr>
          <w:rFonts w:ascii="Arial" w:hAnsi="Arial" w:cs="Arial"/>
        </w:rPr>
        <w:t>a</w:t>
      </w:r>
      <w:r w:rsidR="009F6EB3" w:rsidRPr="00413FD2">
        <w:rPr>
          <w:rFonts w:ascii="Arial" w:hAnsi="Arial" w:cs="Arial"/>
        </w:rPr>
        <w:t>ra</w:t>
      </w:r>
      <w:r w:rsidRPr="00413FD2">
        <w:rPr>
          <w:rFonts w:ascii="Arial" w:hAnsi="Arial" w:cs="Arial"/>
        </w:rPr>
        <w:t>ción de alerta sanitaria o estado de catástrofe</w:t>
      </w:r>
      <w:r w:rsidR="009F6EB3" w:rsidRPr="00413FD2">
        <w:rPr>
          <w:rFonts w:ascii="Arial" w:hAnsi="Arial" w:cs="Arial"/>
        </w:rPr>
        <w:t>,</w:t>
      </w:r>
      <w:r w:rsidRPr="00413FD2">
        <w:rPr>
          <w:rFonts w:ascii="Arial" w:hAnsi="Arial" w:cs="Arial"/>
        </w:rPr>
        <w:t xml:space="preserve"> que afecte el lugar o territorio donde preste sus servicios.</w:t>
      </w:r>
    </w:p>
    <w:bookmarkEnd w:id="0"/>
    <w:p w:rsidR="000D3B15" w:rsidRPr="00413FD2" w:rsidRDefault="000D3B15" w:rsidP="00D348F3">
      <w:pPr>
        <w:ind w:right="-149"/>
        <w:jc w:val="both"/>
        <w:rPr>
          <w:rFonts w:ascii="Arial" w:hAnsi="Arial" w:cs="Arial"/>
        </w:rPr>
      </w:pPr>
    </w:p>
    <w:p w:rsidR="000D3B15" w:rsidRPr="00413FD2" w:rsidRDefault="000D3B15" w:rsidP="00D348F3">
      <w:pPr>
        <w:pStyle w:val="Textosinformato"/>
        <w:ind w:right="-149" w:firstLine="708"/>
        <w:jc w:val="both"/>
        <w:rPr>
          <w:rFonts w:ascii="Arial" w:hAnsi="Arial" w:cs="Arial"/>
          <w:sz w:val="24"/>
          <w:szCs w:val="24"/>
        </w:rPr>
      </w:pPr>
      <w:r w:rsidRPr="00413FD2">
        <w:rPr>
          <w:rFonts w:ascii="Arial" w:hAnsi="Arial" w:cs="Arial"/>
          <w:sz w:val="24"/>
          <w:szCs w:val="24"/>
        </w:rPr>
        <w:t>Es por eso que sobre la base de estos antecedentes venimos en proponer el siguiente:</w:t>
      </w:r>
    </w:p>
    <w:p w:rsidR="000D3B15" w:rsidRPr="00413FD2" w:rsidRDefault="000D3B15" w:rsidP="00D348F3">
      <w:pPr>
        <w:pStyle w:val="Textosinformato"/>
        <w:ind w:right="-149" w:firstLine="708"/>
        <w:jc w:val="both"/>
        <w:rPr>
          <w:rFonts w:ascii="Arial" w:hAnsi="Arial" w:cs="Arial"/>
          <w:sz w:val="24"/>
          <w:szCs w:val="24"/>
        </w:rPr>
      </w:pPr>
    </w:p>
    <w:p w:rsidR="000D3B15" w:rsidRPr="00413FD2" w:rsidRDefault="000D3B15" w:rsidP="00D348F3">
      <w:pPr>
        <w:pStyle w:val="Textosinformato"/>
        <w:ind w:right="-149" w:firstLine="708"/>
        <w:jc w:val="both"/>
        <w:rPr>
          <w:rFonts w:ascii="Arial" w:hAnsi="Arial" w:cs="Arial"/>
          <w:sz w:val="24"/>
          <w:szCs w:val="24"/>
        </w:rPr>
      </w:pPr>
    </w:p>
    <w:p w:rsidR="00413FD2" w:rsidRPr="00413FD2" w:rsidRDefault="00413FD2" w:rsidP="00D348F3">
      <w:pPr>
        <w:pStyle w:val="Textosinformato"/>
        <w:ind w:right="-149" w:firstLine="708"/>
        <w:jc w:val="both"/>
        <w:rPr>
          <w:rFonts w:ascii="Arial" w:hAnsi="Arial" w:cs="Arial"/>
          <w:sz w:val="24"/>
          <w:szCs w:val="24"/>
        </w:rPr>
      </w:pPr>
    </w:p>
    <w:p w:rsidR="00413FD2" w:rsidRPr="00413FD2" w:rsidRDefault="00413FD2" w:rsidP="00D348F3">
      <w:pPr>
        <w:pStyle w:val="Textosinformato"/>
        <w:ind w:right="-149" w:firstLine="708"/>
        <w:jc w:val="both"/>
        <w:rPr>
          <w:rFonts w:ascii="Arial" w:hAnsi="Arial" w:cs="Arial"/>
          <w:sz w:val="24"/>
          <w:szCs w:val="24"/>
        </w:rPr>
      </w:pPr>
    </w:p>
    <w:p w:rsidR="00413FD2" w:rsidRPr="00413FD2" w:rsidRDefault="00413FD2" w:rsidP="00D348F3">
      <w:pPr>
        <w:pStyle w:val="Textosinformato"/>
        <w:ind w:right="-149" w:firstLine="708"/>
        <w:jc w:val="both"/>
        <w:rPr>
          <w:rFonts w:ascii="Arial" w:hAnsi="Arial" w:cs="Arial"/>
          <w:sz w:val="24"/>
          <w:szCs w:val="24"/>
        </w:rPr>
      </w:pPr>
    </w:p>
    <w:p w:rsidR="000D3B15" w:rsidRPr="00413FD2" w:rsidRDefault="000D3B15" w:rsidP="00D348F3">
      <w:pPr>
        <w:pStyle w:val="Textosinformato"/>
        <w:ind w:right="-149" w:firstLine="708"/>
        <w:jc w:val="center"/>
        <w:rPr>
          <w:rFonts w:ascii="Arial" w:hAnsi="Arial" w:cs="Arial"/>
          <w:b/>
          <w:bCs/>
          <w:i/>
          <w:sz w:val="24"/>
          <w:szCs w:val="24"/>
        </w:rPr>
      </w:pPr>
      <w:r w:rsidRPr="00413FD2">
        <w:rPr>
          <w:rFonts w:ascii="Arial" w:hAnsi="Arial" w:cs="Arial"/>
          <w:b/>
          <w:bCs/>
          <w:i/>
          <w:sz w:val="24"/>
          <w:szCs w:val="24"/>
        </w:rPr>
        <w:t>Proyecto de ley</w:t>
      </w:r>
    </w:p>
    <w:p w:rsidR="000D3B15" w:rsidRPr="00413FD2" w:rsidRDefault="000D3B15" w:rsidP="00D348F3">
      <w:pPr>
        <w:pStyle w:val="Textosinformato"/>
        <w:ind w:right="-149" w:firstLine="708"/>
        <w:jc w:val="center"/>
        <w:rPr>
          <w:rFonts w:ascii="Arial" w:hAnsi="Arial" w:cs="Arial"/>
          <w:i/>
          <w:sz w:val="24"/>
          <w:szCs w:val="24"/>
        </w:rPr>
      </w:pPr>
    </w:p>
    <w:p w:rsidR="000D3B15" w:rsidRPr="00413FD2" w:rsidRDefault="000D3B15" w:rsidP="00D348F3">
      <w:pPr>
        <w:pStyle w:val="Textosinformato"/>
        <w:ind w:right="-149"/>
        <w:jc w:val="both"/>
        <w:rPr>
          <w:rFonts w:ascii="Arial" w:hAnsi="Arial" w:cs="Arial"/>
          <w:sz w:val="24"/>
          <w:szCs w:val="24"/>
        </w:rPr>
      </w:pPr>
    </w:p>
    <w:p w:rsidR="00B04C1F" w:rsidRPr="00413FD2" w:rsidRDefault="00092F39" w:rsidP="00D348F3">
      <w:pPr>
        <w:ind w:right="-149"/>
        <w:jc w:val="both"/>
        <w:rPr>
          <w:rFonts w:ascii="Arial" w:hAnsi="Arial" w:cs="Arial"/>
        </w:rPr>
      </w:pPr>
      <w:r w:rsidRPr="00413FD2">
        <w:rPr>
          <w:rFonts w:ascii="Arial" w:hAnsi="Arial" w:cs="Arial"/>
          <w:b/>
        </w:rPr>
        <w:t xml:space="preserve">Art. </w:t>
      </w:r>
      <w:r w:rsidR="00D96B22" w:rsidRPr="00413FD2">
        <w:rPr>
          <w:rFonts w:ascii="Arial" w:hAnsi="Arial" w:cs="Arial"/>
          <w:b/>
        </w:rPr>
        <w:t>Único. -</w:t>
      </w:r>
      <w:r w:rsidR="000D3B15" w:rsidRPr="00413FD2">
        <w:rPr>
          <w:rFonts w:ascii="Arial" w:hAnsi="Arial" w:cs="Arial"/>
          <w:b/>
        </w:rPr>
        <w:t xml:space="preserve"> </w:t>
      </w:r>
      <w:r w:rsidR="00120561" w:rsidRPr="00413FD2">
        <w:rPr>
          <w:rFonts w:ascii="Arial" w:hAnsi="Arial" w:cs="Arial"/>
        </w:rPr>
        <w:t xml:space="preserve"> Para agregar un nuevo </w:t>
      </w:r>
      <w:r w:rsidR="00B04C1F" w:rsidRPr="00413FD2">
        <w:rPr>
          <w:rFonts w:ascii="Arial" w:hAnsi="Arial" w:cs="Arial"/>
        </w:rPr>
        <w:t>inciso tercero al artículo 184 bis, pasando el actual a ser inciso cuarto, del siguiente tenor:</w:t>
      </w:r>
    </w:p>
    <w:p w:rsidR="00B04C1F" w:rsidRPr="00413FD2" w:rsidRDefault="00B04C1F" w:rsidP="00D348F3">
      <w:pPr>
        <w:ind w:right="-149"/>
        <w:jc w:val="both"/>
        <w:rPr>
          <w:rFonts w:ascii="Arial" w:hAnsi="Arial" w:cs="Arial"/>
        </w:rPr>
      </w:pPr>
    </w:p>
    <w:p w:rsidR="00B04C1F" w:rsidRPr="00413FD2" w:rsidRDefault="000D3B15" w:rsidP="00D348F3">
      <w:pPr>
        <w:ind w:right="-149"/>
        <w:jc w:val="both"/>
        <w:rPr>
          <w:rFonts w:ascii="Arial" w:hAnsi="Arial" w:cs="Arial"/>
          <w:i/>
        </w:rPr>
      </w:pPr>
      <w:r w:rsidRPr="00413FD2">
        <w:rPr>
          <w:rFonts w:ascii="Arial" w:hAnsi="Arial" w:cs="Arial"/>
          <w:i/>
        </w:rPr>
        <w:t>“</w:t>
      </w:r>
      <w:r w:rsidR="00EE63DA" w:rsidRPr="00413FD2">
        <w:rPr>
          <w:rFonts w:ascii="Arial" w:hAnsi="Arial" w:cs="Arial"/>
          <w:i/>
        </w:rPr>
        <w:t>La de</w:t>
      </w:r>
      <w:r w:rsidR="00B04C1F" w:rsidRPr="00413FD2">
        <w:rPr>
          <w:rFonts w:ascii="Arial" w:hAnsi="Arial" w:cs="Arial"/>
          <w:i/>
        </w:rPr>
        <w:t>c</w:t>
      </w:r>
      <w:r w:rsidR="00EE63DA" w:rsidRPr="00413FD2">
        <w:rPr>
          <w:rFonts w:ascii="Arial" w:hAnsi="Arial" w:cs="Arial"/>
          <w:i/>
        </w:rPr>
        <w:t>l</w:t>
      </w:r>
      <w:r w:rsidR="00B04C1F" w:rsidRPr="00413FD2">
        <w:rPr>
          <w:rFonts w:ascii="Arial" w:hAnsi="Arial" w:cs="Arial"/>
          <w:i/>
        </w:rPr>
        <w:t xml:space="preserve">aración de alerta sanitaria o estado de catástrofe que abarque el lugar donde el trabajador preste sus servicios </w:t>
      </w:r>
      <w:r w:rsidR="009F6EB3" w:rsidRPr="00413FD2">
        <w:rPr>
          <w:rFonts w:ascii="Arial" w:hAnsi="Arial" w:cs="Arial"/>
          <w:i/>
        </w:rPr>
        <w:t>se entenderá siempre</w:t>
      </w:r>
      <w:r w:rsidR="00B04C1F" w:rsidRPr="00413FD2">
        <w:rPr>
          <w:rFonts w:ascii="Arial" w:hAnsi="Arial" w:cs="Arial"/>
          <w:i/>
        </w:rPr>
        <w:t xml:space="preserve"> </w:t>
      </w:r>
      <w:r w:rsidR="009F6EB3" w:rsidRPr="00413FD2">
        <w:rPr>
          <w:rFonts w:ascii="Arial" w:hAnsi="Arial" w:cs="Arial"/>
          <w:i/>
        </w:rPr>
        <w:t>como</w:t>
      </w:r>
      <w:r w:rsidR="00B04C1F" w:rsidRPr="00413FD2">
        <w:rPr>
          <w:rFonts w:ascii="Arial" w:hAnsi="Arial" w:cs="Arial"/>
          <w:i/>
        </w:rPr>
        <w:t xml:space="preserve"> un riesgo grave e inminente para la vida o salud de los trabajadores</w:t>
      </w:r>
      <w:r w:rsidR="009F6EB3" w:rsidRPr="00413FD2">
        <w:rPr>
          <w:rFonts w:ascii="Arial" w:hAnsi="Arial" w:cs="Arial"/>
          <w:i/>
        </w:rPr>
        <w:t>, siendo motivo razonable para que un trabajador interrumpa sus funciones</w:t>
      </w:r>
      <w:r w:rsidR="00EE63DA" w:rsidRPr="00413FD2">
        <w:rPr>
          <w:rFonts w:ascii="Arial" w:hAnsi="Arial" w:cs="Arial"/>
          <w:i/>
        </w:rPr>
        <w:t>.</w:t>
      </w:r>
      <w:r w:rsidR="009F6EB3" w:rsidRPr="00413FD2">
        <w:rPr>
          <w:rFonts w:ascii="Arial" w:hAnsi="Arial" w:cs="Arial"/>
          <w:i/>
        </w:rPr>
        <w:t>”.</w:t>
      </w:r>
    </w:p>
    <w:p w:rsidR="00B04C1F" w:rsidRPr="00413FD2" w:rsidRDefault="00B04C1F" w:rsidP="00D348F3">
      <w:pPr>
        <w:ind w:right="-149"/>
        <w:jc w:val="both"/>
        <w:rPr>
          <w:rFonts w:ascii="Arial" w:hAnsi="Arial" w:cs="Arial"/>
          <w:i/>
        </w:rPr>
      </w:pPr>
    </w:p>
    <w:p w:rsidR="00743299" w:rsidRDefault="00FC03D6" w:rsidP="00D348F3">
      <w:pPr>
        <w:ind w:right="-149"/>
        <w:jc w:val="both"/>
        <w:rPr>
          <w:rFonts w:ascii="Arial" w:hAnsi="Arial" w:cs="Arial"/>
        </w:rPr>
      </w:pPr>
      <w:r>
        <w:rPr>
          <w:rFonts w:ascii="Arial" w:hAnsi="Arial" w:cs="Arial"/>
        </w:rPr>
        <w:t>Firman:</w:t>
      </w:r>
    </w:p>
    <w:p w:rsidR="00FC03D6" w:rsidRDefault="00FC03D6" w:rsidP="00D348F3">
      <w:pPr>
        <w:ind w:right="-149"/>
        <w:jc w:val="both"/>
        <w:rPr>
          <w:rFonts w:ascii="Arial" w:hAnsi="Arial" w:cs="Arial"/>
        </w:rPr>
      </w:pPr>
    </w:p>
    <w:p w:rsidR="00413FD2" w:rsidRDefault="00B4083B" w:rsidP="00D348F3">
      <w:pPr>
        <w:pStyle w:val="Prrafodelista"/>
        <w:numPr>
          <w:ilvl w:val="0"/>
          <w:numId w:val="1"/>
        </w:numPr>
        <w:ind w:right="-149"/>
        <w:jc w:val="both"/>
        <w:rPr>
          <w:rFonts w:ascii="Arial" w:hAnsi="Arial" w:cs="Arial"/>
          <w:b/>
          <w:bCs/>
        </w:rPr>
      </w:pPr>
      <w:r>
        <w:rPr>
          <w:rFonts w:ascii="Arial" w:hAnsi="Arial" w:cs="Arial"/>
          <w:b/>
          <w:bCs/>
        </w:rPr>
        <w:t xml:space="preserve">H. D. </w:t>
      </w:r>
      <w:r w:rsidR="00413FD2" w:rsidRPr="00B4083B">
        <w:rPr>
          <w:rFonts w:ascii="Arial" w:hAnsi="Arial" w:cs="Arial"/>
          <w:b/>
          <w:bCs/>
        </w:rPr>
        <w:t>GASTÓN SAAVEDRA</w:t>
      </w:r>
      <w:r>
        <w:rPr>
          <w:rFonts w:ascii="Arial" w:hAnsi="Arial" w:cs="Arial"/>
          <w:b/>
          <w:bCs/>
        </w:rPr>
        <w:t xml:space="preserve"> CH.</w:t>
      </w:r>
    </w:p>
    <w:p w:rsidR="00FC03D6" w:rsidRDefault="00FC03D6" w:rsidP="00D348F3">
      <w:pPr>
        <w:pStyle w:val="Prrafodelista"/>
        <w:ind w:right="-149"/>
        <w:jc w:val="both"/>
        <w:rPr>
          <w:rFonts w:ascii="Arial" w:hAnsi="Arial" w:cs="Arial"/>
          <w:b/>
          <w:bCs/>
        </w:rPr>
      </w:pPr>
    </w:p>
    <w:p w:rsidR="00FC03D6" w:rsidRDefault="00FC03D6" w:rsidP="00D348F3">
      <w:pPr>
        <w:pStyle w:val="Prrafodelista"/>
        <w:numPr>
          <w:ilvl w:val="0"/>
          <w:numId w:val="1"/>
        </w:numPr>
        <w:ind w:right="-149"/>
        <w:jc w:val="both"/>
        <w:rPr>
          <w:rFonts w:ascii="Arial" w:hAnsi="Arial" w:cs="Arial"/>
          <w:b/>
          <w:bCs/>
        </w:rPr>
      </w:pPr>
      <w:r>
        <w:rPr>
          <w:rFonts w:ascii="Arial" w:hAnsi="Arial" w:cs="Arial"/>
          <w:b/>
          <w:bCs/>
        </w:rPr>
        <w:t>H. D. LUIS ROCAFULL</w:t>
      </w:r>
    </w:p>
    <w:p w:rsidR="00FC03D6" w:rsidRPr="00FC03D6" w:rsidRDefault="00FC03D6" w:rsidP="00D348F3">
      <w:pPr>
        <w:pStyle w:val="Prrafodelista"/>
        <w:ind w:right="-149"/>
        <w:rPr>
          <w:rFonts w:ascii="Arial" w:hAnsi="Arial" w:cs="Arial"/>
          <w:b/>
          <w:bCs/>
        </w:rPr>
      </w:pPr>
    </w:p>
    <w:p w:rsidR="00FC03D6" w:rsidRDefault="00FC03D6" w:rsidP="00D348F3">
      <w:pPr>
        <w:pStyle w:val="Prrafodelista"/>
        <w:numPr>
          <w:ilvl w:val="0"/>
          <w:numId w:val="1"/>
        </w:numPr>
        <w:ind w:right="-149"/>
        <w:jc w:val="both"/>
        <w:rPr>
          <w:rFonts w:ascii="Arial" w:hAnsi="Arial" w:cs="Arial"/>
          <w:b/>
          <w:bCs/>
        </w:rPr>
      </w:pPr>
      <w:r>
        <w:rPr>
          <w:rFonts w:ascii="Arial" w:hAnsi="Arial" w:cs="Arial"/>
          <w:b/>
          <w:bCs/>
        </w:rPr>
        <w:t>H. D. EMILIA NUYADO</w:t>
      </w:r>
    </w:p>
    <w:p w:rsidR="00FC03D6" w:rsidRPr="00FC03D6" w:rsidRDefault="00FC03D6" w:rsidP="00D348F3">
      <w:pPr>
        <w:pStyle w:val="Prrafodelista"/>
        <w:ind w:right="-149"/>
        <w:rPr>
          <w:rFonts w:ascii="Arial" w:hAnsi="Arial" w:cs="Arial"/>
          <w:b/>
          <w:bCs/>
        </w:rPr>
      </w:pPr>
    </w:p>
    <w:p w:rsidR="00FC03D6" w:rsidRPr="00B4083B" w:rsidRDefault="00FC03D6" w:rsidP="00D348F3">
      <w:pPr>
        <w:pStyle w:val="Prrafodelista"/>
        <w:numPr>
          <w:ilvl w:val="0"/>
          <w:numId w:val="1"/>
        </w:numPr>
        <w:ind w:right="-149"/>
        <w:jc w:val="both"/>
        <w:rPr>
          <w:rFonts w:ascii="Arial" w:hAnsi="Arial" w:cs="Arial"/>
          <w:b/>
          <w:bCs/>
        </w:rPr>
      </w:pPr>
      <w:r>
        <w:rPr>
          <w:rFonts w:ascii="Arial" w:hAnsi="Arial" w:cs="Arial"/>
          <w:b/>
          <w:bCs/>
        </w:rPr>
        <w:t>H. D. MAYA FERNÁNDEZ</w:t>
      </w:r>
    </w:p>
    <w:p w:rsidR="00B4083B" w:rsidRDefault="00B4083B" w:rsidP="00D348F3">
      <w:pPr>
        <w:ind w:right="-149"/>
        <w:jc w:val="both"/>
        <w:rPr>
          <w:rFonts w:ascii="Arial" w:hAnsi="Arial" w:cs="Arial"/>
          <w:b/>
          <w:bCs/>
        </w:rPr>
      </w:pPr>
    </w:p>
    <w:p w:rsidR="00B4083B" w:rsidRDefault="00B4083B" w:rsidP="00D348F3">
      <w:pPr>
        <w:pStyle w:val="Prrafodelista"/>
        <w:numPr>
          <w:ilvl w:val="0"/>
          <w:numId w:val="1"/>
        </w:numPr>
        <w:ind w:right="-149"/>
        <w:jc w:val="both"/>
        <w:rPr>
          <w:rFonts w:ascii="Arial" w:hAnsi="Arial" w:cs="Arial"/>
          <w:b/>
          <w:bCs/>
        </w:rPr>
      </w:pPr>
      <w:r>
        <w:rPr>
          <w:rFonts w:ascii="Arial" w:hAnsi="Arial" w:cs="Arial"/>
          <w:b/>
          <w:bCs/>
        </w:rPr>
        <w:t xml:space="preserve">H. D. </w:t>
      </w:r>
      <w:r w:rsidRPr="00B4083B">
        <w:rPr>
          <w:rFonts w:ascii="Arial" w:hAnsi="Arial" w:cs="Arial"/>
          <w:b/>
          <w:bCs/>
        </w:rPr>
        <w:t>JUAN LUIS CASTRO</w:t>
      </w:r>
      <w:r w:rsidR="00C45064">
        <w:rPr>
          <w:rFonts w:ascii="Arial" w:hAnsi="Arial" w:cs="Arial"/>
          <w:b/>
          <w:bCs/>
        </w:rPr>
        <w:t xml:space="preserve"> G.</w:t>
      </w:r>
    </w:p>
    <w:p w:rsidR="00C45064" w:rsidRPr="00C45064" w:rsidRDefault="00C45064" w:rsidP="00D348F3">
      <w:pPr>
        <w:pStyle w:val="Prrafodelista"/>
        <w:ind w:right="-149"/>
        <w:rPr>
          <w:rFonts w:ascii="Arial" w:hAnsi="Arial" w:cs="Arial"/>
          <w:b/>
          <w:bCs/>
        </w:rPr>
      </w:pPr>
    </w:p>
    <w:p w:rsidR="00C45064" w:rsidRDefault="00FC03D6" w:rsidP="00D348F3">
      <w:pPr>
        <w:pStyle w:val="Prrafodelista"/>
        <w:numPr>
          <w:ilvl w:val="0"/>
          <w:numId w:val="1"/>
        </w:numPr>
        <w:ind w:right="-149"/>
        <w:jc w:val="both"/>
        <w:rPr>
          <w:rFonts w:ascii="Arial" w:hAnsi="Arial" w:cs="Arial"/>
          <w:b/>
          <w:bCs/>
        </w:rPr>
      </w:pPr>
      <w:r>
        <w:rPr>
          <w:rFonts w:ascii="Arial" w:hAnsi="Arial" w:cs="Arial"/>
          <w:b/>
          <w:bCs/>
        </w:rPr>
        <w:t xml:space="preserve">H. D. JUAN SANTANA </w:t>
      </w:r>
      <w:bookmarkStart w:id="1" w:name="_GoBack"/>
      <w:bookmarkEnd w:id="1"/>
      <w:r>
        <w:rPr>
          <w:rFonts w:ascii="Arial" w:hAnsi="Arial" w:cs="Arial"/>
          <w:b/>
          <w:bCs/>
        </w:rPr>
        <w:t>CASTILLO</w:t>
      </w:r>
    </w:p>
    <w:p w:rsidR="00FC03D6" w:rsidRPr="00FC03D6" w:rsidRDefault="00FC03D6" w:rsidP="00D348F3">
      <w:pPr>
        <w:pStyle w:val="Prrafodelista"/>
        <w:ind w:right="-149"/>
        <w:rPr>
          <w:rFonts w:ascii="Arial" w:hAnsi="Arial" w:cs="Arial"/>
          <w:b/>
          <w:bCs/>
        </w:rPr>
      </w:pPr>
    </w:p>
    <w:p w:rsidR="00FC03D6" w:rsidRDefault="00FC03D6" w:rsidP="00D348F3">
      <w:pPr>
        <w:pStyle w:val="Prrafodelista"/>
        <w:numPr>
          <w:ilvl w:val="0"/>
          <w:numId w:val="1"/>
        </w:numPr>
        <w:ind w:right="-149"/>
        <w:jc w:val="both"/>
        <w:rPr>
          <w:rFonts w:ascii="Arial" w:hAnsi="Arial" w:cs="Arial"/>
          <w:b/>
          <w:bCs/>
        </w:rPr>
      </w:pPr>
      <w:r>
        <w:rPr>
          <w:rFonts w:ascii="Arial" w:hAnsi="Arial" w:cs="Arial"/>
          <w:b/>
          <w:bCs/>
        </w:rPr>
        <w:t>H. D. RÁUL SALDIVAR</w:t>
      </w:r>
    </w:p>
    <w:p w:rsidR="00FC03D6" w:rsidRPr="00FC03D6" w:rsidRDefault="00FC03D6" w:rsidP="00D348F3">
      <w:pPr>
        <w:pStyle w:val="Prrafodelista"/>
        <w:ind w:right="-149"/>
        <w:rPr>
          <w:rFonts w:ascii="Arial" w:hAnsi="Arial" w:cs="Arial"/>
          <w:b/>
          <w:bCs/>
        </w:rPr>
      </w:pPr>
    </w:p>
    <w:p w:rsidR="00FC03D6" w:rsidRDefault="00FC03D6" w:rsidP="00D348F3">
      <w:pPr>
        <w:pStyle w:val="Prrafodelista"/>
        <w:numPr>
          <w:ilvl w:val="0"/>
          <w:numId w:val="1"/>
        </w:numPr>
        <w:ind w:right="-149"/>
        <w:jc w:val="both"/>
        <w:rPr>
          <w:rFonts w:ascii="Arial" w:hAnsi="Arial" w:cs="Arial"/>
          <w:b/>
          <w:bCs/>
        </w:rPr>
      </w:pPr>
      <w:r>
        <w:rPr>
          <w:rFonts w:ascii="Arial" w:hAnsi="Arial" w:cs="Arial"/>
          <w:b/>
          <w:bCs/>
        </w:rPr>
        <w:t>H. D. JOSÉ TOHÁ</w:t>
      </w:r>
    </w:p>
    <w:p w:rsidR="00FC03D6" w:rsidRPr="00FC03D6" w:rsidRDefault="00FC03D6" w:rsidP="00D348F3">
      <w:pPr>
        <w:pStyle w:val="Prrafodelista"/>
        <w:ind w:right="-149"/>
        <w:rPr>
          <w:rFonts w:ascii="Arial" w:hAnsi="Arial" w:cs="Arial"/>
          <w:b/>
          <w:bCs/>
        </w:rPr>
      </w:pPr>
    </w:p>
    <w:p w:rsidR="00FC03D6" w:rsidRPr="00B4083B" w:rsidRDefault="00FC03D6" w:rsidP="00D348F3">
      <w:pPr>
        <w:pStyle w:val="Prrafodelista"/>
        <w:numPr>
          <w:ilvl w:val="0"/>
          <w:numId w:val="1"/>
        </w:numPr>
        <w:ind w:right="-149"/>
        <w:jc w:val="both"/>
        <w:rPr>
          <w:rFonts w:ascii="Arial" w:hAnsi="Arial" w:cs="Arial"/>
          <w:b/>
          <w:bCs/>
        </w:rPr>
      </w:pPr>
      <w:r>
        <w:rPr>
          <w:rFonts w:ascii="Arial" w:hAnsi="Arial" w:cs="Arial"/>
          <w:b/>
          <w:bCs/>
        </w:rPr>
        <w:t>H. D. MARCELO SCHILLING</w:t>
      </w:r>
    </w:p>
    <w:p w:rsidR="003B3A31" w:rsidRPr="00413FD2" w:rsidRDefault="003B3A31" w:rsidP="00D348F3">
      <w:pPr>
        <w:ind w:right="-149" w:firstLine="708"/>
        <w:jc w:val="both"/>
        <w:rPr>
          <w:rFonts w:ascii="Arial" w:hAnsi="Arial" w:cs="Arial"/>
        </w:rPr>
      </w:pPr>
    </w:p>
    <w:sectPr w:rsidR="003B3A31" w:rsidRPr="00413FD2" w:rsidSect="00743299">
      <w:pgSz w:w="11900" w:h="16840"/>
      <w:pgMar w:top="1417" w:right="1701" w:bottom="1417"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7AC" w:rsidRDefault="007F17AC" w:rsidP="0036193E">
      <w:r>
        <w:separator/>
      </w:r>
    </w:p>
  </w:endnote>
  <w:endnote w:type="continuationSeparator" w:id="0">
    <w:p w:rsidR="007F17AC" w:rsidRDefault="007F17AC" w:rsidP="00361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7AC" w:rsidRDefault="007F17AC" w:rsidP="0036193E">
      <w:r>
        <w:separator/>
      </w:r>
    </w:p>
  </w:footnote>
  <w:footnote w:type="continuationSeparator" w:id="0">
    <w:p w:rsidR="007F17AC" w:rsidRDefault="007F17AC" w:rsidP="0036193E">
      <w:r>
        <w:continuationSeparator/>
      </w:r>
    </w:p>
  </w:footnote>
  <w:footnote w:id="1">
    <w:p w:rsidR="009F6EB3" w:rsidRPr="009F6EB3" w:rsidRDefault="009F6EB3">
      <w:pPr>
        <w:pStyle w:val="Textonotapie"/>
        <w:rPr>
          <w:sz w:val="20"/>
          <w:szCs w:val="20"/>
          <w:lang w:val="es-ES_tradnl"/>
        </w:rPr>
      </w:pPr>
      <w:r w:rsidRPr="009F6EB3">
        <w:rPr>
          <w:rStyle w:val="Refdenotaalpie"/>
          <w:sz w:val="20"/>
          <w:szCs w:val="20"/>
        </w:rPr>
        <w:footnoteRef/>
      </w:r>
      <w:r w:rsidRPr="009F6EB3">
        <w:rPr>
          <w:sz w:val="20"/>
          <w:szCs w:val="20"/>
        </w:rPr>
        <w:t xml:space="preserve"> </w:t>
      </w:r>
      <w:hyperlink r:id="rId1" w:history="1">
        <w:r w:rsidRPr="009F6EB3">
          <w:rPr>
            <w:rStyle w:val="Hipervnculo"/>
            <w:sz w:val="20"/>
            <w:szCs w:val="20"/>
          </w:rPr>
          <w:t>https://www.dt.gob.cl/legislacion/1624/w3-article-113614.html</w:t>
        </w:r>
      </w:hyperlink>
      <w:r w:rsidRPr="009F6EB3">
        <w:rPr>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208"/>
    <w:multiLevelType w:val="hybridMultilevel"/>
    <w:tmpl w:val="442CDE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743299"/>
    <w:rsid w:val="00032C65"/>
    <w:rsid w:val="00092F39"/>
    <w:rsid w:val="000D3B15"/>
    <w:rsid w:val="00120561"/>
    <w:rsid w:val="00291480"/>
    <w:rsid w:val="0036193E"/>
    <w:rsid w:val="003847AF"/>
    <w:rsid w:val="003B3A31"/>
    <w:rsid w:val="003C3823"/>
    <w:rsid w:val="00413FD2"/>
    <w:rsid w:val="004A5088"/>
    <w:rsid w:val="005A321B"/>
    <w:rsid w:val="005B2B11"/>
    <w:rsid w:val="006A767E"/>
    <w:rsid w:val="00704EB2"/>
    <w:rsid w:val="00733FDD"/>
    <w:rsid w:val="007355A5"/>
    <w:rsid w:val="00743299"/>
    <w:rsid w:val="0078713C"/>
    <w:rsid w:val="007C4CE0"/>
    <w:rsid w:val="007F17AC"/>
    <w:rsid w:val="008C3858"/>
    <w:rsid w:val="00980DBC"/>
    <w:rsid w:val="009F6EB3"/>
    <w:rsid w:val="00A34F81"/>
    <w:rsid w:val="00A4070D"/>
    <w:rsid w:val="00A63539"/>
    <w:rsid w:val="00B04C1F"/>
    <w:rsid w:val="00B4083B"/>
    <w:rsid w:val="00C35174"/>
    <w:rsid w:val="00C45064"/>
    <w:rsid w:val="00C55BD0"/>
    <w:rsid w:val="00D348F3"/>
    <w:rsid w:val="00D96B22"/>
    <w:rsid w:val="00DD1D89"/>
    <w:rsid w:val="00DE0E1B"/>
    <w:rsid w:val="00E10557"/>
    <w:rsid w:val="00E11929"/>
    <w:rsid w:val="00E56842"/>
    <w:rsid w:val="00E90461"/>
    <w:rsid w:val="00E95240"/>
    <w:rsid w:val="00ED7EB6"/>
    <w:rsid w:val="00EE095D"/>
    <w:rsid w:val="00EE63DA"/>
    <w:rsid w:val="00FC03D6"/>
    <w:rsid w:val="00FC5ED4"/>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C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2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3299"/>
    <w:pPr>
      <w:ind w:left="720"/>
      <w:contextualSpacing/>
    </w:pPr>
  </w:style>
  <w:style w:type="paragraph" w:styleId="Textosinformato">
    <w:name w:val="Plain Text"/>
    <w:basedOn w:val="Normal"/>
    <w:link w:val="TextosinformatoCar"/>
    <w:rsid w:val="000D3B15"/>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0D3B15"/>
    <w:rPr>
      <w:rFonts w:ascii="Courier New" w:eastAsia="Times New Roman" w:hAnsi="Courier New" w:cs="Courier New"/>
      <w:sz w:val="20"/>
      <w:szCs w:val="20"/>
      <w:lang w:val="es-ES" w:eastAsia="es-ES"/>
    </w:rPr>
  </w:style>
  <w:style w:type="paragraph" w:styleId="Encabezado">
    <w:name w:val="header"/>
    <w:basedOn w:val="Normal"/>
    <w:link w:val="EncabezadoCar"/>
    <w:uiPriority w:val="99"/>
    <w:unhideWhenUsed/>
    <w:rsid w:val="0036193E"/>
    <w:pPr>
      <w:tabs>
        <w:tab w:val="center" w:pos="4252"/>
        <w:tab w:val="right" w:pos="8504"/>
      </w:tabs>
    </w:pPr>
  </w:style>
  <w:style w:type="character" w:customStyle="1" w:styleId="EncabezadoCar">
    <w:name w:val="Encabezado Car"/>
    <w:basedOn w:val="Fuentedeprrafopredeter"/>
    <w:link w:val="Encabezado"/>
    <w:uiPriority w:val="99"/>
    <w:rsid w:val="0036193E"/>
  </w:style>
  <w:style w:type="paragraph" w:styleId="Piedepgina">
    <w:name w:val="footer"/>
    <w:basedOn w:val="Normal"/>
    <w:link w:val="PiedepginaCar"/>
    <w:uiPriority w:val="99"/>
    <w:unhideWhenUsed/>
    <w:rsid w:val="0036193E"/>
    <w:pPr>
      <w:tabs>
        <w:tab w:val="center" w:pos="4252"/>
        <w:tab w:val="right" w:pos="8504"/>
      </w:tabs>
    </w:pPr>
  </w:style>
  <w:style w:type="character" w:customStyle="1" w:styleId="PiedepginaCar">
    <w:name w:val="Pie de página Car"/>
    <w:basedOn w:val="Fuentedeprrafopredeter"/>
    <w:link w:val="Piedepgina"/>
    <w:uiPriority w:val="99"/>
    <w:rsid w:val="0036193E"/>
  </w:style>
  <w:style w:type="paragraph" w:styleId="Textonotapie">
    <w:name w:val="footnote text"/>
    <w:basedOn w:val="Normal"/>
    <w:link w:val="TextonotapieCar"/>
    <w:uiPriority w:val="99"/>
    <w:unhideWhenUsed/>
    <w:rsid w:val="00DD1D89"/>
  </w:style>
  <w:style w:type="character" w:customStyle="1" w:styleId="TextonotapieCar">
    <w:name w:val="Texto nota pie Car"/>
    <w:basedOn w:val="Fuentedeprrafopredeter"/>
    <w:link w:val="Textonotapie"/>
    <w:uiPriority w:val="99"/>
    <w:rsid w:val="00DD1D89"/>
  </w:style>
  <w:style w:type="character" w:styleId="Refdenotaalpie">
    <w:name w:val="footnote reference"/>
    <w:basedOn w:val="Fuentedeprrafopredeter"/>
    <w:uiPriority w:val="99"/>
    <w:unhideWhenUsed/>
    <w:rsid w:val="00DD1D89"/>
    <w:rPr>
      <w:vertAlign w:val="superscript"/>
    </w:rPr>
  </w:style>
  <w:style w:type="character" w:styleId="Hipervnculo">
    <w:name w:val="Hyperlink"/>
    <w:basedOn w:val="Fuentedeprrafopredeter"/>
    <w:uiPriority w:val="99"/>
    <w:unhideWhenUsed/>
    <w:rsid w:val="00DD1D89"/>
    <w:rPr>
      <w:color w:val="0000FF" w:themeColor="hyperlink"/>
      <w:u w:val="single"/>
    </w:rPr>
  </w:style>
  <w:style w:type="paragraph" w:styleId="Textodeglobo">
    <w:name w:val="Balloon Text"/>
    <w:basedOn w:val="Normal"/>
    <w:link w:val="TextodegloboCar"/>
    <w:uiPriority w:val="99"/>
    <w:semiHidden/>
    <w:unhideWhenUsed/>
    <w:rsid w:val="00A6353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63539"/>
    <w:rPr>
      <w:rFonts w:ascii="Lucida Grande" w:hAnsi="Lucida Grande" w:cs="Lucida Grande"/>
      <w:sz w:val="18"/>
      <w:szCs w:val="18"/>
    </w:rPr>
  </w:style>
  <w:style w:type="character" w:customStyle="1" w:styleId="UnresolvedMention">
    <w:name w:val="Unresolved Mention"/>
    <w:basedOn w:val="Fuentedeprrafopredeter"/>
    <w:uiPriority w:val="99"/>
    <w:semiHidden/>
    <w:unhideWhenUsed/>
    <w:rsid w:val="00C4506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03921632">
      <w:bodyDiv w:val="1"/>
      <w:marLeft w:val="0"/>
      <w:marRight w:val="0"/>
      <w:marTop w:val="0"/>
      <w:marBottom w:val="0"/>
      <w:divBdr>
        <w:top w:val="none" w:sz="0" w:space="0" w:color="auto"/>
        <w:left w:val="none" w:sz="0" w:space="0" w:color="auto"/>
        <w:bottom w:val="none" w:sz="0" w:space="0" w:color="auto"/>
        <w:right w:val="none" w:sz="0" w:space="0" w:color="auto"/>
      </w:divBdr>
    </w:div>
    <w:div w:id="1946814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t.gob.cl/legislacion/1624/w3-article-11361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1484</Words>
  <Characters>8163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CineMac</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Aldunate Esquivel</dc:creator>
  <cp:keywords/>
  <cp:lastModifiedBy>Guillermo Diaz Vallejos</cp:lastModifiedBy>
  <cp:revision>5</cp:revision>
  <dcterms:created xsi:type="dcterms:W3CDTF">2020-03-23T18:15:00Z</dcterms:created>
  <dcterms:modified xsi:type="dcterms:W3CDTF">2020-03-26T21:44:00Z</dcterms:modified>
</cp:coreProperties>
</file>