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34" w:rsidRDefault="003D700A" w:rsidP="003D700A">
      <w:pPr>
        <w:spacing w:line="320" w:lineRule="exact"/>
        <w:jc w:val="both"/>
        <w:rPr>
          <w:rFonts w:ascii="Courier New" w:hAnsi="Courier New" w:cs="Courier New"/>
          <w:b/>
          <w:bCs/>
          <w:color w:val="000000"/>
        </w:rPr>
      </w:pPr>
      <w:r w:rsidRPr="003D700A">
        <w:rPr>
          <w:rFonts w:ascii="Courier New" w:hAnsi="Courier New" w:cs="Courier New"/>
          <w:b/>
          <w:bCs/>
          <w:color w:val="000000"/>
        </w:rPr>
        <w:t>Modifica el Código Procesal Penal para establecer la improcedencia de la medida cautelar de prisión preventiva, y su sustitución por la de arresto domiciliario, mientras se encuentre vigente una declaración de estado de excepción constitucional de catástrofe, debido a una pandemia u otra circunstancia que ponga en riesgo la vida o la salud de las personas privadas de libertad, cumpliéndose los requisitos que señala</w:t>
      </w:r>
    </w:p>
    <w:p w:rsidR="003D700A" w:rsidRDefault="003D700A" w:rsidP="003D700A">
      <w:pPr>
        <w:spacing w:line="320" w:lineRule="exact"/>
        <w:jc w:val="both"/>
        <w:rPr>
          <w:rFonts w:ascii="Courier New" w:hAnsi="Courier New" w:cs="Courier New"/>
          <w:b/>
          <w:bCs/>
          <w:color w:val="000000"/>
        </w:rPr>
      </w:pPr>
    </w:p>
    <w:p w:rsidR="003D700A" w:rsidRDefault="003D700A" w:rsidP="003D700A">
      <w:pPr>
        <w:spacing w:line="320" w:lineRule="exact"/>
        <w:jc w:val="center"/>
        <w:rPr>
          <w:rFonts w:ascii="Courier New" w:hAnsi="Courier New" w:cs="Courier New"/>
          <w:b/>
          <w:bCs/>
          <w:color w:val="000000"/>
        </w:rPr>
      </w:pPr>
      <w:r>
        <w:rPr>
          <w:rFonts w:ascii="Courier New" w:hAnsi="Courier New" w:cs="Courier New"/>
          <w:b/>
          <w:bCs/>
          <w:color w:val="000000"/>
        </w:rPr>
        <w:t>Boletín N° 13385-07</w:t>
      </w:r>
    </w:p>
    <w:p w:rsidR="003D700A" w:rsidRPr="008B4685" w:rsidRDefault="003D700A" w:rsidP="003D700A">
      <w:pPr>
        <w:spacing w:line="320" w:lineRule="exact"/>
        <w:jc w:val="both"/>
        <w:rPr>
          <w:rFonts w:ascii="Courier New" w:hAnsi="Courier New" w:cs="Courier New"/>
          <w:color w:val="000000"/>
        </w:rPr>
      </w:pPr>
    </w:p>
    <w:p w:rsidR="005378C4" w:rsidRDefault="00B942E5" w:rsidP="003D700A">
      <w:pPr>
        <w:pStyle w:val="Prrafodelista"/>
        <w:numPr>
          <w:ilvl w:val="0"/>
          <w:numId w:val="2"/>
        </w:numPr>
        <w:spacing w:line="320" w:lineRule="exact"/>
        <w:rPr>
          <w:rFonts w:ascii="Courier New" w:hAnsi="Courier New" w:cs="Courier New"/>
          <w:b/>
          <w:bCs/>
          <w:color w:val="000000"/>
        </w:rPr>
      </w:pPr>
      <w:r w:rsidRPr="008B4685">
        <w:rPr>
          <w:rFonts w:ascii="Courier New" w:hAnsi="Courier New" w:cs="Courier New"/>
          <w:b/>
          <w:bCs/>
          <w:color w:val="000000"/>
        </w:rPr>
        <w:t>Fundamento</w:t>
      </w:r>
      <w:r w:rsidR="00593C5D">
        <w:rPr>
          <w:rFonts w:ascii="Courier New" w:hAnsi="Courier New" w:cs="Courier New"/>
          <w:b/>
          <w:bCs/>
          <w:color w:val="000000"/>
        </w:rPr>
        <w:t>s</w:t>
      </w:r>
    </w:p>
    <w:p w:rsidR="0025537A" w:rsidRDefault="00EE0197" w:rsidP="00821100">
      <w:pPr>
        <w:spacing w:line="360" w:lineRule="auto"/>
        <w:ind w:left="360"/>
        <w:jc w:val="both"/>
        <w:rPr>
          <w:rFonts w:ascii="Courier New" w:hAnsi="Courier New" w:cs="Courier New"/>
          <w:color w:val="000000"/>
        </w:rPr>
      </w:pPr>
      <w:r>
        <w:rPr>
          <w:rFonts w:ascii="Courier New" w:hAnsi="Courier New" w:cs="Courier New"/>
          <w:color w:val="000000"/>
        </w:rPr>
        <w:t>E</w:t>
      </w:r>
      <w:r w:rsidR="00821100" w:rsidRPr="008B4685">
        <w:rPr>
          <w:rFonts w:ascii="Courier New" w:hAnsi="Courier New" w:cs="Courier New"/>
          <w:color w:val="000000"/>
        </w:rPr>
        <w:t>l artículo 19 N°7 de la Constitución Política de la República</w:t>
      </w:r>
      <w:r w:rsidR="004C5C22">
        <w:rPr>
          <w:rFonts w:ascii="Courier New" w:hAnsi="Courier New" w:cs="Courier New"/>
          <w:color w:val="000000"/>
        </w:rPr>
        <w:t xml:space="preserve"> (CPR)</w:t>
      </w:r>
      <w:r>
        <w:rPr>
          <w:rFonts w:ascii="Courier New" w:hAnsi="Courier New" w:cs="Courier New"/>
          <w:color w:val="000000"/>
        </w:rPr>
        <w:t xml:space="preserve"> reconoce el derecho a l</w:t>
      </w:r>
      <w:r w:rsidRPr="00EE0197">
        <w:rPr>
          <w:rFonts w:ascii="Courier New" w:hAnsi="Courier New" w:cs="Courier New"/>
          <w:color w:val="000000"/>
        </w:rPr>
        <w:t xml:space="preserve">a </w:t>
      </w:r>
      <w:r>
        <w:rPr>
          <w:rFonts w:ascii="Courier New" w:hAnsi="Courier New" w:cs="Courier New"/>
          <w:color w:val="000000"/>
        </w:rPr>
        <w:t>libertad persona</w:t>
      </w:r>
      <w:r w:rsidR="0025537A">
        <w:rPr>
          <w:rFonts w:ascii="Courier New" w:hAnsi="Courier New" w:cs="Courier New"/>
          <w:color w:val="000000"/>
        </w:rPr>
        <w:t xml:space="preserve">l, de manera que </w:t>
      </w:r>
      <w:r w:rsidR="0025537A" w:rsidRPr="0025537A">
        <w:rPr>
          <w:rFonts w:ascii="Courier New" w:hAnsi="Courier New" w:cs="Courier New"/>
          <w:color w:val="000000"/>
        </w:rPr>
        <w:t>nadie puede ser privado de su libertad personal ni ser restringida sino en los casos y en la forma determinados por la Constitución y las leyes</w:t>
      </w:r>
      <w:r>
        <w:rPr>
          <w:rFonts w:ascii="Courier New" w:hAnsi="Courier New" w:cs="Courier New"/>
          <w:color w:val="000000"/>
        </w:rPr>
        <w:t xml:space="preserve">. </w:t>
      </w:r>
    </w:p>
    <w:p w:rsidR="00EE0197" w:rsidRDefault="00EE0197" w:rsidP="0025537A">
      <w:pPr>
        <w:spacing w:line="360" w:lineRule="auto"/>
        <w:ind w:left="360"/>
        <w:jc w:val="both"/>
        <w:rPr>
          <w:rFonts w:ascii="Courier New" w:hAnsi="Courier New" w:cs="Courier New"/>
          <w:color w:val="000000"/>
        </w:rPr>
      </w:pPr>
      <w:r>
        <w:rPr>
          <w:rFonts w:ascii="Courier New" w:hAnsi="Courier New" w:cs="Courier New"/>
          <w:color w:val="000000"/>
        </w:rPr>
        <w:t xml:space="preserve">Una de las formas legitimas de restricción de este derecho es la aplicación de ciertas medidas cautelares, como la prisión preventiva. </w:t>
      </w:r>
      <w:r w:rsidR="00C47CE6">
        <w:rPr>
          <w:rFonts w:ascii="Courier New" w:hAnsi="Courier New" w:cs="Courier New"/>
          <w:color w:val="000000"/>
        </w:rPr>
        <w:t xml:space="preserve">Esta medida cautelar tiene un carácter excepcional, como lo reconoce el mismo texto constitucional que señala en el literal e) de la norma citada que “la </w:t>
      </w:r>
      <w:r w:rsidRPr="00EE0197">
        <w:rPr>
          <w:rFonts w:ascii="Courier New" w:hAnsi="Courier New" w:cs="Courier New"/>
          <w:color w:val="000000"/>
        </w:rPr>
        <w:t>libertad del imputado procederá a menos que la detención o prisión preventiva sea considerada por el juez como necesaria para las investigaciones o para la seguridad del ofendido o de la sociedad</w:t>
      </w:r>
      <w:r w:rsidR="00C47CE6">
        <w:rPr>
          <w:rFonts w:ascii="Courier New" w:hAnsi="Courier New" w:cs="Courier New"/>
          <w:color w:val="000000"/>
        </w:rPr>
        <w:t xml:space="preserve">”. </w:t>
      </w:r>
      <w:r w:rsidR="0025537A">
        <w:rPr>
          <w:rFonts w:ascii="Courier New" w:hAnsi="Courier New" w:cs="Courier New"/>
          <w:color w:val="000000"/>
        </w:rPr>
        <w:t xml:space="preserve">De igual manera, la excepcionalidad se encuentra consagrada en los </w:t>
      </w:r>
      <w:r w:rsidR="0025537A" w:rsidRPr="00001FC3">
        <w:rPr>
          <w:rFonts w:ascii="Courier New" w:hAnsi="Courier New" w:cs="Courier New"/>
          <w:i/>
          <w:iCs/>
          <w:color w:val="000000"/>
        </w:rPr>
        <w:t>Principios y Buenas Prácticas sobre la Protección de las Personas Privadas de Libertad en las Américas</w:t>
      </w:r>
      <w:r w:rsidR="0025537A">
        <w:rPr>
          <w:rStyle w:val="Refdenotaalpie"/>
          <w:rFonts w:ascii="Courier New" w:hAnsi="Courier New" w:cs="Courier New"/>
          <w:color w:val="000000"/>
        </w:rPr>
        <w:footnoteReference w:id="1"/>
      </w:r>
      <w:r w:rsidR="0025537A" w:rsidRPr="0025537A">
        <w:rPr>
          <w:rFonts w:ascii="Courier New" w:hAnsi="Courier New" w:cs="Courier New"/>
          <w:color w:val="000000"/>
        </w:rPr>
        <w:t xml:space="preserve"> y otros instrumentos internacionales sobre derechos humanos.</w:t>
      </w:r>
    </w:p>
    <w:p w:rsidR="00821100" w:rsidRDefault="004C5C22" w:rsidP="00001FC3">
      <w:pPr>
        <w:spacing w:line="360" w:lineRule="auto"/>
        <w:ind w:left="360"/>
        <w:jc w:val="both"/>
        <w:rPr>
          <w:rFonts w:ascii="Courier New" w:hAnsi="Courier New" w:cs="Courier New"/>
          <w:color w:val="000000"/>
        </w:rPr>
      </w:pPr>
      <w:r>
        <w:rPr>
          <w:rFonts w:ascii="Courier New" w:hAnsi="Courier New" w:cs="Courier New"/>
          <w:color w:val="000000"/>
        </w:rPr>
        <w:t xml:space="preserve">Por su parte, el artículo 19 N° 3 de la CPR reconoce la </w:t>
      </w:r>
      <w:r w:rsidRPr="004C5C22">
        <w:rPr>
          <w:rFonts w:ascii="Courier New" w:hAnsi="Courier New" w:cs="Courier New"/>
          <w:color w:val="000000"/>
        </w:rPr>
        <w:t>igual protección de la ley en el ejercicio de los derechos</w:t>
      </w:r>
      <w:r>
        <w:rPr>
          <w:rFonts w:ascii="Courier New" w:hAnsi="Courier New" w:cs="Courier New"/>
          <w:color w:val="000000"/>
        </w:rPr>
        <w:t xml:space="preserve">, por lo que como es lógico, la privación de libertad de los condenados o </w:t>
      </w:r>
      <w:r>
        <w:rPr>
          <w:rFonts w:ascii="Courier New" w:hAnsi="Courier New" w:cs="Courier New"/>
          <w:color w:val="000000"/>
        </w:rPr>
        <w:lastRenderedPageBreak/>
        <w:t xml:space="preserve">imputados </w:t>
      </w:r>
      <w:r w:rsidRPr="008B4685">
        <w:rPr>
          <w:rFonts w:ascii="Courier New" w:hAnsi="Courier New" w:cs="Courier New"/>
          <w:color w:val="000000"/>
        </w:rPr>
        <w:t xml:space="preserve">no puede conllevar bajo ningún supuesto una </w:t>
      </w:r>
      <w:r>
        <w:rPr>
          <w:rFonts w:ascii="Courier New" w:hAnsi="Courier New" w:cs="Courier New"/>
          <w:color w:val="000000"/>
        </w:rPr>
        <w:t>privación o restricción en el ejercicio de otros derechos</w:t>
      </w:r>
      <w:r w:rsidR="00001FC3">
        <w:rPr>
          <w:rFonts w:ascii="Courier New" w:hAnsi="Courier New" w:cs="Courier New"/>
          <w:color w:val="000000"/>
        </w:rPr>
        <w:t xml:space="preserve">, </w:t>
      </w:r>
      <w:r w:rsidR="00821100" w:rsidRPr="008B4685">
        <w:rPr>
          <w:rFonts w:ascii="Courier New" w:hAnsi="Courier New" w:cs="Courier New"/>
          <w:color w:val="000000"/>
        </w:rPr>
        <w:t xml:space="preserve">como el derecho a la vida, a la integridad física y psíquica (artículo 19 N°1 CPR), derecho a la libertad religiosa y de culto (artículo 19 N° 6 CPR), derecho a la protección de la salud (artículo 19 N°9 CPR), derecho a la educación (artículo 19 N°10 CPR). </w:t>
      </w:r>
    </w:p>
    <w:p w:rsidR="002643F8" w:rsidRPr="008B4685" w:rsidRDefault="00821100" w:rsidP="00821100">
      <w:pPr>
        <w:spacing w:line="360" w:lineRule="auto"/>
        <w:ind w:left="360"/>
        <w:jc w:val="both"/>
        <w:rPr>
          <w:rFonts w:ascii="Courier New" w:hAnsi="Courier New" w:cs="Courier New"/>
          <w:color w:val="000000"/>
        </w:rPr>
      </w:pPr>
      <w:r w:rsidRPr="008B4685">
        <w:rPr>
          <w:rFonts w:ascii="Courier New" w:hAnsi="Courier New" w:cs="Courier New"/>
          <w:color w:val="000000"/>
        </w:rPr>
        <w:t>No obstante, la realidad que viven las personas privadas de libertad en las cárceles chilenas es alarmante. Así lo demostró, e</w:t>
      </w:r>
      <w:r w:rsidR="002643F8" w:rsidRPr="008B4685">
        <w:rPr>
          <w:rFonts w:ascii="Courier New" w:hAnsi="Courier New" w:cs="Courier New"/>
          <w:color w:val="000000"/>
        </w:rPr>
        <w:t xml:space="preserve">l </w:t>
      </w:r>
      <w:r w:rsidR="002643F8" w:rsidRPr="00D235D4">
        <w:rPr>
          <w:rFonts w:ascii="Courier New" w:hAnsi="Courier New" w:cs="Courier New"/>
          <w:i/>
          <w:iCs/>
          <w:color w:val="000000"/>
        </w:rPr>
        <w:t>Estudio de las Condiciones Carcelarias en Chile 2016-2017</w:t>
      </w:r>
      <w:r w:rsidR="002643F8" w:rsidRPr="008B4685">
        <w:rPr>
          <w:rFonts w:ascii="Courier New" w:hAnsi="Courier New" w:cs="Courier New"/>
          <w:color w:val="000000"/>
        </w:rPr>
        <w:t xml:space="preserve"> realizado por el Instituto de Derechos Humanos, que analizó las condiciones de 40 de los 84 recintos penitenciarios del país durante los años 2016 y 2017, </w:t>
      </w:r>
      <w:r w:rsidR="00001FC3">
        <w:rPr>
          <w:rFonts w:ascii="Courier New" w:hAnsi="Courier New" w:cs="Courier New"/>
          <w:color w:val="000000"/>
        </w:rPr>
        <w:t>constatando</w:t>
      </w:r>
      <w:r w:rsidR="002643F8" w:rsidRPr="008B4685">
        <w:rPr>
          <w:rFonts w:ascii="Courier New" w:hAnsi="Courier New" w:cs="Courier New"/>
          <w:color w:val="000000"/>
        </w:rPr>
        <w:t xml:space="preserve"> </w:t>
      </w:r>
      <w:r w:rsidR="00897537" w:rsidRPr="008B4685">
        <w:rPr>
          <w:rFonts w:ascii="Courier New" w:hAnsi="Courier New" w:cs="Courier New"/>
          <w:color w:val="000000"/>
        </w:rPr>
        <w:t>que,</w:t>
      </w:r>
      <w:r w:rsidR="002643F8" w:rsidRPr="008B4685">
        <w:rPr>
          <w:rFonts w:ascii="Courier New" w:hAnsi="Courier New" w:cs="Courier New"/>
          <w:color w:val="000000"/>
        </w:rPr>
        <w:t xml:space="preserve"> en el año 2017, el 52,5 % de l</w:t>
      </w:r>
      <w:r w:rsidR="00897537" w:rsidRPr="008B4685">
        <w:rPr>
          <w:rFonts w:ascii="Courier New" w:hAnsi="Courier New" w:cs="Courier New"/>
          <w:color w:val="000000"/>
        </w:rPr>
        <w:t>o</w:t>
      </w:r>
      <w:r w:rsidR="002643F8" w:rsidRPr="008B4685">
        <w:rPr>
          <w:rFonts w:ascii="Courier New" w:hAnsi="Courier New" w:cs="Courier New"/>
          <w:color w:val="000000"/>
        </w:rPr>
        <w:t>s establecimientos</w:t>
      </w:r>
      <w:r w:rsidR="00897537" w:rsidRPr="008B4685">
        <w:rPr>
          <w:rFonts w:ascii="Courier New" w:hAnsi="Courier New" w:cs="Courier New"/>
          <w:color w:val="000000"/>
        </w:rPr>
        <w:t xml:space="preserve"> penitenciarios</w:t>
      </w:r>
      <w:r w:rsidR="002643F8" w:rsidRPr="008B4685">
        <w:rPr>
          <w:rFonts w:ascii="Courier New" w:hAnsi="Courier New" w:cs="Courier New"/>
          <w:color w:val="000000"/>
        </w:rPr>
        <w:t xml:space="preserve"> se </w:t>
      </w:r>
      <w:r w:rsidR="00897537" w:rsidRPr="008B4685">
        <w:rPr>
          <w:rFonts w:ascii="Courier New" w:hAnsi="Courier New" w:cs="Courier New"/>
          <w:color w:val="000000"/>
        </w:rPr>
        <w:t xml:space="preserve">encontraban </w:t>
      </w:r>
      <w:r w:rsidR="002643F8" w:rsidRPr="008B4685">
        <w:rPr>
          <w:rFonts w:ascii="Courier New" w:hAnsi="Courier New" w:cs="Courier New"/>
          <w:color w:val="000000"/>
        </w:rPr>
        <w:t>en el nivel bajo la capacidad; el 10,0 %, en nivel de sobreocupación; el 10,0 %, en nivel de hacinamiento alto; y el 27,5 %, en nivel de hacinamiento crítico</w:t>
      </w:r>
      <w:r w:rsidR="00001FC3">
        <w:rPr>
          <w:rStyle w:val="Refdenotaalpie"/>
          <w:rFonts w:ascii="Courier New" w:hAnsi="Courier New" w:cs="Courier New"/>
          <w:color w:val="000000"/>
        </w:rPr>
        <w:footnoteReference w:id="2"/>
      </w:r>
      <w:r w:rsidR="00D235D4">
        <w:rPr>
          <w:rFonts w:ascii="Courier New" w:hAnsi="Courier New" w:cs="Courier New"/>
          <w:color w:val="000000"/>
        </w:rPr>
        <w:t>.</w:t>
      </w:r>
      <w:r w:rsidR="002643F8" w:rsidRPr="008B4685">
        <w:rPr>
          <w:rFonts w:ascii="Courier New" w:hAnsi="Courier New" w:cs="Courier New"/>
          <w:color w:val="000000"/>
        </w:rPr>
        <w:t xml:space="preserve"> </w:t>
      </w:r>
    </w:p>
    <w:p w:rsidR="00821100" w:rsidRPr="008B4685" w:rsidRDefault="00001FC3" w:rsidP="00E91309">
      <w:pPr>
        <w:spacing w:line="360" w:lineRule="auto"/>
        <w:ind w:left="360"/>
        <w:jc w:val="both"/>
        <w:rPr>
          <w:rFonts w:ascii="Courier New" w:hAnsi="Courier New" w:cs="Courier New"/>
          <w:color w:val="000000"/>
        </w:rPr>
      </w:pPr>
      <w:r w:rsidRPr="00001FC3">
        <w:rPr>
          <w:rFonts w:ascii="Courier New" w:hAnsi="Courier New" w:cs="Courier New"/>
          <w:color w:val="000000"/>
        </w:rPr>
        <w:t xml:space="preserve">De acuerdo a lo señalado en los </w:t>
      </w:r>
      <w:r w:rsidRPr="00001FC3">
        <w:rPr>
          <w:rFonts w:ascii="Courier New" w:hAnsi="Courier New" w:cs="Courier New"/>
          <w:i/>
          <w:iCs/>
          <w:color w:val="000000"/>
        </w:rPr>
        <w:t>Principios y Buenas Prácticas sobre la Protección de las Personas Privadas de Libertad en las Américas</w:t>
      </w:r>
      <w:r w:rsidRPr="00001FC3">
        <w:rPr>
          <w:rFonts w:ascii="Courier New" w:hAnsi="Courier New" w:cs="Courier New"/>
          <w:color w:val="000000"/>
        </w:rPr>
        <w:t xml:space="preserve"> e</w:t>
      </w:r>
      <w:r w:rsidR="00821100" w:rsidRPr="00001FC3">
        <w:rPr>
          <w:rFonts w:ascii="Courier New" w:hAnsi="Courier New" w:cs="Courier New"/>
          <w:color w:val="000000"/>
        </w:rPr>
        <w:t>l hacinamiento o la sobreocupación que impli</w:t>
      </w:r>
      <w:r w:rsidR="00BF45BB">
        <w:rPr>
          <w:rFonts w:ascii="Courier New" w:hAnsi="Courier New" w:cs="Courier New"/>
          <w:color w:val="000000"/>
        </w:rPr>
        <w:t>ca</w:t>
      </w:r>
      <w:r w:rsidR="00821100" w:rsidRPr="00001FC3">
        <w:rPr>
          <w:rFonts w:ascii="Courier New" w:hAnsi="Courier New" w:cs="Courier New"/>
          <w:color w:val="000000"/>
        </w:rPr>
        <w:t xml:space="preserve"> una vulneración de los derechos humanos de las personas privadas de libertad, constituye un trato cruel, inhumano y degradante</w:t>
      </w:r>
      <w:r w:rsidR="00E91309" w:rsidRPr="00001FC3">
        <w:rPr>
          <w:rFonts w:ascii="Courier New" w:hAnsi="Courier New" w:cs="Courier New"/>
          <w:color w:val="000000"/>
        </w:rPr>
        <w:t>.</w:t>
      </w:r>
      <w:r w:rsidR="00E91309" w:rsidRPr="008B4685">
        <w:rPr>
          <w:rFonts w:ascii="Courier New" w:hAnsi="Courier New" w:cs="Courier New"/>
          <w:color w:val="000000"/>
        </w:rPr>
        <w:t xml:space="preserve"> </w:t>
      </w:r>
    </w:p>
    <w:p w:rsidR="00DE1329" w:rsidRDefault="00897537" w:rsidP="00244614">
      <w:pPr>
        <w:spacing w:line="360" w:lineRule="auto"/>
        <w:ind w:left="360"/>
        <w:jc w:val="both"/>
        <w:rPr>
          <w:rFonts w:ascii="Courier New" w:hAnsi="Courier New" w:cs="Courier New"/>
          <w:color w:val="000000"/>
        </w:rPr>
      </w:pPr>
      <w:r w:rsidRPr="008B4685">
        <w:rPr>
          <w:rFonts w:ascii="Courier New" w:hAnsi="Courier New" w:cs="Courier New"/>
          <w:color w:val="000000"/>
        </w:rPr>
        <w:t xml:space="preserve">Además de las tasas problemáticas de sobreocupación y hacinamiento, los establecimientos penales presentan otras deficiencias, muchas de las cuales tienen relación directa con lo anterior, tales como falta de platos y cubiertos para consumir alimentos, reducida disponibilidad de comedores, deficiente número de camas </w:t>
      </w:r>
      <w:r w:rsidR="00DE1329" w:rsidRPr="008B4685">
        <w:rPr>
          <w:rFonts w:ascii="Courier New" w:hAnsi="Courier New" w:cs="Courier New"/>
          <w:color w:val="000000"/>
        </w:rPr>
        <w:t xml:space="preserve">y ropa de cama, que ocasiona que algunas personas deban dormir en el suelo, en condiciones denigrantes y otras que no dicen relación con dicha circunstancia, pero que en muchos casos son aún más graves, </w:t>
      </w:r>
      <w:r w:rsidR="00244614" w:rsidRPr="008B4685">
        <w:rPr>
          <w:rFonts w:ascii="Courier New" w:hAnsi="Courier New" w:cs="Courier New"/>
          <w:color w:val="000000"/>
        </w:rPr>
        <w:t xml:space="preserve">como la falta de servicios higiénicos al interior de las celdas, </w:t>
      </w:r>
      <w:r w:rsidR="00244614" w:rsidRPr="008B4685">
        <w:rPr>
          <w:rFonts w:ascii="Courier New" w:hAnsi="Courier New" w:cs="Courier New"/>
          <w:color w:val="000000"/>
        </w:rPr>
        <w:lastRenderedPageBreak/>
        <w:t>instalaciones eléctricas deficientes y peligrosas</w:t>
      </w:r>
      <w:r w:rsidR="003F32F8">
        <w:rPr>
          <w:rFonts w:ascii="Courier New" w:hAnsi="Courier New" w:cs="Courier New"/>
          <w:color w:val="000000"/>
        </w:rPr>
        <w:t xml:space="preserve"> y </w:t>
      </w:r>
      <w:r w:rsidR="003F32F8" w:rsidRPr="008B4685">
        <w:rPr>
          <w:rFonts w:ascii="Courier New" w:hAnsi="Courier New" w:cs="Courier New"/>
          <w:color w:val="000000"/>
        </w:rPr>
        <w:t>acceso limitado al agua</w:t>
      </w:r>
      <w:r w:rsidR="003F32F8">
        <w:rPr>
          <w:rFonts w:ascii="Courier New" w:hAnsi="Courier New" w:cs="Courier New"/>
          <w:color w:val="000000"/>
        </w:rPr>
        <w:t xml:space="preserve">. </w:t>
      </w:r>
    </w:p>
    <w:p w:rsidR="00244614" w:rsidRPr="008B4685" w:rsidRDefault="003E599B" w:rsidP="003E599B">
      <w:pPr>
        <w:spacing w:line="360" w:lineRule="auto"/>
        <w:ind w:left="360"/>
        <w:jc w:val="both"/>
        <w:rPr>
          <w:rFonts w:ascii="Courier New" w:hAnsi="Courier New" w:cs="Courier New"/>
          <w:color w:val="000000"/>
        </w:rPr>
      </w:pPr>
      <w:r>
        <w:rPr>
          <w:rFonts w:ascii="Courier New" w:hAnsi="Courier New" w:cs="Courier New"/>
          <w:color w:val="000000"/>
        </w:rPr>
        <w:t>El derecho al agua potable y el saneamiento constituye</w:t>
      </w:r>
      <w:r w:rsidRPr="003E599B">
        <w:rPr>
          <w:rFonts w:ascii="Courier New" w:hAnsi="Courier New" w:cs="Courier New"/>
          <w:color w:val="000000"/>
        </w:rPr>
        <w:t xml:space="preserve"> un derecho humano esencial para el pleno disfrute de la vida y de todos los derechos humanos</w:t>
      </w:r>
      <w:r>
        <w:rPr>
          <w:rFonts w:ascii="Courier New" w:hAnsi="Courier New" w:cs="Courier New"/>
          <w:color w:val="000000"/>
        </w:rPr>
        <w:t>, según lo reconoce la</w:t>
      </w:r>
      <w:r w:rsidRPr="003E599B">
        <w:rPr>
          <w:rFonts w:ascii="Courier New" w:hAnsi="Courier New" w:cs="Courier New"/>
          <w:color w:val="000000"/>
        </w:rPr>
        <w:t xml:space="preserve"> </w:t>
      </w:r>
      <w:r>
        <w:rPr>
          <w:rFonts w:ascii="Courier New" w:hAnsi="Courier New" w:cs="Courier New"/>
          <w:color w:val="000000"/>
        </w:rPr>
        <w:t xml:space="preserve"> </w:t>
      </w:r>
      <w:hyperlink r:id="rId8" w:tooltip="Resolución 64/292" w:history="1">
        <w:r w:rsidRPr="003E599B">
          <w:rPr>
            <w:rFonts w:ascii="Courier New" w:hAnsi="Courier New" w:cs="Courier New"/>
            <w:color w:val="000000"/>
          </w:rPr>
          <w:t>Resolución 64/292</w:t>
        </w:r>
      </w:hyperlink>
      <w:r w:rsidRPr="003E599B">
        <w:rPr>
          <w:rFonts w:ascii="Courier New" w:hAnsi="Courier New" w:cs="Courier New"/>
          <w:color w:val="000000"/>
        </w:rPr>
        <w:t xml:space="preserve"> de la Asamblea General de las Naciones Unidas</w:t>
      </w:r>
      <w:r w:rsidR="00DD6A6E">
        <w:rPr>
          <w:rStyle w:val="Refdenotaalpie"/>
          <w:rFonts w:ascii="Courier New" w:hAnsi="Courier New" w:cs="Courier New"/>
          <w:color w:val="000000"/>
        </w:rPr>
        <w:footnoteReference w:id="3"/>
      </w:r>
      <w:r w:rsidRPr="003E599B">
        <w:rPr>
          <w:rFonts w:ascii="Courier New" w:hAnsi="Courier New" w:cs="Courier New"/>
          <w:color w:val="000000"/>
        </w:rPr>
        <w:t>.</w:t>
      </w:r>
      <w:r>
        <w:rPr>
          <w:rFonts w:ascii="Courier New" w:hAnsi="Courier New" w:cs="Courier New"/>
          <w:color w:val="000000"/>
        </w:rPr>
        <w:t xml:space="preserve"> Sin embargo, al interior de los recintos penitenciarios se advierten graves vulneraciones a su ejercicio. </w:t>
      </w:r>
      <w:r w:rsidR="00244614" w:rsidRPr="008B4685">
        <w:rPr>
          <w:rFonts w:ascii="Courier New" w:hAnsi="Courier New" w:cs="Courier New"/>
          <w:color w:val="000000"/>
        </w:rPr>
        <w:t xml:space="preserve">En efecto, la Comisión de Visita de Cárceles de la Corte de Apelaciones de Santiago, </w:t>
      </w:r>
      <w:r w:rsidR="00FD28F8" w:rsidRPr="008B4685">
        <w:rPr>
          <w:rFonts w:ascii="Courier New" w:hAnsi="Courier New" w:cs="Courier New"/>
          <w:color w:val="000000"/>
        </w:rPr>
        <w:t xml:space="preserve">en el año 2014, observó que </w:t>
      </w:r>
      <w:r w:rsidR="00244614" w:rsidRPr="008B4685">
        <w:rPr>
          <w:rFonts w:ascii="Courier New" w:hAnsi="Courier New" w:cs="Courier New"/>
          <w:color w:val="000000"/>
        </w:rPr>
        <w:t>en ciertos recintos de reclusión se suspende arbitrariamente el suministro de agua</w:t>
      </w:r>
      <w:r w:rsidR="00A432E4">
        <w:rPr>
          <w:rStyle w:val="Refdenotaalpie"/>
          <w:rFonts w:ascii="Courier New" w:hAnsi="Courier New" w:cs="Courier New"/>
          <w:color w:val="000000"/>
        </w:rPr>
        <w:footnoteReference w:id="4"/>
      </w:r>
      <w:r w:rsidR="00244614" w:rsidRPr="008B4685">
        <w:rPr>
          <w:rFonts w:ascii="Courier New" w:hAnsi="Courier New" w:cs="Courier New"/>
          <w:color w:val="000000"/>
        </w:rPr>
        <w:t>.</w:t>
      </w:r>
      <w:r w:rsidR="00FD28F8" w:rsidRPr="008B4685">
        <w:rPr>
          <w:rFonts w:ascii="Courier New" w:hAnsi="Courier New" w:cs="Courier New"/>
          <w:color w:val="000000"/>
        </w:rPr>
        <w:t xml:space="preserve"> </w:t>
      </w:r>
      <w:r w:rsidR="00244614" w:rsidRPr="008B4685">
        <w:rPr>
          <w:rFonts w:ascii="Courier New" w:hAnsi="Courier New" w:cs="Courier New"/>
          <w:color w:val="000000"/>
        </w:rPr>
        <w:t>De igual manera, el Estudio de las Condiciones Carcelarias en Chile 2016-2017 ya mencionado, constató que en 24 de 40 unidades penales analizadas existe algún nivel de privación o insuficiencia en el acceso a agua y a servicios higiénicos en forma permanente las 24 horas.</w:t>
      </w:r>
    </w:p>
    <w:p w:rsidR="00E91309" w:rsidRDefault="00821100" w:rsidP="00E91309">
      <w:pPr>
        <w:spacing w:line="360" w:lineRule="auto"/>
        <w:ind w:left="360"/>
        <w:jc w:val="both"/>
        <w:rPr>
          <w:rFonts w:ascii="Courier New" w:hAnsi="Courier New" w:cs="Courier New"/>
          <w:color w:val="000000"/>
        </w:rPr>
      </w:pPr>
      <w:r w:rsidRPr="008B4685">
        <w:rPr>
          <w:rFonts w:ascii="Courier New" w:hAnsi="Courier New" w:cs="Courier New"/>
          <w:color w:val="000000"/>
        </w:rPr>
        <w:t xml:space="preserve">En cuanto al acceso a atención de salud, </w:t>
      </w:r>
      <w:r w:rsidR="00E91309" w:rsidRPr="008B4685">
        <w:rPr>
          <w:rFonts w:ascii="Courier New" w:hAnsi="Courier New" w:cs="Courier New"/>
          <w:color w:val="000000"/>
        </w:rPr>
        <w:t xml:space="preserve">existe un grave déficit de profesionales y falta de medicamentos en los penales. </w:t>
      </w:r>
      <w:r w:rsidR="00B62636" w:rsidRPr="008B4685">
        <w:rPr>
          <w:rFonts w:ascii="Courier New" w:hAnsi="Courier New" w:cs="Courier New"/>
          <w:color w:val="000000"/>
        </w:rPr>
        <w:t xml:space="preserve">En esta materia, el estudio citado concluye que: “En lo que respecta a la dotación de profesionales y funcionarios/as para la atención de salud, existen establecimientos en que no hay personal para estos efectos (CDP </w:t>
      </w:r>
      <w:proofErr w:type="spellStart"/>
      <w:r w:rsidR="00B62636" w:rsidRPr="008B4685">
        <w:rPr>
          <w:rFonts w:ascii="Courier New" w:hAnsi="Courier New" w:cs="Courier New"/>
          <w:color w:val="000000"/>
        </w:rPr>
        <w:t>Combarbalá</w:t>
      </w:r>
      <w:proofErr w:type="spellEnd"/>
      <w:r w:rsidR="00B62636" w:rsidRPr="008B4685">
        <w:rPr>
          <w:rFonts w:ascii="Courier New" w:hAnsi="Courier New" w:cs="Courier New"/>
          <w:color w:val="000000"/>
        </w:rPr>
        <w:t xml:space="preserve">, CP Isla de Pascua, CCP Collipulli, CCP Molina y CDP </w:t>
      </w:r>
      <w:proofErr w:type="spellStart"/>
      <w:r w:rsidR="00B62636" w:rsidRPr="008B4685">
        <w:rPr>
          <w:rFonts w:ascii="Courier New" w:hAnsi="Courier New" w:cs="Courier New"/>
          <w:color w:val="000000"/>
        </w:rPr>
        <w:t>Mulchén</w:t>
      </w:r>
      <w:proofErr w:type="spellEnd"/>
      <w:r w:rsidR="00B62636" w:rsidRPr="008B4685">
        <w:rPr>
          <w:rFonts w:ascii="Courier New" w:hAnsi="Courier New" w:cs="Courier New"/>
          <w:color w:val="000000"/>
        </w:rPr>
        <w:t xml:space="preserve">, para el año 2017). Los que tienen profesionales tienen al menos un/a paramédico/a y hay en las 40 unidades siete médicos el año 2016 y seis el 2017. También la relación de cantidad de personal de salud por el número de personas privadas de libertad es muy dispar entre las unidades recorridas y van desde un profesional para </w:t>
      </w:r>
      <w:r w:rsidR="00B62636" w:rsidRPr="008B4685">
        <w:rPr>
          <w:rFonts w:ascii="Courier New" w:hAnsi="Courier New" w:cs="Courier New"/>
          <w:color w:val="000000"/>
        </w:rPr>
        <w:lastRenderedPageBreak/>
        <w:t>aproximadamente 200 personas y otras que tienen un profesional cada 4 ó 6 internos/as”</w:t>
      </w:r>
      <w:r w:rsidR="00DD6A6E">
        <w:rPr>
          <w:rStyle w:val="Refdenotaalpie"/>
          <w:rFonts w:ascii="Courier New" w:hAnsi="Courier New" w:cs="Courier New"/>
          <w:color w:val="000000"/>
        </w:rPr>
        <w:footnoteReference w:id="5"/>
      </w:r>
      <w:r w:rsidR="00A432E4">
        <w:rPr>
          <w:rFonts w:ascii="Courier New" w:hAnsi="Courier New" w:cs="Courier New"/>
          <w:color w:val="000000"/>
        </w:rPr>
        <w:t>.</w:t>
      </w:r>
    </w:p>
    <w:p w:rsidR="00A432E4" w:rsidRPr="008B4685" w:rsidRDefault="00A432E4" w:rsidP="00A432E4">
      <w:pPr>
        <w:spacing w:line="360" w:lineRule="auto"/>
        <w:ind w:left="360"/>
        <w:jc w:val="both"/>
        <w:rPr>
          <w:rFonts w:ascii="Courier New" w:hAnsi="Courier New" w:cs="Courier New"/>
          <w:color w:val="000000"/>
        </w:rPr>
      </w:pPr>
      <w:r w:rsidRPr="00001FC3">
        <w:rPr>
          <w:rFonts w:ascii="Courier New" w:hAnsi="Courier New" w:cs="Courier New"/>
          <w:color w:val="000000"/>
        </w:rPr>
        <w:t>En enero del 2019, la población penal</w:t>
      </w:r>
      <w:r w:rsidR="00BF45BB">
        <w:rPr>
          <w:rFonts w:ascii="Courier New" w:hAnsi="Courier New" w:cs="Courier New"/>
          <w:color w:val="000000"/>
        </w:rPr>
        <w:t xml:space="preserve"> de nuestro país</w:t>
      </w:r>
      <w:r w:rsidRPr="00001FC3">
        <w:rPr>
          <w:rFonts w:ascii="Courier New" w:hAnsi="Courier New" w:cs="Courier New"/>
          <w:color w:val="000000"/>
        </w:rPr>
        <w:t xml:space="preserve"> era de 123.928 personas, de las cuales 40.480 se encontraban en régimen cerrado. Del total del subsistema cerrado, un 29% de la población estaba en régimen cerrado (población 24 horas); 0,5% en régimen </w:t>
      </w:r>
      <w:proofErr w:type="spellStart"/>
      <w:r w:rsidRPr="00001FC3">
        <w:rPr>
          <w:rFonts w:ascii="Courier New" w:hAnsi="Courier New" w:cs="Courier New"/>
          <w:color w:val="000000"/>
        </w:rPr>
        <w:t>semiabierto</w:t>
      </w:r>
      <w:proofErr w:type="spellEnd"/>
      <w:r w:rsidRPr="00001FC3">
        <w:rPr>
          <w:rFonts w:ascii="Courier New" w:hAnsi="Courier New" w:cs="Courier New"/>
          <w:color w:val="000000"/>
        </w:rPr>
        <w:t xml:space="preserve"> (condenados en CET); y un 6,2% de la población en régimen abierto (Permisos de Salida Controlada al Medio Libre, Apremios y Libertad Condicional)</w:t>
      </w:r>
      <w:r>
        <w:rPr>
          <w:rStyle w:val="Refdenotaalpie"/>
          <w:rFonts w:ascii="Courier New" w:hAnsi="Courier New" w:cs="Courier New"/>
          <w:color w:val="000000"/>
        </w:rPr>
        <w:footnoteReference w:id="6"/>
      </w:r>
      <w:r>
        <w:rPr>
          <w:rFonts w:ascii="Courier New" w:hAnsi="Courier New" w:cs="Courier New"/>
          <w:color w:val="000000"/>
        </w:rPr>
        <w:t>.</w:t>
      </w:r>
    </w:p>
    <w:p w:rsidR="000726C8" w:rsidRPr="008B4685" w:rsidRDefault="00821100" w:rsidP="00DA6379">
      <w:pPr>
        <w:spacing w:line="360" w:lineRule="auto"/>
        <w:ind w:left="360"/>
        <w:jc w:val="both"/>
        <w:rPr>
          <w:rFonts w:ascii="Courier New" w:hAnsi="Courier New" w:cs="Courier New"/>
          <w:color w:val="000000"/>
        </w:rPr>
      </w:pPr>
      <w:r w:rsidRPr="008B4685">
        <w:rPr>
          <w:rFonts w:ascii="Courier New" w:hAnsi="Courier New" w:cs="Courier New"/>
          <w:color w:val="000000"/>
        </w:rPr>
        <w:t>U</w:t>
      </w:r>
      <w:r w:rsidR="000726C8" w:rsidRPr="008B4685">
        <w:rPr>
          <w:rFonts w:ascii="Courier New" w:hAnsi="Courier New" w:cs="Courier New"/>
          <w:color w:val="000000"/>
        </w:rPr>
        <w:t>n 34% de la población penal que se encuentra</w:t>
      </w:r>
      <w:r w:rsidR="00BF45BB">
        <w:rPr>
          <w:rFonts w:ascii="Courier New" w:hAnsi="Courier New" w:cs="Courier New"/>
          <w:color w:val="000000"/>
        </w:rPr>
        <w:t xml:space="preserve"> </w:t>
      </w:r>
      <w:r w:rsidR="000726C8" w:rsidRPr="008B4685">
        <w:rPr>
          <w:rFonts w:ascii="Courier New" w:hAnsi="Courier New" w:cs="Courier New"/>
          <w:color w:val="000000"/>
        </w:rPr>
        <w:t>en régimen cerrado, corresponde a personas privadas de libertad por la aplicación de la medida cautelar de pr</w:t>
      </w:r>
      <w:r w:rsidR="00BF45BB">
        <w:rPr>
          <w:rFonts w:ascii="Courier New" w:hAnsi="Courier New" w:cs="Courier New"/>
          <w:color w:val="000000"/>
        </w:rPr>
        <w:t>i</w:t>
      </w:r>
      <w:r w:rsidR="000726C8" w:rsidRPr="008B4685">
        <w:rPr>
          <w:rFonts w:ascii="Courier New" w:hAnsi="Courier New" w:cs="Courier New"/>
          <w:color w:val="000000"/>
        </w:rPr>
        <w:t>sión preventiva consagrada en los artículos 140 y siguientes del Código Procesal Penal.</w:t>
      </w:r>
    </w:p>
    <w:p w:rsidR="00BF45BB" w:rsidRDefault="00BC6BAD" w:rsidP="00E91309">
      <w:pPr>
        <w:spacing w:line="360" w:lineRule="auto"/>
        <w:ind w:left="360"/>
        <w:jc w:val="both"/>
        <w:rPr>
          <w:rFonts w:ascii="Courier New" w:hAnsi="Courier New" w:cs="Courier New"/>
          <w:color w:val="000000"/>
        </w:rPr>
      </w:pPr>
      <w:r w:rsidRPr="008B4685">
        <w:rPr>
          <w:rFonts w:ascii="Courier New" w:hAnsi="Courier New" w:cs="Courier New"/>
          <w:color w:val="000000"/>
        </w:rPr>
        <w:t xml:space="preserve">Estas personas no han sido condenadas, por lo que gozan del principio de presunción de inocencia, que es un elemento esencial de nuestro sistema penal, reconocido en nuestro ordenamiento jurídico y en los tratados internacionales suscritos por nuestro país. </w:t>
      </w:r>
    </w:p>
    <w:p w:rsidR="00E91309" w:rsidRDefault="00BC6BAD" w:rsidP="00E91309">
      <w:pPr>
        <w:spacing w:line="360" w:lineRule="auto"/>
        <w:ind w:left="360"/>
        <w:jc w:val="both"/>
        <w:rPr>
          <w:rFonts w:ascii="Courier New" w:hAnsi="Courier New" w:cs="Courier New"/>
          <w:color w:val="000000"/>
        </w:rPr>
      </w:pPr>
      <w:r w:rsidRPr="008B4685">
        <w:rPr>
          <w:rFonts w:ascii="Courier New" w:hAnsi="Courier New" w:cs="Courier New"/>
          <w:color w:val="000000"/>
        </w:rPr>
        <w:t>A su vez, cabe señalar que muchas de las personas que se encuentran en prisión preventiva, de resultar condenadas,</w:t>
      </w:r>
      <w:r w:rsidR="00821100" w:rsidRPr="008B4685">
        <w:rPr>
          <w:rFonts w:ascii="Courier New" w:hAnsi="Courier New" w:cs="Courier New"/>
          <w:color w:val="000000"/>
        </w:rPr>
        <w:t xml:space="preserve"> podrán </w:t>
      </w:r>
      <w:r w:rsidRPr="008B4685">
        <w:rPr>
          <w:rFonts w:ascii="Courier New" w:hAnsi="Courier New" w:cs="Courier New"/>
          <w:color w:val="000000"/>
        </w:rPr>
        <w:t xml:space="preserve">cumplir su pena en libertad, por aplicación de alguna de las medidas alternativas de cumplimiento de las penas. </w:t>
      </w:r>
    </w:p>
    <w:p w:rsidR="00004CB4" w:rsidRDefault="00004CB4" w:rsidP="00E91309">
      <w:pPr>
        <w:spacing w:line="360" w:lineRule="auto"/>
        <w:ind w:left="360"/>
        <w:jc w:val="both"/>
        <w:rPr>
          <w:rFonts w:ascii="Courier New" w:hAnsi="Courier New" w:cs="Courier New"/>
          <w:color w:val="000000"/>
        </w:rPr>
      </w:pPr>
      <w:r>
        <w:rPr>
          <w:rFonts w:ascii="Courier New" w:hAnsi="Courier New" w:cs="Courier New"/>
          <w:color w:val="000000"/>
        </w:rPr>
        <w:t xml:space="preserve">La situación sanitaria que afecta a nuestro país debido al brote de </w:t>
      </w:r>
      <w:proofErr w:type="spellStart"/>
      <w:r>
        <w:rPr>
          <w:rFonts w:ascii="Courier New" w:hAnsi="Courier New" w:cs="Courier New"/>
          <w:color w:val="000000"/>
        </w:rPr>
        <w:t>Covid</w:t>
      </w:r>
      <w:proofErr w:type="spellEnd"/>
      <w:r>
        <w:rPr>
          <w:rFonts w:ascii="Courier New" w:hAnsi="Courier New" w:cs="Courier New"/>
          <w:color w:val="000000"/>
        </w:rPr>
        <w:t xml:space="preserve"> 19, calificado como una pandemia por la Organización Mundial de la Salud, el pasado 11 de marzo, </w:t>
      </w:r>
      <w:r w:rsidR="003249A2">
        <w:rPr>
          <w:rFonts w:ascii="Courier New" w:hAnsi="Courier New" w:cs="Courier New"/>
          <w:color w:val="000000"/>
        </w:rPr>
        <w:t xml:space="preserve">nos ha obligado a tomar drásticas medidas para detener la propagación del virus. La mayor parte de estas medidas, dicen relación con la distancia social y con altas exigencias de higiene, que son prácticamente </w:t>
      </w:r>
      <w:r w:rsidR="003249A2">
        <w:rPr>
          <w:rFonts w:ascii="Courier New" w:hAnsi="Courier New" w:cs="Courier New"/>
          <w:color w:val="000000"/>
        </w:rPr>
        <w:lastRenderedPageBreak/>
        <w:t xml:space="preserve">imposibles de cumplir en los recintos penitenciarios principalmente por las condiciones de sobrepoblación y hacinamiento en que se encuentran los internos e internas. </w:t>
      </w:r>
    </w:p>
    <w:p w:rsidR="003249A2" w:rsidRDefault="003249A2" w:rsidP="00E91309">
      <w:pPr>
        <w:spacing w:line="360" w:lineRule="auto"/>
        <w:ind w:left="360"/>
        <w:jc w:val="both"/>
        <w:rPr>
          <w:rFonts w:ascii="Courier New" w:hAnsi="Courier New" w:cs="Courier New"/>
          <w:color w:val="000000"/>
        </w:rPr>
      </w:pPr>
      <w:r>
        <w:rPr>
          <w:rFonts w:ascii="Courier New" w:hAnsi="Courier New" w:cs="Courier New"/>
          <w:color w:val="000000"/>
        </w:rPr>
        <w:t xml:space="preserve">Además, en nuestras cárceles existen circunstancias adicionales que deben tenerse en consideración al momento de adoptar medidas para proteger la salud de la población penal, tales como la alta prevalencia de tuberculosis, las deficientes condiciones de habitabilidad, debido al exceso de humedad, falta de ventilación y calefacción. </w:t>
      </w:r>
    </w:p>
    <w:p w:rsidR="003249A2" w:rsidRDefault="003249A2" w:rsidP="00E91309">
      <w:pPr>
        <w:spacing w:line="360" w:lineRule="auto"/>
        <w:ind w:left="360"/>
        <w:jc w:val="both"/>
        <w:rPr>
          <w:rFonts w:ascii="Courier New" w:hAnsi="Courier New" w:cs="Courier New"/>
          <w:color w:val="000000"/>
          <w:lang w:val="es-ES_tradnl"/>
        </w:rPr>
      </w:pPr>
      <w:r>
        <w:rPr>
          <w:rFonts w:ascii="Courier New" w:hAnsi="Courier New" w:cs="Courier New"/>
          <w:color w:val="000000"/>
        </w:rPr>
        <w:t xml:space="preserve">Así, en el mismo sentido del proyecto iniciado por Mensaje </w:t>
      </w:r>
      <w:r w:rsidR="006929F2" w:rsidRPr="006929F2">
        <w:rPr>
          <w:rFonts w:ascii="Courier New" w:hAnsi="Courier New" w:cs="Courier New"/>
          <w:color w:val="000000"/>
          <w:lang w:val="es-ES_tradnl"/>
        </w:rPr>
        <w:t xml:space="preserve">en mensaje de S. E. el Presidente de la República, que concede indulto general </w:t>
      </w:r>
      <w:r w:rsidR="006929F2" w:rsidRPr="00CE7BE9">
        <w:rPr>
          <w:rFonts w:ascii="Courier New" w:hAnsi="Courier New" w:cs="Courier New"/>
          <w:color w:val="000000"/>
          <w:lang w:val="es-ES_tradnl"/>
        </w:rPr>
        <w:t xml:space="preserve">conmutativo a causa de la enfermedad Covid-19 en Chile, Boletín 13.358-07, estimamos que es imperioso, reducir la cantidad de personas privadas de libertad, con el objeto </w:t>
      </w:r>
      <w:r w:rsidR="00365AE9" w:rsidRPr="00CE7BE9">
        <w:rPr>
          <w:rFonts w:ascii="Courier New" w:hAnsi="Courier New" w:cs="Courier New"/>
          <w:color w:val="000000"/>
          <w:lang w:val="es-ES_tradnl"/>
        </w:rPr>
        <w:t xml:space="preserve">de </w:t>
      </w:r>
      <w:r w:rsidR="006929F2" w:rsidRPr="00CE7BE9">
        <w:rPr>
          <w:rFonts w:ascii="Courier New" w:hAnsi="Courier New" w:cs="Courier New"/>
          <w:color w:val="000000"/>
          <w:lang w:val="es-ES_tradnl"/>
        </w:rPr>
        <w:t>disminuir el riesgo de contagio</w:t>
      </w:r>
      <w:r w:rsidR="00351AFD" w:rsidRPr="00CE7BE9">
        <w:rPr>
          <w:rFonts w:ascii="Courier New" w:hAnsi="Courier New" w:cs="Courier New"/>
          <w:color w:val="000000"/>
          <w:lang w:val="es-ES_tradnl"/>
        </w:rPr>
        <w:t>.</w:t>
      </w:r>
      <w:r w:rsidR="00351AFD">
        <w:rPr>
          <w:rFonts w:ascii="Courier New" w:hAnsi="Courier New" w:cs="Courier New"/>
          <w:color w:val="000000"/>
          <w:lang w:val="es-ES_tradnl"/>
        </w:rPr>
        <w:t xml:space="preserve"> </w:t>
      </w:r>
    </w:p>
    <w:p w:rsidR="00351AFD" w:rsidRDefault="00351AFD" w:rsidP="00E91309">
      <w:pPr>
        <w:spacing w:line="360" w:lineRule="auto"/>
        <w:ind w:left="360"/>
        <w:jc w:val="both"/>
        <w:rPr>
          <w:rFonts w:ascii="Courier New" w:hAnsi="Courier New" w:cs="Courier New"/>
          <w:color w:val="000000"/>
          <w:lang w:val="es-ES_tradnl"/>
        </w:rPr>
      </w:pPr>
      <w:r w:rsidRPr="00593C5D">
        <w:rPr>
          <w:rFonts w:ascii="Courier New" w:hAnsi="Courier New" w:cs="Courier New"/>
          <w:color w:val="000000"/>
          <w:lang w:val="es-ES_tradnl"/>
        </w:rPr>
        <w:t xml:space="preserve">Para este efecto, </w:t>
      </w:r>
      <w:r w:rsidR="00593C5D" w:rsidRPr="00593C5D">
        <w:rPr>
          <w:rFonts w:ascii="Courier New" w:hAnsi="Courier New" w:cs="Courier New"/>
          <w:color w:val="000000"/>
          <w:lang w:val="es-ES_tradnl"/>
        </w:rPr>
        <w:t xml:space="preserve">atendiendo a la </w:t>
      </w:r>
      <w:r w:rsidRPr="00593C5D">
        <w:rPr>
          <w:rFonts w:ascii="Courier New" w:hAnsi="Courier New" w:cs="Courier New"/>
          <w:color w:val="000000"/>
          <w:lang w:val="es-ES_tradnl"/>
        </w:rPr>
        <w:t xml:space="preserve">excepcionalidad </w:t>
      </w:r>
      <w:r w:rsidR="00593C5D" w:rsidRPr="00593C5D">
        <w:rPr>
          <w:rFonts w:ascii="Courier New" w:hAnsi="Courier New" w:cs="Courier New"/>
          <w:color w:val="000000"/>
          <w:lang w:val="es-ES_tradnl"/>
        </w:rPr>
        <w:t xml:space="preserve">que debe revestir </w:t>
      </w:r>
      <w:r w:rsidRPr="00593C5D">
        <w:rPr>
          <w:rFonts w:ascii="Courier New" w:hAnsi="Courier New" w:cs="Courier New"/>
          <w:color w:val="000000"/>
          <w:lang w:val="es-ES_tradnl"/>
        </w:rPr>
        <w:t>la prisión preventiva</w:t>
      </w:r>
      <w:r w:rsidR="00593C5D" w:rsidRPr="00593C5D">
        <w:rPr>
          <w:rFonts w:ascii="Courier New" w:hAnsi="Courier New" w:cs="Courier New"/>
          <w:color w:val="000000"/>
          <w:lang w:val="es-ES_tradnl"/>
        </w:rPr>
        <w:t>, el proyecto propone establecer un régimen especial para la aplicación de esta medida cautelar durante los estados de excepción constitucional de catástrofe</w:t>
      </w:r>
      <w:r w:rsidR="00593C5D">
        <w:rPr>
          <w:rFonts w:ascii="Courier New" w:hAnsi="Courier New" w:cs="Courier New"/>
          <w:color w:val="000000"/>
          <w:lang w:val="es-ES_tradnl"/>
        </w:rPr>
        <w:t xml:space="preserve">. </w:t>
      </w:r>
    </w:p>
    <w:p w:rsidR="00351AFD" w:rsidRDefault="00351AFD" w:rsidP="00E91309">
      <w:pPr>
        <w:spacing w:line="360" w:lineRule="auto"/>
        <w:ind w:left="360"/>
        <w:jc w:val="both"/>
        <w:rPr>
          <w:rFonts w:ascii="Courier New" w:hAnsi="Courier New" w:cs="Courier New"/>
          <w:color w:val="000000"/>
          <w:lang w:val="es-ES_tradnl"/>
        </w:rPr>
      </w:pPr>
    </w:p>
    <w:p w:rsidR="003D700A" w:rsidRDefault="003D700A">
      <w:pPr>
        <w:rPr>
          <w:rFonts w:ascii="Courier New" w:hAnsi="Courier New" w:cs="Courier New"/>
          <w:b/>
          <w:bCs/>
          <w:color w:val="000000"/>
        </w:rPr>
      </w:pPr>
      <w:r>
        <w:rPr>
          <w:rFonts w:ascii="Courier New" w:hAnsi="Courier New" w:cs="Courier New"/>
          <w:b/>
          <w:bCs/>
          <w:color w:val="000000"/>
        </w:rPr>
        <w:br w:type="page"/>
      </w:r>
    </w:p>
    <w:p w:rsidR="003D700A" w:rsidRDefault="003D700A" w:rsidP="00351AFD">
      <w:pPr>
        <w:spacing w:line="360" w:lineRule="auto"/>
        <w:jc w:val="center"/>
        <w:rPr>
          <w:rFonts w:ascii="Courier New" w:hAnsi="Courier New" w:cs="Courier New"/>
          <w:b/>
          <w:bCs/>
          <w:color w:val="000000"/>
        </w:rPr>
      </w:pPr>
    </w:p>
    <w:p w:rsidR="00351AFD" w:rsidRDefault="008B4685" w:rsidP="00351AFD">
      <w:pPr>
        <w:spacing w:line="360" w:lineRule="auto"/>
        <w:jc w:val="center"/>
        <w:rPr>
          <w:rFonts w:ascii="Courier New" w:hAnsi="Courier New" w:cs="Courier New"/>
          <w:b/>
          <w:bCs/>
          <w:color w:val="000000"/>
        </w:rPr>
      </w:pPr>
      <w:r w:rsidRPr="00004CB4">
        <w:rPr>
          <w:rFonts w:ascii="Courier New" w:hAnsi="Courier New" w:cs="Courier New"/>
          <w:b/>
          <w:bCs/>
          <w:color w:val="000000"/>
        </w:rPr>
        <w:t>PROYECTO DE LEY</w:t>
      </w:r>
    </w:p>
    <w:p w:rsidR="00AE683C" w:rsidRPr="00351AFD" w:rsidRDefault="00F27D8C" w:rsidP="00351AFD">
      <w:pPr>
        <w:spacing w:line="360" w:lineRule="auto"/>
        <w:ind w:left="360"/>
        <w:jc w:val="both"/>
        <w:rPr>
          <w:rFonts w:ascii="Courier New" w:hAnsi="Courier New" w:cs="Courier New"/>
          <w:b/>
          <w:bCs/>
          <w:color w:val="000000"/>
        </w:rPr>
      </w:pPr>
      <w:proofErr w:type="spellStart"/>
      <w:r w:rsidRPr="008B4685">
        <w:rPr>
          <w:rFonts w:ascii="Courier New" w:hAnsi="Courier New" w:cs="Courier New"/>
          <w:b/>
          <w:bCs/>
          <w:color w:val="000000"/>
        </w:rPr>
        <w:t>Articulo</w:t>
      </w:r>
      <w:proofErr w:type="spellEnd"/>
      <w:r w:rsidRPr="008B4685">
        <w:rPr>
          <w:rFonts w:ascii="Courier New" w:hAnsi="Courier New" w:cs="Courier New"/>
          <w:b/>
          <w:bCs/>
          <w:color w:val="000000"/>
        </w:rPr>
        <w:t xml:space="preserve"> único:</w:t>
      </w:r>
      <w:r w:rsidRPr="008B4685">
        <w:rPr>
          <w:rFonts w:ascii="Courier New" w:hAnsi="Courier New" w:cs="Courier New"/>
          <w:color w:val="000000"/>
        </w:rPr>
        <w:t xml:space="preserve"> </w:t>
      </w:r>
      <w:r w:rsidR="00AE683C" w:rsidRPr="008B4685">
        <w:rPr>
          <w:rFonts w:ascii="Courier New" w:hAnsi="Courier New" w:cs="Courier New"/>
          <w:color w:val="000000"/>
        </w:rPr>
        <w:t>Introdúzcanse las siguientes modificaciones al Código Procesal Penal:</w:t>
      </w:r>
    </w:p>
    <w:p w:rsidR="00AE683C" w:rsidRPr="008B4685" w:rsidRDefault="00AE683C" w:rsidP="00AE683C">
      <w:pPr>
        <w:pStyle w:val="Prrafodelista"/>
        <w:numPr>
          <w:ilvl w:val="0"/>
          <w:numId w:val="7"/>
        </w:numPr>
        <w:spacing w:line="360" w:lineRule="auto"/>
        <w:jc w:val="both"/>
        <w:rPr>
          <w:rFonts w:ascii="Courier New" w:hAnsi="Courier New" w:cs="Courier New"/>
          <w:color w:val="000000"/>
        </w:rPr>
      </w:pPr>
      <w:r w:rsidRPr="008B4685">
        <w:rPr>
          <w:rFonts w:ascii="Courier New" w:hAnsi="Courier New" w:cs="Courier New"/>
          <w:color w:val="000000"/>
        </w:rPr>
        <w:t>Agregase un nuevo artículo 141 bis, del siguiente tenor:</w:t>
      </w:r>
    </w:p>
    <w:p w:rsidR="00AE683C" w:rsidRPr="008B4685" w:rsidRDefault="00AE683C" w:rsidP="00AE683C">
      <w:pPr>
        <w:pStyle w:val="Prrafodelista"/>
        <w:spacing w:line="360" w:lineRule="auto"/>
        <w:jc w:val="both"/>
        <w:rPr>
          <w:rFonts w:ascii="Courier New" w:hAnsi="Courier New" w:cs="Courier New"/>
          <w:color w:val="000000"/>
        </w:rPr>
      </w:pPr>
      <w:r w:rsidRPr="008B4685">
        <w:rPr>
          <w:rFonts w:ascii="Courier New" w:hAnsi="Courier New" w:cs="Courier New"/>
          <w:color w:val="000000"/>
        </w:rPr>
        <w:t>“</w:t>
      </w:r>
      <w:r w:rsidR="007E0B6A" w:rsidRPr="007E0B6A">
        <w:rPr>
          <w:rFonts w:ascii="Courier New" w:hAnsi="Courier New" w:cs="Courier New"/>
          <w:b/>
          <w:bCs/>
          <w:color w:val="000000"/>
        </w:rPr>
        <w:t>Artículo 141 bis. -</w:t>
      </w:r>
      <w:r w:rsidR="007E0B6A">
        <w:rPr>
          <w:rFonts w:ascii="Courier New" w:hAnsi="Courier New" w:cs="Courier New"/>
          <w:color w:val="000000"/>
        </w:rPr>
        <w:t xml:space="preserve"> </w:t>
      </w:r>
      <w:r w:rsidRPr="008B4685">
        <w:rPr>
          <w:rFonts w:ascii="Courier New" w:hAnsi="Courier New" w:cs="Courier New"/>
          <w:color w:val="000000"/>
        </w:rPr>
        <w:t xml:space="preserve">Improcedencia </w:t>
      </w:r>
      <w:r w:rsidR="00E95237">
        <w:rPr>
          <w:rFonts w:ascii="Courier New" w:hAnsi="Courier New" w:cs="Courier New"/>
          <w:color w:val="000000"/>
        </w:rPr>
        <w:t xml:space="preserve">excepcional </w:t>
      </w:r>
      <w:r w:rsidRPr="008B4685">
        <w:rPr>
          <w:rFonts w:ascii="Courier New" w:hAnsi="Courier New" w:cs="Courier New"/>
          <w:color w:val="000000"/>
        </w:rPr>
        <w:t xml:space="preserve">de la prisión preventiva. No se podrá ordenar la prisión preventiva, en los casos que se cumplan los siguientes requisitos copulativos: </w:t>
      </w:r>
    </w:p>
    <w:p w:rsidR="00AE683C" w:rsidRPr="008B4685" w:rsidRDefault="00AE683C" w:rsidP="00AE683C">
      <w:pPr>
        <w:pStyle w:val="Prrafodelista"/>
        <w:numPr>
          <w:ilvl w:val="0"/>
          <w:numId w:val="8"/>
        </w:numPr>
        <w:spacing w:line="360" w:lineRule="auto"/>
        <w:jc w:val="both"/>
        <w:rPr>
          <w:rFonts w:ascii="Courier New" w:hAnsi="Courier New" w:cs="Courier New"/>
          <w:color w:val="000000"/>
        </w:rPr>
      </w:pPr>
      <w:r w:rsidRPr="008B4685">
        <w:rPr>
          <w:rFonts w:ascii="Courier New" w:hAnsi="Courier New" w:cs="Courier New"/>
          <w:color w:val="000000"/>
        </w:rPr>
        <w:t>Que se encuentre vigente una declaración de estado de excepción constitucional</w:t>
      </w:r>
      <w:r w:rsidR="00593C5D">
        <w:rPr>
          <w:rFonts w:ascii="Courier New" w:hAnsi="Courier New" w:cs="Courier New"/>
          <w:color w:val="000000"/>
        </w:rPr>
        <w:t xml:space="preserve"> de catástrofe</w:t>
      </w:r>
      <w:r w:rsidRPr="008B4685">
        <w:rPr>
          <w:rFonts w:ascii="Courier New" w:hAnsi="Courier New" w:cs="Courier New"/>
          <w:color w:val="000000"/>
        </w:rPr>
        <w:t xml:space="preserve"> debido a una pandemia u otra circunstancia que ponga en riesgo la vida o salud de las personas privadas de libertad. </w:t>
      </w:r>
    </w:p>
    <w:p w:rsidR="00AE683C" w:rsidRDefault="00AE683C" w:rsidP="00AE683C">
      <w:pPr>
        <w:pStyle w:val="Prrafodelista"/>
        <w:numPr>
          <w:ilvl w:val="0"/>
          <w:numId w:val="8"/>
        </w:numPr>
        <w:spacing w:line="360" w:lineRule="auto"/>
        <w:jc w:val="both"/>
        <w:rPr>
          <w:rFonts w:ascii="Courier New" w:hAnsi="Courier New" w:cs="Courier New"/>
          <w:color w:val="000000"/>
        </w:rPr>
      </w:pPr>
      <w:r w:rsidRPr="008B4685">
        <w:rPr>
          <w:rFonts w:ascii="Courier New" w:hAnsi="Courier New" w:cs="Courier New"/>
          <w:color w:val="000000"/>
        </w:rPr>
        <w:t xml:space="preserve">Que el delito imputado tenga asignada una pena igual o inferior a presidio menor en su grado máximo.  </w:t>
      </w:r>
    </w:p>
    <w:p w:rsidR="005041D2" w:rsidRPr="005041D2" w:rsidRDefault="005041D2" w:rsidP="005041D2">
      <w:pPr>
        <w:pStyle w:val="Prrafodelista"/>
        <w:numPr>
          <w:ilvl w:val="0"/>
          <w:numId w:val="8"/>
        </w:numPr>
        <w:spacing w:line="360" w:lineRule="auto"/>
        <w:jc w:val="both"/>
        <w:rPr>
          <w:rFonts w:ascii="Courier New" w:hAnsi="Courier New" w:cs="Courier New"/>
          <w:color w:val="000000"/>
        </w:rPr>
      </w:pPr>
      <w:r>
        <w:rPr>
          <w:rFonts w:ascii="Courier New" w:hAnsi="Courier New" w:cs="Courier New"/>
          <w:color w:val="000000"/>
        </w:rPr>
        <w:t xml:space="preserve">Que el delito imputado no se trate de los previstos en los </w:t>
      </w:r>
      <w:r w:rsidRPr="005041D2">
        <w:rPr>
          <w:rFonts w:ascii="Courier New" w:hAnsi="Courier New" w:cs="Courier New"/>
          <w:color w:val="000000"/>
        </w:rPr>
        <w:t>artículos 150 A o en el Párrafo 6, del Título VII del Libro II</w:t>
      </w:r>
      <w:r w:rsidR="002F2008">
        <w:rPr>
          <w:rFonts w:ascii="Courier New" w:hAnsi="Courier New" w:cs="Courier New"/>
          <w:color w:val="000000"/>
        </w:rPr>
        <w:t xml:space="preserve"> del Código Penal</w:t>
      </w:r>
      <w:r w:rsidR="00CE7BE9">
        <w:rPr>
          <w:rFonts w:ascii="Courier New" w:hAnsi="Courier New" w:cs="Courier New"/>
          <w:color w:val="000000"/>
        </w:rPr>
        <w:t>.</w:t>
      </w:r>
      <w:r w:rsidR="00933F63">
        <w:rPr>
          <w:rFonts w:ascii="Courier New" w:hAnsi="Courier New" w:cs="Courier New"/>
          <w:color w:val="000000"/>
        </w:rPr>
        <w:t xml:space="preserve"> </w:t>
      </w:r>
    </w:p>
    <w:p w:rsidR="00AE683C" w:rsidRPr="008B4685" w:rsidRDefault="00AE683C" w:rsidP="00AE683C">
      <w:pPr>
        <w:pStyle w:val="Prrafodelista"/>
        <w:numPr>
          <w:ilvl w:val="0"/>
          <w:numId w:val="8"/>
        </w:numPr>
        <w:spacing w:line="360" w:lineRule="auto"/>
        <w:jc w:val="both"/>
        <w:rPr>
          <w:rFonts w:ascii="Courier New" w:hAnsi="Courier New" w:cs="Courier New"/>
          <w:color w:val="000000"/>
        </w:rPr>
      </w:pPr>
      <w:r w:rsidRPr="008B4685">
        <w:rPr>
          <w:rFonts w:ascii="Courier New" w:hAnsi="Courier New" w:cs="Courier New"/>
          <w:color w:val="000000"/>
        </w:rPr>
        <w:t xml:space="preserve">Que el imputado no haya sido condenado con anterioridad por un crimen o simple delito. </w:t>
      </w:r>
    </w:p>
    <w:p w:rsidR="00177B75" w:rsidRPr="008B4685" w:rsidRDefault="00177B75" w:rsidP="00177B75">
      <w:pPr>
        <w:pStyle w:val="Prrafodelista"/>
        <w:spacing w:line="360" w:lineRule="auto"/>
        <w:ind w:left="1440"/>
        <w:jc w:val="both"/>
        <w:rPr>
          <w:rFonts w:ascii="Courier New" w:hAnsi="Courier New" w:cs="Courier New"/>
          <w:color w:val="000000"/>
        </w:rPr>
      </w:pPr>
    </w:p>
    <w:p w:rsidR="00AE683C" w:rsidRPr="008B4685" w:rsidRDefault="00AE683C" w:rsidP="00FB78D5">
      <w:pPr>
        <w:pStyle w:val="Prrafodelista"/>
        <w:numPr>
          <w:ilvl w:val="0"/>
          <w:numId w:val="7"/>
        </w:numPr>
        <w:spacing w:line="360" w:lineRule="auto"/>
        <w:jc w:val="both"/>
        <w:rPr>
          <w:rFonts w:ascii="Courier New" w:hAnsi="Courier New" w:cs="Courier New"/>
          <w:color w:val="000000"/>
        </w:rPr>
      </w:pPr>
      <w:r w:rsidRPr="008B4685">
        <w:rPr>
          <w:rFonts w:ascii="Courier New" w:hAnsi="Courier New" w:cs="Courier New"/>
          <w:color w:val="000000"/>
        </w:rPr>
        <w:t>Agregase un nuevo artículo 141 ter, del siguiente tenor:</w:t>
      </w:r>
    </w:p>
    <w:p w:rsidR="00F004C0" w:rsidRPr="008B4685" w:rsidRDefault="00AE683C" w:rsidP="00AE683C">
      <w:pPr>
        <w:pStyle w:val="Prrafodelista"/>
        <w:spacing w:line="360" w:lineRule="auto"/>
        <w:jc w:val="both"/>
        <w:rPr>
          <w:rFonts w:ascii="Courier New" w:hAnsi="Courier New" w:cs="Courier New"/>
          <w:color w:val="000000"/>
        </w:rPr>
      </w:pPr>
      <w:r w:rsidRPr="008B4685">
        <w:rPr>
          <w:rFonts w:ascii="Courier New" w:hAnsi="Courier New" w:cs="Courier New"/>
          <w:color w:val="000000"/>
        </w:rPr>
        <w:t>“</w:t>
      </w:r>
      <w:r w:rsidR="007E0B6A" w:rsidRPr="007E0B6A">
        <w:rPr>
          <w:rFonts w:ascii="Courier New" w:hAnsi="Courier New" w:cs="Courier New"/>
          <w:b/>
          <w:bCs/>
          <w:color w:val="000000"/>
        </w:rPr>
        <w:t>Artículo 141 ter. -</w:t>
      </w:r>
      <w:r w:rsidR="007E0B6A">
        <w:rPr>
          <w:rFonts w:ascii="Courier New" w:hAnsi="Courier New" w:cs="Courier New"/>
          <w:color w:val="000000"/>
        </w:rPr>
        <w:t xml:space="preserve"> </w:t>
      </w:r>
      <w:r w:rsidRPr="008B4685">
        <w:rPr>
          <w:rFonts w:ascii="Courier New" w:hAnsi="Courier New" w:cs="Courier New"/>
          <w:color w:val="000000"/>
        </w:rPr>
        <w:t xml:space="preserve">Sustitución </w:t>
      </w:r>
      <w:r w:rsidR="00BD05DE" w:rsidRPr="008B4685">
        <w:rPr>
          <w:rFonts w:ascii="Courier New" w:hAnsi="Courier New" w:cs="Courier New"/>
          <w:color w:val="000000"/>
        </w:rPr>
        <w:t xml:space="preserve">excepcional de la prisión preventiva. </w:t>
      </w:r>
      <w:r w:rsidR="00F004C0" w:rsidRPr="008B4685">
        <w:rPr>
          <w:rFonts w:ascii="Courier New" w:hAnsi="Courier New" w:cs="Courier New"/>
          <w:color w:val="000000"/>
        </w:rPr>
        <w:t xml:space="preserve">El tribunal, de oficio, o a petición de cualquiera de los intervinientes, decretará </w:t>
      </w:r>
      <w:r w:rsidR="00645309" w:rsidRPr="008B4685">
        <w:rPr>
          <w:rFonts w:ascii="Courier New" w:hAnsi="Courier New" w:cs="Courier New"/>
          <w:color w:val="000000"/>
        </w:rPr>
        <w:t xml:space="preserve">la sustitución de la medida cautelar de prisión preventiva por la de arresto domiciliario establecida en el artículo 155 letra a) del Código Procesal Penal, cuando concurran los siguientes requisitos: </w:t>
      </w:r>
    </w:p>
    <w:p w:rsidR="00BD05DE" w:rsidRPr="008B4685" w:rsidRDefault="001525AC" w:rsidP="00BD05DE">
      <w:pPr>
        <w:pStyle w:val="Prrafodelista"/>
        <w:numPr>
          <w:ilvl w:val="0"/>
          <w:numId w:val="9"/>
        </w:numPr>
        <w:spacing w:line="360" w:lineRule="auto"/>
        <w:jc w:val="both"/>
        <w:rPr>
          <w:rFonts w:ascii="Courier New" w:hAnsi="Courier New" w:cs="Courier New"/>
          <w:color w:val="000000"/>
        </w:rPr>
      </w:pPr>
      <w:r w:rsidRPr="008B4685">
        <w:rPr>
          <w:rFonts w:ascii="Courier New" w:hAnsi="Courier New" w:cs="Courier New"/>
          <w:color w:val="000000"/>
        </w:rPr>
        <w:t xml:space="preserve">Que se encuentre vigente una declaración de estado de excepción constitucional </w:t>
      </w:r>
      <w:r w:rsidR="00593C5D">
        <w:rPr>
          <w:rFonts w:ascii="Courier New" w:hAnsi="Courier New" w:cs="Courier New"/>
          <w:color w:val="000000"/>
        </w:rPr>
        <w:t xml:space="preserve">de catástrofe </w:t>
      </w:r>
      <w:r w:rsidRPr="008B4685">
        <w:rPr>
          <w:rFonts w:ascii="Courier New" w:hAnsi="Courier New" w:cs="Courier New"/>
          <w:color w:val="000000"/>
        </w:rPr>
        <w:t xml:space="preserve">por una pandemia u otra circunstancia que ponga en riesgo la vida o salud de las personas privadas de libertad. </w:t>
      </w:r>
    </w:p>
    <w:p w:rsidR="00BD05DE" w:rsidRDefault="00645309" w:rsidP="00BD05DE">
      <w:pPr>
        <w:pStyle w:val="Prrafodelista"/>
        <w:numPr>
          <w:ilvl w:val="0"/>
          <w:numId w:val="9"/>
        </w:numPr>
        <w:spacing w:line="360" w:lineRule="auto"/>
        <w:jc w:val="both"/>
        <w:rPr>
          <w:rFonts w:ascii="Courier New" w:hAnsi="Courier New" w:cs="Courier New"/>
          <w:color w:val="000000"/>
        </w:rPr>
      </w:pPr>
      <w:r w:rsidRPr="008B4685">
        <w:rPr>
          <w:rFonts w:ascii="Courier New" w:hAnsi="Courier New" w:cs="Courier New"/>
          <w:color w:val="000000"/>
        </w:rPr>
        <w:t xml:space="preserve">Que el delito imputado tenga asignada una pena igual o inferior a presidio menor en su grado </w:t>
      </w:r>
      <w:r w:rsidR="001525AC" w:rsidRPr="008B4685">
        <w:rPr>
          <w:rFonts w:ascii="Courier New" w:hAnsi="Courier New" w:cs="Courier New"/>
          <w:color w:val="000000"/>
        </w:rPr>
        <w:t>máxim</w:t>
      </w:r>
      <w:r w:rsidR="005041D2">
        <w:rPr>
          <w:rFonts w:ascii="Courier New" w:hAnsi="Courier New" w:cs="Courier New"/>
          <w:color w:val="000000"/>
        </w:rPr>
        <w:t>o.</w:t>
      </w:r>
    </w:p>
    <w:p w:rsidR="005041D2" w:rsidRPr="008B4685" w:rsidRDefault="005041D2" w:rsidP="00BD05DE">
      <w:pPr>
        <w:pStyle w:val="Prrafodelista"/>
        <w:numPr>
          <w:ilvl w:val="0"/>
          <w:numId w:val="9"/>
        </w:numPr>
        <w:spacing w:line="360" w:lineRule="auto"/>
        <w:jc w:val="both"/>
        <w:rPr>
          <w:rFonts w:ascii="Courier New" w:hAnsi="Courier New" w:cs="Courier New"/>
          <w:color w:val="000000"/>
        </w:rPr>
      </w:pPr>
      <w:r>
        <w:rPr>
          <w:rFonts w:ascii="Courier New" w:hAnsi="Courier New" w:cs="Courier New"/>
          <w:color w:val="000000"/>
        </w:rPr>
        <w:lastRenderedPageBreak/>
        <w:t xml:space="preserve">Que el delito imputado no se trate de los previstos en los </w:t>
      </w:r>
      <w:r w:rsidRPr="005041D2">
        <w:rPr>
          <w:rFonts w:ascii="Courier New" w:hAnsi="Courier New" w:cs="Courier New"/>
          <w:color w:val="000000"/>
        </w:rPr>
        <w:t>artículos 150 A o en el Párrafo 6, del Título VII del Libro II</w:t>
      </w:r>
      <w:r w:rsidR="002F2008">
        <w:rPr>
          <w:rFonts w:ascii="Courier New" w:hAnsi="Courier New" w:cs="Courier New"/>
          <w:color w:val="000000"/>
        </w:rPr>
        <w:t xml:space="preserve"> del Código Penal</w:t>
      </w:r>
      <w:r w:rsidR="00CE7BE9">
        <w:rPr>
          <w:rFonts w:ascii="Courier New" w:hAnsi="Courier New" w:cs="Courier New"/>
          <w:color w:val="000000"/>
        </w:rPr>
        <w:t>.</w:t>
      </w:r>
    </w:p>
    <w:p w:rsidR="001525AC" w:rsidRDefault="001525AC" w:rsidP="00BD05DE">
      <w:pPr>
        <w:pStyle w:val="Prrafodelista"/>
        <w:numPr>
          <w:ilvl w:val="0"/>
          <w:numId w:val="9"/>
        </w:numPr>
        <w:spacing w:line="360" w:lineRule="auto"/>
        <w:jc w:val="both"/>
        <w:rPr>
          <w:rFonts w:ascii="Courier New" w:hAnsi="Courier New" w:cs="Courier New"/>
          <w:color w:val="000000"/>
        </w:rPr>
      </w:pPr>
      <w:r w:rsidRPr="008B4685">
        <w:rPr>
          <w:rFonts w:ascii="Courier New" w:hAnsi="Courier New" w:cs="Courier New"/>
          <w:color w:val="000000"/>
        </w:rPr>
        <w:t xml:space="preserve">Que el imputado no haya sido condenado con anterioridad por un crimen o simple delito. </w:t>
      </w:r>
    </w:p>
    <w:p w:rsidR="00351AFD" w:rsidRPr="008B4685" w:rsidRDefault="00351AFD" w:rsidP="00351AFD">
      <w:pPr>
        <w:pStyle w:val="Prrafodelista"/>
        <w:spacing w:line="360" w:lineRule="auto"/>
        <w:ind w:left="1440"/>
        <w:jc w:val="both"/>
        <w:rPr>
          <w:rFonts w:ascii="Courier New" w:hAnsi="Courier New" w:cs="Courier New"/>
          <w:color w:val="000000"/>
        </w:rPr>
      </w:pPr>
    </w:p>
    <w:p w:rsidR="00F27D8C" w:rsidRPr="008B4685" w:rsidRDefault="00F27D8C" w:rsidP="008B4685">
      <w:pPr>
        <w:pStyle w:val="Prrafodelista"/>
        <w:spacing w:after="0" w:line="276" w:lineRule="auto"/>
        <w:ind w:left="1440"/>
        <w:rPr>
          <w:rFonts w:ascii="Courier New" w:hAnsi="Courier New" w:cs="Courier New"/>
          <w:color w:val="000000"/>
        </w:rPr>
      </w:pPr>
    </w:p>
    <w:p w:rsidR="00B942E5" w:rsidRDefault="00B942E5" w:rsidP="00FB78D5">
      <w:pPr>
        <w:spacing w:line="360" w:lineRule="auto"/>
        <w:jc w:val="both"/>
        <w:rPr>
          <w:rFonts w:ascii="Garamond" w:hAnsi="Garamond"/>
          <w:sz w:val="24"/>
          <w:szCs w:val="24"/>
        </w:rPr>
      </w:pPr>
    </w:p>
    <w:p w:rsidR="00B942E5" w:rsidRDefault="00B942E5" w:rsidP="00FB78D5">
      <w:pPr>
        <w:spacing w:line="360" w:lineRule="auto"/>
        <w:jc w:val="both"/>
        <w:rPr>
          <w:rFonts w:ascii="Garamond" w:hAnsi="Garamond"/>
          <w:sz w:val="24"/>
          <w:szCs w:val="24"/>
        </w:rPr>
      </w:pPr>
    </w:p>
    <w:p w:rsidR="00177B75" w:rsidRDefault="00177B75" w:rsidP="00FB78D5">
      <w:pPr>
        <w:spacing w:after="0" w:line="360" w:lineRule="auto"/>
        <w:jc w:val="center"/>
        <w:rPr>
          <w:rFonts w:ascii="Garamond" w:hAnsi="Garamond"/>
          <w:b/>
          <w:bCs/>
          <w:sz w:val="24"/>
          <w:szCs w:val="24"/>
        </w:rPr>
      </w:pPr>
    </w:p>
    <w:p w:rsidR="00177B75" w:rsidRDefault="00177B75" w:rsidP="00FB78D5">
      <w:pPr>
        <w:spacing w:after="0" w:line="360" w:lineRule="auto"/>
        <w:jc w:val="center"/>
        <w:rPr>
          <w:rFonts w:ascii="Garamond" w:hAnsi="Garamond"/>
          <w:b/>
          <w:bCs/>
          <w:sz w:val="24"/>
          <w:szCs w:val="24"/>
        </w:rPr>
      </w:pPr>
    </w:p>
    <w:p w:rsidR="00177B75" w:rsidRDefault="00177B75" w:rsidP="00FB78D5">
      <w:pPr>
        <w:spacing w:after="0" w:line="360" w:lineRule="auto"/>
        <w:jc w:val="center"/>
        <w:rPr>
          <w:rFonts w:ascii="Garamond" w:hAnsi="Garamond"/>
          <w:b/>
          <w:bCs/>
          <w:sz w:val="24"/>
          <w:szCs w:val="24"/>
        </w:rPr>
      </w:pPr>
    </w:p>
    <w:p w:rsidR="00177B75" w:rsidRDefault="00177B75" w:rsidP="00FB78D5">
      <w:pPr>
        <w:spacing w:after="0" w:line="360" w:lineRule="auto"/>
        <w:jc w:val="center"/>
        <w:rPr>
          <w:rFonts w:ascii="Garamond" w:hAnsi="Garamond"/>
          <w:b/>
          <w:bCs/>
          <w:sz w:val="24"/>
          <w:szCs w:val="24"/>
        </w:rPr>
      </w:pPr>
    </w:p>
    <w:p w:rsidR="00177B75" w:rsidRPr="008B4685" w:rsidRDefault="00177B75" w:rsidP="00FB78D5">
      <w:pPr>
        <w:spacing w:after="0" w:line="360" w:lineRule="auto"/>
        <w:jc w:val="center"/>
        <w:rPr>
          <w:rFonts w:ascii="Courier New" w:hAnsi="Courier New" w:cs="Courier New"/>
          <w:b/>
          <w:bCs/>
          <w:color w:val="000000"/>
        </w:rPr>
      </w:pPr>
    </w:p>
    <w:p w:rsidR="00B942E5" w:rsidRPr="008B4685" w:rsidRDefault="00B942E5" w:rsidP="00FB78D5">
      <w:pPr>
        <w:spacing w:after="0" w:line="360" w:lineRule="auto"/>
        <w:jc w:val="center"/>
        <w:rPr>
          <w:rFonts w:ascii="Courier New" w:hAnsi="Courier New" w:cs="Courier New"/>
          <w:b/>
          <w:bCs/>
          <w:color w:val="000000"/>
        </w:rPr>
      </w:pPr>
      <w:r w:rsidRPr="008B4685">
        <w:rPr>
          <w:rFonts w:ascii="Courier New" w:hAnsi="Courier New" w:cs="Courier New"/>
          <w:b/>
          <w:bCs/>
          <w:color w:val="000000"/>
        </w:rPr>
        <w:t>FÉLIX GONZÁLEZ GATICA</w:t>
      </w:r>
    </w:p>
    <w:p w:rsidR="00B942E5" w:rsidRPr="008B4685" w:rsidRDefault="00B942E5" w:rsidP="00FB78D5">
      <w:pPr>
        <w:spacing w:after="0" w:line="360" w:lineRule="auto"/>
        <w:jc w:val="center"/>
        <w:rPr>
          <w:rFonts w:ascii="Courier New" w:hAnsi="Courier New" w:cs="Courier New"/>
          <w:b/>
          <w:bCs/>
          <w:color w:val="000000"/>
        </w:rPr>
      </w:pPr>
      <w:r w:rsidRPr="008B4685">
        <w:rPr>
          <w:rFonts w:ascii="Courier New" w:hAnsi="Courier New" w:cs="Courier New"/>
          <w:b/>
          <w:bCs/>
          <w:color w:val="000000"/>
        </w:rPr>
        <w:t>H. DIPUTADO DE LA REPÚBLICA</w:t>
      </w:r>
    </w:p>
    <w:sectPr w:rsidR="00B942E5" w:rsidRPr="008B4685" w:rsidSect="003D700A">
      <w:headerReference w:type="default" r:id="rId9"/>
      <w:pgSz w:w="12242" w:h="16953"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13" w:rsidRDefault="00A32113" w:rsidP="00410274">
      <w:pPr>
        <w:spacing w:after="0" w:line="240" w:lineRule="auto"/>
      </w:pPr>
      <w:r>
        <w:separator/>
      </w:r>
    </w:p>
  </w:endnote>
  <w:endnote w:type="continuationSeparator" w:id="0">
    <w:p w:rsidR="00A32113" w:rsidRDefault="00A32113" w:rsidP="00410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13" w:rsidRDefault="00A32113" w:rsidP="00410274">
      <w:pPr>
        <w:spacing w:after="0" w:line="240" w:lineRule="auto"/>
      </w:pPr>
      <w:r>
        <w:separator/>
      </w:r>
    </w:p>
  </w:footnote>
  <w:footnote w:type="continuationSeparator" w:id="0">
    <w:p w:rsidR="00A32113" w:rsidRDefault="00A32113" w:rsidP="00410274">
      <w:pPr>
        <w:spacing w:after="0" w:line="240" w:lineRule="auto"/>
      </w:pPr>
      <w:r>
        <w:continuationSeparator/>
      </w:r>
    </w:p>
  </w:footnote>
  <w:footnote w:id="1">
    <w:p w:rsidR="00D02599" w:rsidRDefault="00D02599" w:rsidP="0025537A">
      <w:pPr>
        <w:pStyle w:val="Textonotapie"/>
        <w:jc w:val="both"/>
      </w:pPr>
      <w:r>
        <w:rPr>
          <w:rStyle w:val="Refdenotaalpie"/>
        </w:rPr>
        <w:footnoteRef/>
      </w:r>
      <w:r>
        <w:t xml:space="preserve"> </w:t>
      </w:r>
      <w:r w:rsidRPr="0025537A">
        <w:rPr>
          <w:rFonts w:ascii="Courier New" w:hAnsi="Courier New" w:cs="Courier New"/>
          <w:sz w:val="16"/>
          <w:szCs w:val="16"/>
        </w:rPr>
        <w:t>Comisión Interamericana de Derechos Humanos (2008). Principios y buenas prácticas sobre la protección de las personas privadas de libertad en las Américas. Resolución 01/08, 131° periodo ordinario de sesiones del 3 al 14 de marzo de 2008. Washington D.C.</w:t>
      </w:r>
      <w:r>
        <w:rPr>
          <w:rFonts w:ascii="Courier New" w:hAnsi="Courier New" w:cs="Courier New"/>
          <w:sz w:val="16"/>
          <w:szCs w:val="16"/>
        </w:rPr>
        <w:t xml:space="preserve"> Consultado en: </w:t>
      </w:r>
      <w:hyperlink r:id="rId1" w:history="1">
        <w:r w:rsidRPr="00CA078F">
          <w:rPr>
            <w:rStyle w:val="Hipervnculo"/>
            <w:rFonts w:ascii="Courier New" w:hAnsi="Courier New" w:cs="Courier New"/>
            <w:sz w:val="16"/>
            <w:szCs w:val="16"/>
          </w:rPr>
          <w:t>https://www.cidh.oas.org/pdf%20files/RESOLUCION%201-08%20ESP%20FINAL.pdf</w:t>
        </w:r>
      </w:hyperlink>
      <w:r>
        <w:rPr>
          <w:rFonts w:ascii="Courier New" w:hAnsi="Courier New" w:cs="Courier New"/>
          <w:sz w:val="16"/>
          <w:szCs w:val="16"/>
        </w:rPr>
        <w:t xml:space="preserve"> </w:t>
      </w:r>
    </w:p>
  </w:footnote>
  <w:footnote w:id="2">
    <w:p w:rsidR="00D02599" w:rsidRDefault="00D02599" w:rsidP="00001FC3">
      <w:pPr>
        <w:pStyle w:val="Textonotapie"/>
        <w:jc w:val="both"/>
        <w:rPr>
          <w:rFonts w:ascii="Courier New" w:hAnsi="Courier New" w:cs="Courier New"/>
          <w:sz w:val="16"/>
          <w:szCs w:val="16"/>
        </w:rPr>
      </w:pPr>
      <w:r>
        <w:rPr>
          <w:rStyle w:val="Refdenotaalpie"/>
        </w:rPr>
        <w:footnoteRef/>
      </w:r>
      <w:r>
        <w:t xml:space="preserve"> </w:t>
      </w:r>
      <w:r w:rsidRPr="00001FC3">
        <w:rPr>
          <w:rFonts w:ascii="Courier New" w:hAnsi="Courier New" w:cs="Courier New"/>
          <w:sz w:val="16"/>
          <w:szCs w:val="16"/>
        </w:rPr>
        <w:t>Instituto de Derechos Humanos (201</w:t>
      </w:r>
      <w:r>
        <w:rPr>
          <w:rFonts w:ascii="Courier New" w:hAnsi="Courier New" w:cs="Courier New"/>
          <w:sz w:val="16"/>
          <w:szCs w:val="16"/>
        </w:rPr>
        <w:t>8</w:t>
      </w:r>
      <w:r w:rsidRPr="00001FC3">
        <w:rPr>
          <w:rFonts w:ascii="Courier New" w:hAnsi="Courier New" w:cs="Courier New"/>
          <w:sz w:val="16"/>
          <w:szCs w:val="16"/>
        </w:rPr>
        <w:t>). Estudio de las Condiciones Carcelarias en Chile, Diagnóstico del cumplimiento de los estándares internacionales de derechos humanos sobre el derecho a la integridad personal 2016-2017. Santiago. Consultado en:</w:t>
      </w:r>
    </w:p>
    <w:p w:rsidR="00D02599" w:rsidRPr="00001FC3" w:rsidRDefault="005A3D76" w:rsidP="00001FC3">
      <w:pPr>
        <w:pStyle w:val="Textonotapie"/>
        <w:jc w:val="both"/>
        <w:rPr>
          <w:rFonts w:ascii="Courier New" w:hAnsi="Courier New" w:cs="Courier New"/>
          <w:sz w:val="16"/>
          <w:szCs w:val="16"/>
        </w:rPr>
      </w:pPr>
      <w:hyperlink r:id="rId2" w:history="1">
        <w:r w:rsidR="00D02599" w:rsidRPr="00CA078F">
          <w:rPr>
            <w:rStyle w:val="Hipervnculo"/>
            <w:rFonts w:ascii="Courier New" w:hAnsi="Courier New" w:cs="Courier New"/>
            <w:sz w:val="16"/>
            <w:szCs w:val="16"/>
          </w:rPr>
          <w:t>https://bibliotecadigital.indh.cl/bitstream/handle/123456789/1180/estudio-general-2016-2017.pdf?sequence=3</w:t>
        </w:r>
      </w:hyperlink>
      <w:r w:rsidR="00D02599">
        <w:t xml:space="preserve"> </w:t>
      </w:r>
    </w:p>
  </w:footnote>
  <w:footnote w:id="3">
    <w:p w:rsidR="00D02599" w:rsidRDefault="00D02599" w:rsidP="00DD6A6E">
      <w:pPr>
        <w:pStyle w:val="Textonotapie"/>
        <w:jc w:val="both"/>
        <w:rPr>
          <w:rFonts w:ascii="Courier New" w:hAnsi="Courier New" w:cs="Courier New"/>
          <w:color w:val="000000"/>
          <w:sz w:val="16"/>
          <w:szCs w:val="16"/>
        </w:rPr>
      </w:pPr>
      <w:r>
        <w:rPr>
          <w:rStyle w:val="Refdenotaalpie"/>
        </w:rPr>
        <w:footnoteRef/>
      </w:r>
      <w:r>
        <w:t xml:space="preserve"> </w:t>
      </w:r>
      <w:r w:rsidRPr="00DD6A6E">
        <w:rPr>
          <w:rFonts w:ascii="Courier New" w:hAnsi="Courier New" w:cs="Courier New"/>
          <w:color w:val="000000"/>
          <w:sz w:val="16"/>
          <w:szCs w:val="16"/>
        </w:rPr>
        <w:t xml:space="preserve">Asamblea General de las Naciones Unidas (2010). El derecho humano al agua y el saneamiento. Resolución 64/292, 64° periodo de sesiones, 108ª sesión plenaria 28 de julio de 2010. Consultado en: </w:t>
      </w:r>
    </w:p>
    <w:p w:rsidR="00D02599" w:rsidRDefault="005A3D76" w:rsidP="00DD6A6E">
      <w:pPr>
        <w:pStyle w:val="Textonotapie"/>
        <w:jc w:val="both"/>
      </w:pPr>
      <w:hyperlink r:id="rId3" w:history="1">
        <w:r w:rsidR="00D02599" w:rsidRPr="00CA078F">
          <w:rPr>
            <w:rStyle w:val="Hipervnculo"/>
            <w:rFonts w:ascii="Courier New" w:hAnsi="Courier New" w:cs="Courier New"/>
            <w:sz w:val="16"/>
            <w:szCs w:val="16"/>
          </w:rPr>
          <w:t>https://www.refworld.org/cgi-bin/texis/vtx/rwmain/opendocpdf.pdf?reldoc=y&amp;docid=4cc9270b2</w:t>
        </w:r>
      </w:hyperlink>
      <w:r w:rsidR="00D02599">
        <w:t xml:space="preserve"> </w:t>
      </w:r>
    </w:p>
  </w:footnote>
  <w:footnote w:id="4">
    <w:p w:rsidR="00D02599" w:rsidRDefault="00D02599" w:rsidP="00A432E4">
      <w:pPr>
        <w:pStyle w:val="Textonotapie"/>
        <w:jc w:val="both"/>
        <w:rPr>
          <w:rFonts w:ascii="Courier New" w:hAnsi="Courier New" w:cs="Courier New"/>
          <w:color w:val="000000"/>
          <w:sz w:val="16"/>
          <w:szCs w:val="16"/>
        </w:rPr>
      </w:pPr>
      <w:r>
        <w:rPr>
          <w:rStyle w:val="Refdenotaalpie"/>
        </w:rPr>
        <w:footnoteRef/>
      </w:r>
      <w:r>
        <w:t xml:space="preserve"> </w:t>
      </w:r>
      <w:r w:rsidRPr="008B4685">
        <w:rPr>
          <w:rFonts w:ascii="Courier New" w:hAnsi="Courier New" w:cs="Courier New"/>
          <w:color w:val="000000"/>
          <w:sz w:val="16"/>
          <w:szCs w:val="16"/>
        </w:rPr>
        <w:t>Centro de Derechos Humanos UDP (2015). Informe Anual sobre Derechos Humanos en Chile 2015. Consultado en:</w:t>
      </w:r>
    </w:p>
    <w:p w:rsidR="00D02599" w:rsidRDefault="005A3D76" w:rsidP="00A432E4">
      <w:pPr>
        <w:pStyle w:val="Textonotapie"/>
      </w:pPr>
      <w:hyperlink r:id="rId4" w:history="1">
        <w:r w:rsidR="00D02599" w:rsidRPr="001C2001">
          <w:rPr>
            <w:rStyle w:val="Hipervnculo"/>
            <w:rFonts w:ascii="Courier New" w:hAnsi="Courier New" w:cs="Courier New"/>
            <w:sz w:val="16"/>
            <w:szCs w:val="16"/>
          </w:rPr>
          <w:t>http://www.derechoshumanos.udp.cl/derechoshumanos/images/InformeAnual/2015/CAP%204%20PRIVACION%20DE%20LIBERTAD%20Y%20VULNERACION%20DDHH.pdf</w:t>
        </w:r>
      </w:hyperlink>
      <w:r w:rsidR="00D02599">
        <w:rPr>
          <w:rStyle w:val="Hipervnculo"/>
          <w:rFonts w:ascii="Courier New" w:hAnsi="Courier New" w:cs="Courier New"/>
          <w:sz w:val="16"/>
          <w:szCs w:val="16"/>
        </w:rPr>
        <w:t xml:space="preserve"> </w:t>
      </w:r>
    </w:p>
  </w:footnote>
  <w:footnote w:id="5">
    <w:p w:rsidR="00D02599" w:rsidRDefault="00D02599" w:rsidP="00DD6A6E">
      <w:pPr>
        <w:pStyle w:val="Textonotapie"/>
        <w:jc w:val="both"/>
        <w:rPr>
          <w:rFonts w:ascii="Courier New" w:hAnsi="Courier New" w:cs="Courier New"/>
          <w:sz w:val="16"/>
          <w:szCs w:val="16"/>
        </w:rPr>
      </w:pPr>
      <w:r>
        <w:rPr>
          <w:rStyle w:val="Refdenotaalpie"/>
        </w:rPr>
        <w:footnoteRef/>
      </w:r>
      <w:r>
        <w:t xml:space="preserve"> </w:t>
      </w:r>
      <w:r w:rsidRPr="00001FC3">
        <w:rPr>
          <w:rFonts w:ascii="Courier New" w:hAnsi="Courier New" w:cs="Courier New"/>
          <w:sz w:val="16"/>
          <w:szCs w:val="16"/>
        </w:rPr>
        <w:t>Instituto de Derechos Humanos (201</w:t>
      </w:r>
      <w:r>
        <w:rPr>
          <w:rFonts w:ascii="Courier New" w:hAnsi="Courier New" w:cs="Courier New"/>
          <w:sz w:val="16"/>
          <w:szCs w:val="16"/>
        </w:rPr>
        <w:t>8</w:t>
      </w:r>
      <w:r w:rsidRPr="00001FC3">
        <w:rPr>
          <w:rFonts w:ascii="Courier New" w:hAnsi="Courier New" w:cs="Courier New"/>
          <w:sz w:val="16"/>
          <w:szCs w:val="16"/>
        </w:rPr>
        <w:t>). Estudio de las Condiciones Carcelarias en Chile, Diagnóstico del cumplimiento de los estándares internacionales de derechos humanos sobre el derecho a la integridad personal 2016-2017. Santiago. Consultado en:</w:t>
      </w:r>
    </w:p>
    <w:p w:rsidR="00D02599" w:rsidRDefault="005A3D76" w:rsidP="00DD6A6E">
      <w:pPr>
        <w:pStyle w:val="Textonotapie"/>
      </w:pPr>
      <w:hyperlink r:id="rId5" w:history="1">
        <w:r w:rsidR="00D02599" w:rsidRPr="00CA078F">
          <w:rPr>
            <w:rStyle w:val="Hipervnculo"/>
            <w:rFonts w:ascii="Courier New" w:hAnsi="Courier New" w:cs="Courier New"/>
            <w:sz w:val="16"/>
            <w:szCs w:val="16"/>
          </w:rPr>
          <w:t>https://bibliotecadigital.indh.cl/bitstream/handle/123456789/1180/estudio-general-2016-2017.pdf?sequence=3</w:t>
        </w:r>
      </w:hyperlink>
    </w:p>
  </w:footnote>
  <w:footnote w:id="6">
    <w:p w:rsidR="00D02599" w:rsidRDefault="00D02599" w:rsidP="00A432E4">
      <w:pPr>
        <w:pStyle w:val="Textonotapie"/>
        <w:jc w:val="both"/>
        <w:rPr>
          <w:rFonts w:ascii="Courier New" w:hAnsi="Courier New" w:cs="Courier New"/>
          <w:sz w:val="16"/>
          <w:szCs w:val="16"/>
        </w:rPr>
      </w:pPr>
      <w:r>
        <w:rPr>
          <w:rStyle w:val="Refdenotaalpie"/>
        </w:rPr>
        <w:footnoteRef/>
      </w:r>
      <w:r>
        <w:t xml:space="preserve"> </w:t>
      </w:r>
      <w:r w:rsidRPr="00BF57BC">
        <w:rPr>
          <w:rFonts w:ascii="Courier New" w:hAnsi="Courier New" w:cs="Courier New"/>
          <w:sz w:val="16"/>
          <w:szCs w:val="16"/>
        </w:rPr>
        <w:t>Gendarmería de Chile (2019). Boletín Estadístico N°122</w:t>
      </w:r>
      <w:r>
        <w:rPr>
          <w:rFonts w:ascii="Courier New" w:hAnsi="Courier New" w:cs="Courier New"/>
          <w:sz w:val="16"/>
          <w:szCs w:val="16"/>
        </w:rPr>
        <w:t xml:space="preserve"> (año III)</w:t>
      </w:r>
      <w:r w:rsidRPr="00BF57BC">
        <w:rPr>
          <w:rFonts w:ascii="Courier New" w:hAnsi="Courier New" w:cs="Courier New"/>
          <w:sz w:val="16"/>
          <w:szCs w:val="16"/>
        </w:rPr>
        <w:t>. Consultado en:</w:t>
      </w:r>
    </w:p>
    <w:p w:rsidR="00D02599" w:rsidRPr="00BF57BC" w:rsidRDefault="00D02599" w:rsidP="00A432E4">
      <w:pPr>
        <w:pStyle w:val="Textonotapie"/>
        <w:jc w:val="both"/>
        <w:rPr>
          <w:rFonts w:ascii="Courier New" w:hAnsi="Courier New" w:cs="Courier New"/>
          <w:sz w:val="16"/>
          <w:szCs w:val="16"/>
        </w:rPr>
      </w:pPr>
      <w:r w:rsidRPr="00BF57BC">
        <w:rPr>
          <w:rFonts w:ascii="Courier New" w:hAnsi="Courier New" w:cs="Courier New"/>
          <w:sz w:val="16"/>
          <w:szCs w:val="16"/>
        </w:rPr>
        <w:t xml:space="preserve"> </w:t>
      </w:r>
      <w:hyperlink r:id="rId6" w:history="1">
        <w:r w:rsidRPr="00BF57BC">
          <w:rPr>
            <w:rStyle w:val="Hipervnculo"/>
            <w:rFonts w:ascii="Courier New" w:hAnsi="Courier New" w:cs="Courier New"/>
            <w:sz w:val="16"/>
            <w:szCs w:val="16"/>
          </w:rPr>
          <w:t>https://html.gendarmeria.gob.cl/doc/estadisticas/n122dic18_mujeresamerica.pdf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599" w:rsidRDefault="00D02599" w:rsidP="00410274">
    <w:pPr>
      <w:pStyle w:val="Encabezado"/>
      <w:jc w:val="center"/>
    </w:pPr>
    <w:r>
      <w:rPr>
        <w:noProof/>
        <w:lang w:val="es-ES" w:eastAsia="es-ES"/>
      </w:rPr>
      <w:drawing>
        <wp:inline distT="0" distB="0" distL="0" distR="0">
          <wp:extent cx="863600" cy="863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amara Diputado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3763" cy="863763"/>
                  </a:xfrm>
                  <a:prstGeom prst="rect">
                    <a:avLst/>
                  </a:prstGeom>
                </pic:spPr>
              </pic:pic>
            </a:graphicData>
          </a:graphic>
        </wp:inline>
      </w:drawing>
    </w:r>
  </w:p>
  <w:p w:rsidR="00D02599" w:rsidRPr="00410274" w:rsidRDefault="00D02599" w:rsidP="00410274">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FF3"/>
    <w:multiLevelType w:val="multilevel"/>
    <w:tmpl w:val="3B88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86C8D"/>
    <w:multiLevelType w:val="hybridMultilevel"/>
    <w:tmpl w:val="62D0572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4DF00FE"/>
    <w:multiLevelType w:val="hybridMultilevel"/>
    <w:tmpl w:val="D918E8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64E56ED"/>
    <w:multiLevelType w:val="hybridMultilevel"/>
    <w:tmpl w:val="54F0E44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590832"/>
    <w:multiLevelType w:val="hybridMultilevel"/>
    <w:tmpl w:val="45EE096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6427734F"/>
    <w:multiLevelType w:val="hybridMultilevel"/>
    <w:tmpl w:val="D422B8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E3128C1"/>
    <w:multiLevelType w:val="multilevel"/>
    <w:tmpl w:val="5D3677D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4B5A9F"/>
    <w:multiLevelType w:val="hybridMultilevel"/>
    <w:tmpl w:val="C144D3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451E12"/>
    <w:multiLevelType w:val="hybridMultilevel"/>
    <w:tmpl w:val="B4300FE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35AD0"/>
    <w:rsid w:val="00001FC3"/>
    <w:rsid w:val="00004CB4"/>
    <w:rsid w:val="000726C8"/>
    <w:rsid w:val="00094B05"/>
    <w:rsid w:val="000D2C91"/>
    <w:rsid w:val="000D6EC6"/>
    <w:rsid w:val="00121820"/>
    <w:rsid w:val="00137BBC"/>
    <w:rsid w:val="001525AC"/>
    <w:rsid w:val="00154164"/>
    <w:rsid w:val="00177B75"/>
    <w:rsid w:val="00177FFE"/>
    <w:rsid w:val="00193C21"/>
    <w:rsid w:val="00213397"/>
    <w:rsid w:val="0023132D"/>
    <w:rsid w:val="00244614"/>
    <w:rsid w:val="00252390"/>
    <w:rsid w:val="0025537A"/>
    <w:rsid w:val="002643F8"/>
    <w:rsid w:val="00270CAB"/>
    <w:rsid w:val="002B0E5D"/>
    <w:rsid w:val="002E6890"/>
    <w:rsid w:val="002F2008"/>
    <w:rsid w:val="002F42B2"/>
    <w:rsid w:val="003249A2"/>
    <w:rsid w:val="00340D34"/>
    <w:rsid w:val="00351AFD"/>
    <w:rsid w:val="00365AE9"/>
    <w:rsid w:val="00373AAC"/>
    <w:rsid w:val="003D700A"/>
    <w:rsid w:val="003E599B"/>
    <w:rsid w:val="003F32F8"/>
    <w:rsid w:val="00410274"/>
    <w:rsid w:val="00474A41"/>
    <w:rsid w:val="00495D5E"/>
    <w:rsid w:val="004A1B28"/>
    <w:rsid w:val="004B1AB1"/>
    <w:rsid w:val="004C4769"/>
    <w:rsid w:val="004C5C22"/>
    <w:rsid w:val="004C7079"/>
    <w:rsid w:val="004F70FD"/>
    <w:rsid w:val="005041D2"/>
    <w:rsid w:val="005063D0"/>
    <w:rsid w:val="005176F1"/>
    <w:rsid w:val="00535AD0"/>
    <w:rsid w:val="00536174"/>
    <w:rsid w:val="005378C4"/>
    <w:rsid w:val="00593C5D"/>
    <w:rsid w:val="005969DF"/>
    <w:rsid w:val="005A3D76"/>
    <w:rsid w:val="005A40AB"/>
    <w:rsid w:val="006240EC"/>
    <w:rsid w:val="00645309"/>
    <w:rsid w:val="00654FC8"/>
    <w:rsid w:val="006929F2"/>
    <w:rsid w:val="006A3205"/>
    <w:rsid w:val="006F0787"/>
    <w:rsid w:val="00791077"/>
    <w:rsid w:val="007B74D7"/>
    <w:rsid w:val="007E0B6A"/>
    <w:rsid w:val="007E2B1E"/>
    <w:rsid w:val="00800E34"/>
    <w:rsid w:val="0081463A"/>
    <w:rsid w:val="00821100"/>
    <w:rsid w:val="00842BA3"/>
    <w:rsid w:val="00846075"/>
    <w:rsid w:val="008477BA"/>
    <w:rsid w:val="00897537"/>
    <w:rsid w:val="008B4685"/>
    <w:rsid w:val="00933F63"/>
    <w:rsid w:val="00940004"/>
    <w:rsid w:val="00944C58"/>
    <w:rsid w:val="009527D3"/>
    <w:rsid w:val="00996017"/>
    <w:rsid w:val="009B3A0A"/>
    <w:rsid w:val="00A00273"/>
    <w:rsid w:val="00A32113"/>
    <w:rsid w:val="00A432E4"/>
    <w:rsid w:val="00A9772E"/>
    <w:rsid w:val="00AB2922"/>
    <w:rsid w:val="00AE683C"/>
    <w:rsid w:val="00B27E6A"/>
    <w:rsid w:val="00B62636"/>
    <w:rsid w:val="00B7027F"/>
    <w:rsid w:val="00B942E5"/>
    <w:rsid w:val="00BB01CD"/>
    <w:rsid w:val="00BC6BAD"/>
    <w:rsid w:val="00BD05DE"/>
    <w:rsid w:val="00BF45BB"/>
    <w:rsid w:val="00BF57BC"/>
    <w:rsid w:val="00C0450F"/>
    <w:rsid w:val="00C21140"/>
    <w:rsid w:val="00C36F69"/>
    <w:rsid w:val="00C47CE6"/>
    <w:rsid w:val="00CD5C6D"/>
    <w:rsid w:val="00CE7BE9"/>
    <w:rsid w:val="00CF0581"/>
    <w:rsid w:val="00CF7E2C"/>
    <w:rsid w:val="00D02599"/>
    <w:rsid w:val="00D156AF"/>
    <w:rsid w:val="00D2271A"/>
    <w:rsid w:val="00D235D4"/>
    <w:rsid w:val="00D42B4D"/>
    <w:rsid w:val="00D4656F"/>
    <w:rsid w:val="00D62FAE"/>
    <w:rsid w:val="00D90221"/>
    <w:rsid w:val="00DA6379"/>
    <w:rsid w:val="00DD6A6E"/>
    <w:rsid w:val="00DE1329"/>
    <w:rsid w:val="00DF080D"/>
    <w:rsid w:val="00E213F5"/>
    <w:rsid w:val="00E23462"/>
    <w:rsid w:val="00E4099B"/>
    <w:rsid w:val="00E64010"/>
    <w:rsid w:val="00E91309"/>
    <w:rsid w:val="00E95237"/>
    <w:rsid w:val="00E97B70"/>
    <w:rsid w:val="00EA0A65"/>
    <w:rsid w:val="00EA2C59"/>
    <w:rsid w:val="00EA7399"/>
    <w:rsid w:val="00ED16B5"/>
    <w:rsid w:val="00EE0197"/>
    <w:rsid w:val="00EE3C3A"/>
    <w:rsid w:val="00F004C0"/>
    <w:rsid w:val="00F27D8C"/>
    <w:rsid w:val="00F64AB7"/>
    <w:rsid w:val="00F849B1"/>
    <w:rsid w:val="00FB1EFD"/>
    <w:rsid w:val="00FB78D5"/>
    <w:rsid w:val="00FD1686"/>
    <w:rsid w:val="00FD28F8"/>
    <w:rsid w:val="00FD6A3F"/>
    <w:rsid w:val="00FF15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76"/>
  </w:style>
  <w:style w:type="paragraph" w:styleId="Ttulo1">
    <w:name w:val="heading 1"/>
    <w:basedOn w:val="Normal"/>
    <w:next w:val="Normal"/>
    <w:link w:val="Ttulo1Car"/>
    <w:uiPriority w:val="9"/>
    <w:qFormat/>
    <w:rsid w:val="007E2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460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B1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B78D5"/>
    <w:pPr>
      <w:ind w:left="720"/>
      <w:contextualSpacing/>
    </w:pPr>
  </w:style>
  <w:style w:type="paragraph" w:styleId="Encabezado">
    <w:name w:val="header"/>
    <w:basedOn w:val="Normal"/>
    <w:link w:val="EncabezadoCar"/>
    <w:uiPriority w:val="99"/>
    <w:unhideWhenUsed/>
    <w:rsid w:val="004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0274"/>
  </w:style>
  <w:style w:type="paragraph" w:styleId="Piedepgina">
    <w:name w:val="footer"/>
    <w:basedOn w:val="Normal"/>
    <w:link w:val="PiedepginaCar"/>
    <w:uiPriority w:val="99"/>
    <w:unhideWhenUsed/>
    <w:rsid w:val="004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274"/>
  </w:style>
  <w:style w:type="paragraph" w:styleId="Textonotapie">
    <w:name w:val="footnote text"/>
    <w:basedOn w:val="Normal"/>
    <w:link w:val="TextonotapieCar"/>
    <w:uiPriority w:val="99"/>
    <w:semiHidden/>
    <w:unhideWhenUsed/>
    <w:rsid w:val="00D227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271A"/>
    <w:rPr>
      <w:sz w:val="20"/>
      <w:szCs w:val="20"/>
    </w:rPr>
  </w:style>
  <w:style w:type="character" w:styleId="Refdenotaalpie">
    <w:name w:val="footnote reference"/>
    <w:basedOn w:val="Fuentedeprrafopredeter"/>
    <w:uiPriority w:val="99"/>
    <w:semiHidden/>
    <w:unhideWhenUsed/>
    <w:rsid w:val="00D2271A"/>
    <w:rPr>
      <w:vertAlign w:val="superscript"/>
    </w:rPr>
  </w:style>
  <w:style w:type="character" w:styleId="Hipervnculo">
    <w:name w:val="Hyperlink"/>
    <w:basedOn w:val="Fuentedeprrafopredeter"/>
    <w:uiPriority w:val="99"/>
    <w:unhideWhenUsed/>
    <w:rsid w:val="00D2271A"/>
    <w:rPr>
      <w:color w:val="0563C1" w:themeColor="hyperlink"/>
      <w:u w:val="single"/>
    </w:rPr>
  </w:style>
  <w:style w:type="character" w:customStyle="1" w:styleId="UnresolvedMention">
    <w:name w:val="Unresolved Mention"/>
    <w:basedOn w:val="Fuentedeprrafopredeter"/>
    <w:uiPriority w:val="99"/>
    <w:semiHidden/>
    <w:unhideWhenUsed/>
    <w:rsid w:val="00D2271A"/>
    <w:rPr>
      <w:color w:val="605E5C"/>
      <w:shd w:val="clear" w:color="auto" w:fill="E1DFDD"/>
    </w:rPr>
  </w:style>
  <w:style w:type="paragraph" w:styleId="NormalWeb">
    <w:name w:val="Normal (Web)"/>
    <w:basedOn w:val="Normal"/>
    <w:uiPriority w:val="99"/>
    <w:semiHidden/>
    <w:unhideWhenUsed/>
    <w:rsid w:val="002B0E5D"/>
    <w:rPr>
      <w:rFonts w:ascii="Times New Roman" w:hAnsi="Times New Roman" w:cs="Times New Roman"/>
      <w:sz w:val="24"/>
      <w:szCs w:val="24"/>
    </w:rPr>
  </w:style>
  <w:style w:type="character" w:styleId="Textoennegrita">
    <w:name w:val="Strong"/>
    <w:basedOn w:val="Fuentedeprrafopredeter"/>
    <w:uiPriority w:val="22"/>
    <w:qFormat/>
    <w:rsid w:val="00EE3C3A"/>
    <w:rPr>
      <w:b/>
      <w:bCs/>
    </w:rPr>
  </w:style>
  <w:style w:type="character" w:styleId="nfasis">
    <w:name w:val="Emphasis"/>
    <w:basedOn w:val="Fuentedeprrafopredeter"/>
    <w:uiPriority w:val="20"/>
    <w:qFormat/>
    <w:rsid w:val="00EE3C3A"/>
    <w:rPr>
      <w:i/>
      <w:iCs/>
    </w:rPr>
  </w:style>
  <w:style w:type="character" w:styleId="Hipervnculovisitado">
    <w:name w:val="FollowedHyperlink"/>
    <w:basedOn w:val="Fuentedeprrafopredeter"/>
    <w:uiPriority w:val="99"/>
    <w:semiHidden/>
    <w:unhideWhenUsed/>
    <w:rsid w:val="00495D5E"/>
    <w:rPr>
      <w:color w:val="954F72" w:themeColor="followedHyperlink"/>
      <w:u w:val="single"/>
    </w:rPr>
  </w:style>
  <w:style w:type="character" w:customStyle="1" w:styleId="Ttulo2Car">
    <w:name w:val="Título 2 Car"/>
    <w:basedOn w:val="Fuentedeprrafopredeter"/>
    <w:link w:val="Ttulo2"/>
    <w:uiPriority w:val="9"/>
    <w:semiHidden/>
    <w:rsid w:val="00846075"/>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semiHidden/>
    <w:unhideWhenUsed/>
    <w:rsid w:val="001525A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525AC"/>
    <w:rPr>
      <w:rFonts w:ascii="Consolas" w:hAnsi="Consolas"/>
      <w:sz w:val="20"/>
      <w:szCs w:val="20"/>
    </w:rPr>
  </w:style>
  <w:style w:type="paragraph" w:styleId="Textodeglobo">
    <w:name w:val="Balloon Text"/>
    <w:basedOn w:val="Normal"/>
    <w:link w:val="TextodegloboCar"/>
    <w:uiPriority w:val="99"/>
    <w:semiHidden/>
    <w:unhideWhenUsed/>
    <w:rsid w:val="003D7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673229">
      <w:bodyDiv w:val="1"/>
      <w:marLeft w:val="0"/>
      <w:marRight w:val="0"/>
      <w:marTop w:val="0"/>
      <w:marBottom w:val="0"/>
      <w:divBdr>
        <w:top w:val="none" w:sz="0" w:space="0" w:color="auto"/>
        <w:left w:val="none" w:sz="0" w:space="0" w:color="auto"/>
        <w:bottom w:val="none" w:sz="0" w:space="0" w:color="auto"/>
        <w:right w:val="none" w:sz="0" w:space="0" w:color="auto"/>
      </w:divBdr>
    </w:div>
    <w:div w:id="586579573">
      <w:bodyDiv w:val="1"/>
      <w:marLeft w:val="0"/>
      <w:marRight w:val="0"/>
      <w:marTop w:val="0"/>
      <w:marBottom w:val="0"/>
      <w:divBdr>
        <w:top w:val="none" w:sz="0" w:space="0" w:color="auto"/>
        <w:left w:val="none" w:sz="0" w:space="0" w:color="auto"/>
        <w:bottom w:val="none" w:sz="0" w:space="0" w:color="auto"/>
        <w:right w:val="none" w:sz="0" w:space="0" w:color="auto"/>
      </w:divBdr>
    </w:div>
    <w:div w:id="670525968">
      <w:bodyDiv w:val="1"/>
      <w:marLeft w:val="0"/>
      <w:marRight w:val="0"/>
      <w:marTop w:val="0"/>
      <w:marBottom w:val="0"/>
      <w:divBdr>
        <w:top w:val="none" w:sz="0" w:space="0" w:color="auto"/>
        <w:left w:val="none" w:sz="0" w:space="0" w:color="auto"/>
        <w:bottom w:val="none" w:sz="0" w:space="0" w:color="auto"/>
        <w:right w:val="none" w:sz="0" w:space="0" w:color="auto"/>
      </w:divBdr>
    </w:div>
    <w:div w:id="845093332">
      <w:bodyDiv w:val="1"/>
      <w:marLeft w:val="0"/>
      <w:marRight w:val="0"/>
      <w:marTop w:val="0"/>
      <w:marBottom w:val="0"/>
      <w:divBdr>
        <w:top w:val="none" w:sz="0" w:space="0" w:color="auto"/>
        <w:left w:val="none" w:sz="0" w:space="0" w:color="auto"/>
        <w:bottom w:val="none" w:sz="0" w:space="0" w:color="auto"/>
        <w:right w:val="none" w:sz="0" w:space="0" w:color="auto"/>
      </w:divBdr>
    </w:div>
    <w:div w:id="1090157305">
      <w:bodyDiv w:val="1"/>
      <w:marLeft w:val="0"/>
      <w:marRight w:val="0"/>
      <w:marTop w:val="0"/>
      <w:marBottom w:val="0"/>
      <w:divBdr>
        <w:top w:val="none" w:sz="0" w:space="0" w:color="auto"/>
        <w:left w:val="none" w:sz="0" w:space="0" w:color="auto"/>
        <w:bottom w:val="none" w:sz="0" w:space="0" w:color="auto"/>
        <w:right w:val="none" w:sz="0" w:space="0" w:color="auto"/>
      </w:divBdr>
    </w:div>
    <w:div w:id="1201622878">
      <w:bodyDiv w:val="1"/>
      <w:marLeft w:val="0"/>
      <w:marRight w:val="0"/>
      <w:marTop w:val="0"/>
      <w:marBottom w:val="0"/>
      <w:divBdr>
        <w:top w:val="none" w:sz="0" w:space="0" w:color="auto"/>
        <w:left w:val="none" w:sz="0" w:space="0" w:color="auto"/>
        <w:bottom w:val="none" w:sz="0" w:space="0" w:color="auto"/>
        <w:right w:val="none" w:sz="0" w:space="0" w:color="auto"/>
      </w:divBdr>
    </w:div>
    <w:div w:id="1318218465">
      <w:bodyDiv w:val="1"/>
      <w:marLeft w:val="0"/>
      <w:marRight w:val="0"/>
      <w:marTop w:val="0"/>
      <w:marBottom w:val="0"/>
      <w:divBdr>
        <w:top w:val="none" w:sz="0" w:space="0" w:color="auto"/>
        <w:left w:val="none" w:sz="0" w:space="0" w:color="auto"/>
        <w:bottom w:val="none" w:sz="0" w:space="0" w:color="auto"/>
        <w:right w:val="none" w:sz="0" w:space="0" w:color="auto"/>
      </w:divBdr>
    </w:div>
    <w:div w:id="13811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ga/search/view_doc.asp?symbol=A/RES/64/292&amp;La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cgi-bin/texis/vtx/rwmain/opendocpdf.pdf?reldoc=y&amp;docid=4cc9270b2" TargetMode="External"/><Relationship Id="rId2" Type="http://schemas.openxmlformats.org/officeDocument/2006/relationships/hyperlink" Target="https://bibliotecadigital.indh.cl/bitstream/handle/123456789/1180/estudio-general-2016-2017.pdf?sequence=3" TargetMode="External"/><Relationship Id="rId1" Type="http://schemas.openxmlformats.org/officeDocument/2006/relationships/hyperlink" Target="https://www.cidh.oas.org/pdf%20files/RESOLUCION%201-08%20ESP%20FINAL.pdf" TargetMode="External"/><Relationship Id="rId6" Type="http://schemas.openxmlformats.org/officeDocument/2006/relationships/hyperlink" Target="https://html.gendarmeria.gob.cl/doc/estadisticas/n122dic18_mujeresamerica.pdf" TargetMode="External"/><Relationship Id="rId5" Type="http://schemas.openxmlformats.org/officeDocument/2006/relationships/hyperlink" Target="https://bibliotecadigital.indh.cl/bitstream/handle/123456789/1180/estudio-general-2016-2017.pdf?sequence=3" TargetMode="External"/><Relationship Id="rId4" Type="http://schemas.openxmlformats.org/officeDocument/2006/relationships/hyperlink" Target="http://www.derechoshumanos.udp.cl/derechoshumanos/images/InformeAnual/2015/CAP%204%20PRIVACION%20DE%20LIBERTAD%20Y%20VULNERACION%20DDH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79CA-3EA8-49BD-942C-F82E4564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Contreras Rojas</dc:creator>
  <cp:keywords/>
  <dc:description/>
  <cp:lastModifiedBy>Guillermo Diaz Vallejos</cp:lastModifiedBy>
  <cp:revision>3</cp:revision>
  <cp:lastPrinted>2020-03-23T18:18:00Z</cp:lastPrinted>
  <dcterms:created xsi:type="dcterms:W3CDTF">2020-03-27T20:51:00Z</dcterms:created>
  <dcterms:modified xsi:type="dcterms:W3CDTF">2020-04-01T15:12:00Z</dcterms:modified>
</cp:coreProperties>
</file>