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49" w:rsidRDefault="00CA47AA" w:rsidP="00CA47AA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CA47AA">
        <w:rPr>
          <w:rFonts w:ascii="Bookman Old Style" w:eastAsia="Bookman Old Style" w:hAnsi="Bookman Old Style" w:cs="Bookman Old Style"/>
          <w:b/>
          <w:sz w:val="24"/>
          <w:szCs w:val="24"/>
        </w:rPr>
        <w:t>Prohíbe la publicación de deudas morosas de micros, pequeñas y medianas empresas, durante el período que indica, y sanciona su infracción</w:t>
      </w:r>
    </w:p>
    <w:p w:rsidR="00CA47AA" w:rsidRDefault="00CA47AA" w:rsidP="00CA47AA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CA47AA" w:rsidRDefault="00CA47AA" w:rsidP="00CA47AA">
      <w:pPr>
        <w:pStyle w:val="normal0"/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Boletín N° 13444-03</w:t>
      </w:r>
    </w:p>
    <w:p w:rsidR="00CA47AA" w:rsidRDefault="00CA47AA">
      <w:pPr>
        <w:pStyle w:val="normal0"/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563049" w:rsidRDefault="00563049">
      <w:pPr>
        <w:pStyle w:val="normal0"/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563049" w:rsidRDefault="00AA2CC3">
      <w:pPr>
        <w:pStyle w:val="normal0"/>
        <w:spacing w:after="0" w:line="240" w:lineRule="auto"/>
        <w:jc w:val="center"/>
        <w:rPr>
          <w:rFonts w:ascii="Bookman Old Style" w:eastAsia="Bookman Old Style" w:hAnsi="Bookman Old Style" w:cs="Bookman Old Style"/>
          <w:b/>
          <w:i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i/>
          <w:sz w:val="24"/>
          <w:szCs w:val="24"/>
        </w:rPr>
        <w:t>Fundamentos y contenido de la propuesta</w:t>
      </w:r>
    </w:p>
    <w:p w:rsidR="00563049" w:rsidRDefault="00563049">
      <w:pPr>
        <w:pStyle w:val="normal0"/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563049" w:rsidRDefault="00563049">
      <w:pPr>
        <w:pStyle w:val="normal0"/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563049" w:rsidRDefault="00AA2CC3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La pandemia de la enfermedad Covid-19 ha cambiado en forma radi</w:t>
      </w:r>
      <w:r>
        <w:rPr>
          <w:rFonts w:ascii="Bookman Old Style" w:eastAsia="Bookman Old Style" w:hAnsi="Bookman Old Style" w:cs="Bookman Old Style"/>
          <w:sz w:val="24"/>
          <w:szCs w:val="24"/>
        </w:rPr>
        <w:t>cal la manera en que las personas diariamente nos desenvolvemos en sociedad. El aislamiento y el distanciamiento social se han transformado en uno de los principales modos de prevención de contagios en casi todos los países del mundo. Esto ha traído aparej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ado una serie de consecuencias negativas para la economía, las industrias, la producción, el comercio, el intercambio de bienes y servicios y los puestos de trabajo de cientos de miles de personas a lo largo y ancho del globo.  </w:t>
      </w: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563049" w:rsidRDefault="00AA2CC3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Lo cierto, es que los augu</w:t>
      </w:r>
      <w:r>
        <w:rPr>
          <w:rFonts w:ascii="Bookman Old Style" w:eastAsia="Bookman Old Style" w:hAnsi="Bookman Old Style" w:cs="Bookman Old Style"/>
          <w:sz w:val="24"/>
          <w:szCs w:val="24"/>
        </w:rPr>
        <w:t>rios económicos ya señalan las dificultades por las que el mundo entero atravesará: el Fondo Monetario Internacional declaró oficialmente una recesión económica en curso</w:t>
      </w:r>
      <w:r>
        <w:rPr>
          <w:rFonts w:ascii="Bookman Old Style" w:eastAsia="Bookman Old Style" w:hAnsi="Bookman Old Style" w:cs="Bookman Old Style"/>
          <w:sz w:val="24"/>
          <w:szCs w:val="24"/>
          <w:vertAlign w:val="superscript"/>
        </w:rPr>
        <w:footnoteReference w:id="1"/>
      </w:r>
      <w:r>
        <w:rPr>
          <w:rFonts w:ascii="Bookman Old Style" w:eastAsia="Bookman Old Style" w:hAnsi="Bookman Old Style" w:cs="Bookman Old Style"/>
          <w:sz w:val="24"/>
          <w:szCs w:val="24"/>
        </w:rPr>
        <w:t>, mientras que los pronósticos de crecimiento o contracción para todo el continente su</w:t>
      </w:r>
      <w:r>
        <w:rPr>
          <w:rFonts w:ascii="Bookman Old Style" w:eastAsia="Bookman Old Style" w:hAnsi="Bookman Old Style" w:cs="Bookman Old Style"/>
          <w:sz w:val="24"/>
          <w:szCs w:val="24"/>
        </w:rPr>
        <w:t>damericano no son positivos: este retrocedería en al menos un 4,6% para todo el conjunto latinoamericano</w:t>
      </w:r>
      <w:r>
        <w:rPr>
          <w:rFonts w:ascii="Bookman Old Style" w:eastAsia="Bookman Old Style" w:hAnsi="Bookman Old Style" w:cs="Bookman Old Style"/>
          <w:sz w:val="24"/>
          <w:szCs w:val="24"/>
          <w:vertAlign w:val="superscript"/>
        </w:rPr>
        <w:footnoteReference w:id="2"/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563049" w:rsidRDefault="00AA2CC3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Para hacer frente a esto, en Chile, el Gobierno anunció la implementación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un importante “Plan de Emergencia Económica”, que tiene por finalidad e</w:t>
      </w:r>
      <w:r>
        <w:rPr>
          <w:rFonts w:ascii="Bookman Old Style" w:eastAsia="Bookman Old Style" w:hAnsi="Bookman Old Style" w:cs="Bookman Old Style"/>
          <w:sz w:val="24"/>
          <w:szCs w:val="24"/>
        </w:rPr>
        <w:t>ntregar apoyo a los trabajadores, a las empresas y a las familias más vulnerables, con la finalidad de enfrentar adecuadamente las consecuencias económicas derivadas de la crisis sanitaria</w:t>
      </w:r>
      <w:r>
        <w:rPr>
          <w:rFonts w:ascii="Bookman Old Style" w:eastAsia="Bookman Old Style" w:hAnsi="Bookman Old Style" w:cs="Bookman Old Style"/>
          <w:sz w:val="24"/>
          <w:szCs w:val="24"/>
          <w:vertAlign w:val="superscript"/>
        </w:rPr>
        <w:footnoteReference w:id="3"/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563049" w:rsidRDefault="00AA2CC3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Este plan gubernamental se basa en tres principales ejes: La pr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otección de los empleos e ingresos laborales, la inyección de liquidez para apoyar a las empresas, especialmente a las PYMES y el apoyo a los ingresos de las familias. </w:t>
      </w: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A47AA" w:rsidRDefault="00CA47AA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A47AA" w:rsidRDefault="00CA47AA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563049" w:rsidRDefault="00AA2CC3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 xml:space="preserve">Sin duda este Plan de Emergencia Económica ayudará a miles de trabajadores y familias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chilenas, pero existen otras diversas medidas que también se deben implementar para dar continuidad y eficacia a las medidas propuestas, complementándolas. </w:t>
      </w: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563049" w:rsidRDefault="00AA2CC3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Durante el período que se aproxima, muchas personas naturales y empresas vivirán un retraso en sus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pagos, a razón de una evidente falta de liquidez financiera, lo que originará no sólo eventuales atrasos y renegociaciones, sino que procesos de insolvencia y reorganización o quiebras. Justamente, en dicho contexto, se ha planteado el paquete de ayuda ec</w:t>
      </w:r>
      <w:r>
        <w:rPr>
          <w:rFonts w:ascii="Bookman Old Style" w:eastAsia="Bookman Old Style" w:hAnsi="Bookman Old Style" w:cs="Bookman Old Style"/>
          <w:sz w:val="24"/>
          <w:szCs w:val="24"/>
        </w:rPr>
        <w:t>onómica, por lo que es importante privilegiar el real acceso de los beneficiarios a los mecanismos de financiamiento.</w:t>
      </w: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563049" w:rsidRDefault="00AA2CC3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Una medida relevante dice relación con la situación del boletín comercial o “DICOM” y otras bases de datos que publican información finan</w:t>
      </w:r>
      <w:r>
        <w:rPr>
          <w:rFonts w:ascii="Bookman Old Style" w:eastAsia="Bookman Old Style" w:hAnsi="Bookman Old Style" w:cs="Bookman Old Style"/>
          <w:sz w:val="24"/>
          <w:szCs w:val="24"/>
        </w:rPr>
        <w:t>ciera y de crédito de los solicitantes. Esa información es crucial para la obtención de créditos y puede perjudicar especialmente a los pequeños empresarios, ya que la morosidad en pagos y la situación de insolvencia, que sin duda se masificará en lo suces</w:t>
      </w:r>
      <w:r>
        <w:rPr>
          <w:rFonts w:ascii="Bookman Old Style" w:eastAsia="Bookman Old Style" w:hAnsi="Bookman Old Style" w:cs="Bookman Old Style"/>
          <w:sz w:val="24"/>
          <w:szCs w:val="24"/>
        </w:rPr>
        <w:t>ivo, está disponible y es analizada por los financistas para analizar la concesión de un crédito, conduciendo al rechazo del mismo cuando está presente. Por ello, resulta del todo justificable el evitar la publicación, información o comunicación de estas 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bligaciones impagas, por al menos durante un período de tiempo transitorio que incluya la vigencia del estado de catástrofe y hasta 90 días tras su cesación, con el objetivo de que el “historial financiero” de las micro, pequeñas y medianas empresas no se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vea doblemente castigado con la crisis, tomando en cuenta que, de manera obvia, el acceso a crédito e inyección de liquidez serán esenciales para la reactivación económica de los emprendimientos y empresas de menor tamaño. </w:t>
      </w: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563049" w:rsidRDefault="00AA2CC3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En tal sentido, este proyecto 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 ley busca prohibir, transitoriamente, la publicación de las deudas morosas contraídas por los dueños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de las micro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, pequeñas y medianas empresas (PYMES) de nuestro país y por ellas mismas en cuanto personas jurídicas. Para ello se recurre a la legislación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vigente, con el fin de tener un concepto de lo que debe entenderse por tales tipos de empresas. </w:t>
      </w: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563049" w:rsidRDefault="00AA2CC3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La Ley N°20.416 que fija normas especiales para las empresas de menor tamaño, señala lo que debe entenderse por microempresas, pequeñas empresas y medianas e</w:t>
      </w:r>
      <w:r>
        <w:rPr>
          <w:rFonts w:ascii="Bookman Old Style" w:eastAsia="Bookman Old Style" w:hAnsi="Bookman Old Style" w:cs="Bookman Old Style"/>
          <w:sz w:val="24"/>
          <w:szCs w:val="24"/>
        </w:rPr>
        <w:t>mpresas. En efecto, el artículo segundo inciso segundo de este cuerpo legal las define de la siguiente manera:</w:t>
      </w: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563049" w:rsidRDefault="00AA2CC3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Son microempresas aquellas cuyos ingresos anuales por ventas y servicios y otras actividades del giro no hayan superado las 2.400 unidades de fo</w:t>
      </w:r>
      <w:r>
        <w:rPr>
          <w:rFonts w:ascii="Bookman Old Style" w:eastAsia="Bookman Old Style" w:hAnsi="Bookman Old Style" w:cs="Bookman Old Style"/>
          <w:sz w:val="24"/>
          <w:szCs w:val="24"/>
        </w:rPr>
        <w:t>mento en el último año calendario.</w:t>
      </w: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563049" w:rsidRDefault="00AA2CC3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Son pequeñas empresas aquellas cuyos ingresos anuales por ventas, servicios y otras actividades del giro sean superiores a 2.400 unidades de fomento y no exceden de 25.000 unidades de fomento en el último año calendario.</w:t>
      </w: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563049" w:rsidRDefault="00AA2CC3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Son medianas empresas aquellas cuyos ingresos anuales por ventas, servicios y otras actividades del giro sean superiores a 25.000 unidades de fomento y no exceden las 100.000 unidades de fomento en el último año calendario.</w:t>
      </w: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563049" w:rsidRDefault="00AA2CC3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Finalmente, se propone restar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de este mecanismo a aquellas personas naturales o jurídicas que son dueños de más de una empresa de menor tamaño y asociar el incumplimiento de esta medida a las facultades sancionatorias que ya dispone la Comisión para el Mercado Financiero.</w:t>
      </w: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563049" w:rsidRDefault="00AA2CC3">
      <w:pPr>
        <w:pStyle w:val="normal0"/>
        <w:spacing w:after="0" w:line="240" w:lineRule="auto"/>
        <w:jc w:val="center"/>
        <w:rPr>
          <w:rFonts w:ascii="Bookman Old Style" w:eastAsia="Bookman Old Style" w:hAnsi="Bookman Old Style" w:cs="Bookman Old Style"/>
          <w:b/>
          <w:i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i/>
          <w:sz w:val="24"/>
          <w:szCs w:val="24"/>
        </w:rPr>
        <w:t>Idea Matri</w:t>
      </w:r>
      <w:r>
        <w:rPr>
          <w:rFonts w:ascii="Bookman Old Style" w:eastAsia="Bookman Old Style" w:hAnsi="Bookman Old Style" w:cs="Bookman Old Style"/>
          <w:b/>
          <w:i/>
          <w:sz w:val="24"/>
          <w:szCs w:val="24"/>
        </w:rPr>
        <w:t>z</w:t>
      </w:r>
    </w:p>
    <w:p w:rsidR="00563049" w:rsidRDefault="00563049">
      <w:pPr>
        <w:pStyle w:val="normal0"/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563049" w:rsidRDefault="00563049">
      <w:pPr>
        <w:pStyle w:val="normal0"/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563049" w:rsidRDefault="00AA2CC3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Este proyecto de ley busca implementar una prohibición transitoria para publicar o informar obligaciones morosas cuyo titular sea el dueño de una micro, pequeña o mediana empresa o bien una de estas últimas en su calidad de persona jurídica en el actua</w:t>
      </w:r>
      <w:r>
        <w:rPr>
          <w:rFonts w:ascii="Bookman Old Style" w:eastAsia="Bookman Old Style" w:hAnsi="Bookman Old Style" w:cs="Bookman Old Style"/>
          <w:sz w:val="24"/>
          <w:szCs w:val="24"/>
        </w:rPr>
        <w:t>l contexto de alerta sanitaria y estado de catástrofe por que atraviesa el país.</w:t>
      </w: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</w:pP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</w:pPr>
    </w:p>
    <w:p w:rsidR="00563049" w:rsidRDefault="00AA2CC3">
      <w:pPr>
        <w:pStyle w:val="normal0"/>
        <w:spacing w:after="0" w:line="240" w:lineRule="auto"/>
        <w:jc w:val="center"/>
        <w:rPr>
          <w:rFonts w:ascii="Bookman Old Style" w:eastAsia="Bookman Old Style" w:hAnsi="Bookman Old Style" w:cs="Bookman Old Style"/>
          <w:b/>
          <w:i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i/>
          <w:sz w:val="24"/>
          <w:szCs w:val="24"/>
        </w:rPr>
        <w:t>Proyecto de Ley</w:t>
      </w: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563049" w:rsidRDefault="00AA2CC3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ARTÍCULO ÚNICO</w:t>
      </w:r>
      <w:r>
        <w:rPr>
          <w:rFonts w:ascii="Bookman Old Style" w:eastAsia="Bookman Old Style" w:hAnsi="Bookman Old Style" w:cs="Bookman Old Style"/>
          <w:sz w:val="24"/>
          <w:szCs w:val="24"/>
        </w:rPr>
        <w:t>: “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Durante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el período comprendido entre la declaración de estado de catástrofe de fecha 18 de marzo de 2020, en virtud del decreto supremo N°104 del Ministerio del Interior y de Seguridad Púbica y hasta noventa días después de terminado dicho estado de excepción cons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titucional, no se podrá publicar, ni comunicar, por cualquier medio, información relacionada con deudas morosas, en el caso que hayan sido contraídas por alguno de los siguientes titulares: </w:t>
      </w: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</w:p>
    <w:p w:rsidR="00563049" w:rsidRDefault="00AA2CC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>Personas naturales que sean propietarios de una micro, pequeña o</w:t>
      </w:r>
      <w:r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 xml:space="preserve"> mediana empresa o bien de derechos sobre la personalidad jurídica de esta, siempre y cuando no tuvieren propiedad por sobre otras empresas de igual o distinta naturaleza o derechos sobre las mismas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 xml:space="preserve"> </w:t>
      </w:r>
    </w:p>
    <w:p w:rsidR="00563049" w:rsidRDefault="00AA2CC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>Personas jurídicas de cualquier naturaleza que pueden s</w:t>
      </w:r>
      <w:r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>er catalogadas como micro, pequeña o mediana empresa o que tengan derechos sobre la personalidad jurídica de esta, siempre y cuando no tuvieren propiedad por sobre otras empresas de igual o distinta naturaleza o derechos sobre las mismas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</w:p>
    <w:p w:rsidR="00563049" w:rsidRDefault="00AA2CC3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A efectos de lo dispuesto en el inciso anterior, se entenderá que una empresa está incluida en la categoría de micro, pequeña o mediana empresa cuando cumpla con lo dispuesto en el artículo segundo de la Ley N° 20.416. </w:t>
      </w: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</w:p>
    <w:p w:rsidR="00563049" w:rsidRDefault="00AA2CC3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>Asimismo, los responsables de los r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egistros o bancos de datos que almacenan y comunican información relacionada con dichas deudas, deberán eliminar todos los datos relacionados con éstas. </w:t>
      </w: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</w:p>
    <w:p w:rsidR="00563049" w:rsidRDefault="00AA2CC3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>El incumplimiento de lo dispuesto en esta ley será sancionado con multa a beneficio fiscal de hasta 1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00 UTM cuya sustanciación y aplicación se regirá por lo dispuesto en el Título IV de la Ley N° 21.000.</w:t>
      </w:r>
      <w:r>
        <w:rPr>
          <w:rFonts w:ascii="Bookman Old Style" w:eastAsia="Bookman Old Style" w:hAnsi="Bookman Old Style" w:cs="Bookman Old Style"/>
          <w:sz w:val="24"/>
          <w:szCs w:val="24"/>
        </w:rPr>
        <w:t>”</w:t>
      </w: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563049" w:rsidRDefault="0056304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563049" w:rsidRDefault="00AA2CC3">
      <w:pPr>
        <w:pStyle w:val="normal0"/>
        <w:spacing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_____________________</w:t>
      </w:r>
    </w:p>
    <w:p w:rsidR="00563049" w:rsidRDefault="00AA2CC3">
      <w:pPr>
        <w:pStyle w:val="normal0"/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Hugo Rey Martínez</w:t>
      </w:r>
    </w:p>
    <w:p w:rsidR="00563049" w:rsidRDefault="00AA2CC3">
      <w:pPr>
        <w:pStyle w:val="normal0"/>
        <w:spacing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Diputado</w:t>
      </w:r>
    </w:p>
    <w:sectPr w:rsidR="00563049" w:rsidSect="0056304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CC3" w:rsidRDefault="00AA2CC3" w:rsidP="00563049">
      <w:pPr>
        <w:spacing w:after="0" w:line="240" w:lineRule="auto"/>
      </w:pPr>
      <w:r>
        <w:separator/>
      </w:r>
    </w:p>
  </w:endnote>
  <w:endnote w:type="continuationSeparator" w:id="0">
    <w:p w:rsidR="00AA2CC3" w:rsidRDefault="00AA2CC3" w:rsidP="0056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CC3" w:rsidRDefault="00AA2CC3" w:rsidP="00563049">
      <w:pPr>
        <w:spacing w:after="0" w:line="240" w:lineRule="auto"/>
      </w:pPr>
      <w:r>
        <w:separator/>
      </w:r>
    </w:p>
  </w:footnote>
  <w:footnote w:type="continuationSeparator" w:id="0">
    <w:p w:rsidR="00AA2CC3" w:rsidRDefault="00AA2CC3" w:rsidP="00563049">
      <w:pPr>
        <w:spacing w:after="0" w:line="240" w:lineRule="auto"/>
      </w:pPr>
      <w:r>
        <w:continuationSeparator/>
      </w:r>
    </w:p>
  </w:footnote>
  <w:footnote w:id="1">
    <w:p w:rsidR="00563049" w:rsidRDefault="00AA2CC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Nota de prensa disponible en: </w:t>
      </w:r>
      <w:hyperlink r:id="rId1">
        <w:r>
          <w:rPr>
            <w:color w:val="0563C1"/>
            <w:sz w:val="20"/>
            <w:szCs w:val="20"/>
            <w:u w:val="single"/>
          </w:rPr>
          <w:t>https://www.latercera.com/pulso/noticia/fmi-declara-que-la-economia-mundial-entro-en-r</w:t>
        </w:r>
        <w:r>
          <w:rPr>
            <w:color w:val="0563C1"/>
            <w:sz w:val="20"/>
            <w:szCs w:val="20"/>
            <w:u w:val="single"/>
          </w:rPr>
          <w:t>ecesion-y-que-sera-peor-que-a-la-de-2009/BI76DPWIHBBYHIMXNOTE23T63Q/</w:t>
        </w:r>
      </w:hyperlink>
    </w:p>
  </w:footnote>
  <w:footnote w:id="2">
    <w:p w:rsidR="00563049" w:rsidRDefault="00AA2CC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Nota de prensa disponible en: </w:t>
      </w:r>
      <w:hyperlink r:id="rId2">
        <w:r>
          <w:rPr>
            <w:color w:val="0563C1"/>
            <w:sz w:val="20"/>
            <w:szCs w:val="20"/>
            <w:u w:val="single"/>
          </w:rPr>
          <w:t>https://www.elcomercio.com/actualidad/banco-mundial-contraccion-pib-latinoamerica.html</w:t>
        </w:r>
      </w:hyperlink>
    </w:p>
  </w:footnote>
  <w:footnote w:id="3">
    <w:p w:rsidR="00563049" w:rsidRDefault="00AA2CC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3">
        <w:r>
          <w:rPr>
            <w:rFonts w:ascii="Bookman Old Style" w:eastAsia="Bookman Old Style" w:hAnsi="Bookman Old Style" w:cs="Bookman Old Style"/>
            <w:color w:val="0563C1"/>
            <w:u w:val="single"/>
          </w:rPr>
          <w:t>https://www.gob.cl/planeconomicoemergencia/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F34C2"/>
    <w:multiLevelType w:val="multilevel"/>
    <w:tmpl w:val="A01AB2AC"/>
    <w:lvl w:ilvl="0">
      <w:start w:val="1"/>
      <w:numFmt w:val="lowerLetter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049"/>
    <w:rsid w:val="00563049"/>
    <w:rsid w:val="00AA2CC3"/>
    <w:rsid w:val="00CA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56304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0"/>
    <w:next w:val="normal0"/>
    <w:rsid w:val="005630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630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630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6304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5630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63049"/>
  </w:style>
  <w:style w:type="table" w:customStyle="1" w:styleId="TableNormal">
    <w:name w:val="Table Normal"/>
    <w:rsid w:val="005630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63049"/>
    <w:pPr>
      <w:spacing w:after="0" w:line="240" w:lineRule="auto"/>
    </w:pPr>
    <w:rPr>
      <w:sz w:val="56"/>
      <w:szCs w:val="56"/>
    </w:rPr>
  </w:style>
  <w:style w:type="paragraph" w:styleId="Subttulo">
    <w:name w:val="Subtitle"/>
    <w:basedOn w:val="normal0"/>
    <w:next w:val="normal0"/>
    <w:rsid w:val="005630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b.cl/planeconomicoemergencia/" TargetMode="External"/><Relationship Id="rId2" Type="http://schemas.openxmlformats.org/officeDocument/2006/relationships/hyperlink" Target="https://www.elcomercio.com/actualidad/banco-mundial-contraccion-pib-latinoamerica.html" TargetMode="External"/><Relationship Id="rId1" Type="http://schemas.openxmlformats.org/officeDocument/2006/relationships/hyperlink" Target="https://www.latercera.com/pulso/noticia/fmi-declara-que-la-economia-mundial-entro-en-recesion-y-que-sera-peor-que-a-la-de-2009/BI76DPWIHBBYHIMXNOTE23T63Q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1108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3</cp:revision>
  <dcterms:created xsi:type="dcterms:W3CDTF">2020-04-21T16:58:00Z</dcterms:created>
  <dcterms:modified xsi:type="dcterms:W3CDTF">2020-04-21T17:02:00Z</dcterms:modified>
</cp:coreProperties>
</file>