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D4" w:rsidRPr="00014FD4" w:rsidRDefault="00014FD4" w:rsidP="00014FD4">
      <w:pPr>
        <w:spacing w:after="0"/>
        <w:jc w:val="both"/>
        <w:rPr>
          <w:b/>
          <w:bCs/>
          <w:sz w:val="24"/>
          <w:szCs w:val="24"/>
        </w:rPr>
      </w:pPr>
    </w:p>
    <w:p w:rsidR="00014FD4" w:rsidRPr="00014FD4" w:rsidRDefault="00014FD4" w:rsidP="00014FD4">
      <w:pPr>
        <w:jc w:val="both"/>
        <w:rPr>
          <w:b/>
          <w:bCs/>
          <w:sz w:val="24"/>
          <w:szCs w:val="24"/>
        </w:rPr>
      </w:pPr>
      <w:r w:rsidRPr="00014FD4">
        <w:rPr>
          <w:b/>
          <w:bCs/>
          <w:sz w:val="24"/>
          <w:szCs w:val="24"/>
        </w:rPr>
        <w:t>Modifica la ley 20.575 que establece el principio de finalidad en el tratamiento de datos personales, para prohibir su publicación, durante el estado de excepción constitucional de catástrofe, y el plazo adicional que indica</w:t>
      </w:r>
    </w:p>
    <w:p w:rsidR="001E7F5B" w:rsidRPr="00014FD4" w:rsidRDefault="00014FD4" w:rsidP="00014FD4">
      <w:pPr>
        <w:jc w:val="center"/>
        <w:rPr>
          <w:b/>
          <w:bCs/>
          <w:sz w:val="24"/>
          <w:szCs w:val="24"/>
        </w:rPr>
      </w:pPr>
      <w:r w:rsidRPr="00014FD4">
        <w:rPr>
          <w:b/>
          <w:bCs/>
          <w:sz w:val="24"/>
          <w:szCs w:val="24"/>
        </w:rPr>
        <w:t>Boletín N° 13446-03</w:t>
      </w:r>
    </w:p>
    <w:p w:rsidR="00014FD4" w:rsidRDefault="00014FD4" w:rsidP="00014FD4">
      <w:pPr>
        <w:rPr>
          <w:b/>
          <w:bCs/>
          <w:sz w:val="28"/>
          <w:szCs w:val="28"/>
        </w:rPr>
      </w:pPr>
    </w:p>
    <w:p w:rsidR="001E7F5B" w:rsidRPr="001E7F5B" w:rsidRDefault="001E7F5B" w:rsidP="001E7F5B">
      <w:pPr>
        <w:pStyle w:val="Prrafodelista"/>
        <w:numPr>
          <w:ilvl w:val="0"/>
          <w:numId w:val="4"/>
        </w:numPr>
        <w:rPr>
          <w:b/>
          <w:bCs/>
          <w:sz w:val="28"/>
          <w:szCs w:val="28"/>
        </w:rPr>
      </w:pPr>
      <w:r w:rsidRPr="001E7F5B">
        <w:rPr>
          <w:b/>
          <w:bCs/>
          <w:sz w:val="28"/>
          <w:szCs w:val="28"/>
        </w:rPr>
        <w:t>FUNDAMENTOS</w:t>
      </w:r>
    </w:p>
    <w:p w:rsidR="005F1534" w:rsidRPr="001E7F5B" w:rsidRDefault="005F1534" w:rsidP="005F1534">
      <w:pPr>
        <w:jc w:val="center"/>
        <w:rPr>
          <w:sz w:val="24"/>
          <w:szCs w:val="24"/>
        </w:rPr>
      </w:pPr>
    </w:p>
    <w:p w:rsidR="00016312" w:rsidRPr="001E7F5B" w:rsidRDefault="005F1534" w:rsidP="007B401C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7F5B">
        <w:rPr>
          <w:sz w:val="24"/>
          <w:szCs w:val="24"/>
        </w:rPr>
        <w:t xml:space="preserve">La pandemia por la irrupción del COVID-19, ha resultado ser uno de los grandes desafíos a nivel global y nacional, constituyendo una amenaza constante a la salud pública de nuestro país, seguida por una crisis económica que ya es posible </w:t>
      </w:r>
      <w:r w:rsidR="00641F73">
        <w:rPr>
          <w:sz w:val="24"/>
          <w:szCs w:val="24"/>
        </w:rPr>
        <w:t>evidenciar, sobre la cual podemos</w:t>
      </w:r>
      <w:r w:rsidRPr="001E7F5B">
        <w:rPr>
          <w:sz w:val="24"/>
          <w:szCs w:val="24"/>
        </w:rPr>
        <w:t xml:space="preserve"> además, visibilizar sus efectos a corto, mediano y largo plazo en diversos </w:t>
      </w:r>
      <w:r w:rsidR="00EA74A7" w:rsidRPr="001E7F5B">
        <w:rPr>
          <w:sz w:val="24"/>
          <w:szCs w:val="24"/>
        </w:rPr>
        <w:t>aspectos,</w:t>
      </w:r>
      <w:r w:rsidRPr="001E7F5B">
        <w:rPr>
          <w:sz w:val="24"/>
          <w:szCs w:val="24"/>
        </w:rPr>
        <w:t xml:space="preserve"> pero sobre todo, en materia de empleo.  </w:t>
      </w:r>
    </w:p>
    <w:p w:rsidR="007B401C" w:rsidRPr="001E7F5B" w:rsidRDefault="007B401C" w:rsidP="007B401C">
      <w:pPr>
        <w:pStyle w:val="Prrafodelista"/>
        <w:spacing w:line="360" w:lineRule="auto"/>
        <w:ind w:left="714"/>
        <w:jc w:val="both"/>
        <w:rPr>
          <w:sz w:val="24"/>
          <w:szCs w:val="24"/>
        </w:rPr>
      </w:pPr>
    </w:p>
    <w:p w:rsidR="007B401C" w:rsidRPr="001E7F5B" w:rsidRDefault="00EA741E" w:rsidP="007B401C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7F5B">
        <w:rPr>
          <w:sz w:val="24"/>
          <w:szCs w:val="24"/>
        </w:rPr>
        <w:t>La última medición en “circunstancias normales” de índices de desempleo, es decir, sin pandemia declarada por la OMS y sin tener registro de caso alguno de COVID-19 en nuestro país, dio cuenta de</w:t>
      </w:r>
      <w:r w:rsidR="00641F73">
        <w:rPr>
          <w:sz w:val="24"/>
          <w:szCs w:val="24"/>
        </w:rPr>
        <w:t xml:space="preserve"> un alza nacional de un 7,8% del </w:t>
      </w:r>
      <w:r w:rsidRPr="001E7F5B">
        <w:rPr>
          <w:sz w:val="24"/>
          <w:szCs w:val="24"/>
        </w:rPr>
        <w:t>desempleo en nuestro país en el trimestre diciembre-febrero</w:t>
      </w:r>
      <w:r w:rsidR="00EA74A7" w:rsidRPr="001E7F5B">
        <w:rPr>
          <w:sz w:val="24"/>
          <w:szCs w:val="24"/>
        </w:rPr>
        <w:t xml:space="preserve"> 2019-2020</w:t>
      </w:r>
      <w:r w:rsidRPr="001E7F5B">
        <w:rPr>
          <w:sz w:val="24"/>
          <w:szCs w:val="24"/>
        </w:rPr>
        <w:t xml:space="preserve">, sobre la base de un aumento en la fuerza de trabajo que ascendió a un 2,1%. </w:t>
      </w:r>
    </w:p>
    <w:p w:rsidR="00EA74A7" w:rsidRPr="001E7F5B" w:rsidRDefault="00EA74A7" w:rsidP="00EA74A7">
      <w:pPr>
        <w:pStyle w:val="Prrafodelista"/>
        <w:rPr>
          <w:sz w:val="24"/>
          <w:szCs w:val="24"/>
        </w:rPr>
      </w:pPr>
    </w:p>
    <w:p w:rsidR="00EC2C7B" w:rsidRPr="001E7F5B" w:rsidRDefault="00EA74A7" w:rsidP="00EC2C7B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7F5B">
        <w:rPr>
          <w:sz w:val="24"/>
          <w:szCs w:val="24"/>
        </w:rPr>
        <w:t>La Quinta Encuesta Longitudinal de Empresas</w:t>
      </w:r>
      <w:r w:rsidR="003546EA" w:rsidRPr="001E7F5B">
        <w:rPr>
          <w:rStyle w:val="Refdenotaalpie"/>
          <w:sz w:val="24"/>
          <w:szCs w:val="24"/>
        </w:rPr>
        <w:footnoteReference w:id="1"/>
      </w:r>
      <w:r w:rsidRPr="001E7F5B">
        <w:rPr>
          <w:sz w:val="24"/>
          <w:szCs w:val="24"/>
        </w:rPr>
        <w:t xml:space="preserve">, que data del año 2019, </w:t>
      </w:r>
      <w:r w:rsidR="003546EA" w:rsidRPr="001E7F5B">
        <w:rPr>
          <w:sz w:val="24"/>
          <w:szCs w:val="24"/>
        </w:rPr>
        <w:t xml:space="preserve">es un instrumento más que revela la importancia de la micro, pequeña y mediana empresa en nuestro país, sobre todo en lo que dice relación con </w:t>
      </w:r>
      <w:r w:rsidR="00641F73">
        <w:rPr>
          <w:sz w:val="24"/>
          <w:szCs w:val="24"/>
        </w:rPr>
        <w:t xml:space="preserve">la </w:t>
      </w:r>
      <w:r w:rsidR="003546EA" w:rsidRPr="001E7F5B">
        <w:rPr>
          <w:sz w:val="24"/>
          <w:szCs w:val="24"/>
        </w:rPr>
        <w:t>generación de empleo</w:t>
      </w:r>
      <w:r w:rsidRPr="001E7F5B">
        <w:rPr>
          <w:sz w:val="24"/>
          <w:szCs w:val="24"/>
        </w:rPr>
        <w:t xml:space="preserve"> </w:t>
      </w:r>
      <w:r w:rsidR="003546EA" w:rsidRPr="001E7F5B">
        <w:rPr>
          <w:sz w:val="24"/>
          <w:szCs w:val="24"/>
        </w:rPr>
        <w:t>y trabajadores. Sin ir más lejos, el instrumento precitado indica</w:t>
      </w:r>
      <w:r w:rsidR="00641F73">
        <w:rPr>
          <w:sz w:val="24"/>
          <w:szCs w:val="24"/>
        </w:rPr>
        <w:t xml:space="preserve"> que</w:t>
      </w:r>
      <w:r w:rsidR="003546EA" w:rsidRPr="001E7F5B">
        <w:rPr>
          <w:sz w:val="24"/>
          <w:szCs w:val="24"/>
        </w:rPr>
        <w:t xml:space="preserve"> las pymes representan el 52,5% del total de empresas y emplean al 38,7% de los trabajadores. Por su parte, el instru</w:t>
      </w:r>
      <w:r w:rsidR="00641F73">
        <w:rPr>
          <w:sz w:val="24"/>
          <w:szCs w:val="24"/>
        </w:rPr>
        <w:t xml:space="preserve">mento también abunda en exponer </w:t>
      </w:r>
      <w:r w:rsidR="003546EA" w:rsidRPr="001E7F5B">
        <w:rPr>
          <w:sz w:val="24"/>
          <w:szCs w:val="24"/>
        </w:rPr>
        <w:t xml:space="preserve">que, para el </w:t>
      </w:r>
      <w:r w:rsidR="003546EA" w:rsidRPr="001E7F5B">
        <w:rPr>
          <w:sz w:val="24"/>
          <w:szCs w:val="24"/>
        </w:rPr>
        <w:lastRenderedPageBreak/>
        <w:t xml:space="preserve">caso de microempresas, estas representan el 44,4% del total de empresas y emplean al 5% de los trabajadores. </w:t>
      </w:r>
      <w:r w:rsidR="00EC2C7B" w:rsidRPr="001E7F5B">
        <w:rPr>
          <w:sz w:val="24"/>
          <w:szCs w:val="24"/>
        </w:rPr>
        <w:t xml:space="preserve">De este respecto, se desprende que el 96,9% de las empresas a nivel nacional son micro, pequeña o mediana empresa. </w:t>
      </w:r>
    </w:p>
    <w:p w:rsidR="003546EA" w:rsidRPr="001E7F5B" w:rsidRDefault="003546EA" w:rsidP="003546EA">
      <w:pPr>
        <w:pStyle w:val="Prrafodelista"/>
        <w:rPr>
          <w:sz w:val="24"/>
          <w:szCs w:val="24"/>
        </w:rPr>
      </w:pPr>
    </w:p>
    <w:p w:rsidR="004A5433" w:rsidRPr="001E7F5B" w:rsidRDefault="003546EA" w:rsidP="004525CE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7F5B">
        <w:rPr>
          <w:sz w:val="24"/>
          <w:szCs w:val="24"/>
        </w:rPr>
        <w:t>Comercio, manufactura y transporte, son los rubros que reportan la mayor concentración de actividad empresarial, con un 55%. Solo el comercio representa el 34% de la actividad empresarial en Chile, el que se ha visto abiertamente afectado por los cierres d</w:t>
      </w:r>
      <w:r w:rsidR="00641F73">
        <w:rPr>
          <w:sz w:val="24"/>
          <w:szCs w:val="24"/>
        </w:rPr>
        <w:t xml:space="preserve">ebido a la pandemia, </w:t>
      </w:r>
      <w:r w:rsidRPr="001E7F5B">
        <w:rPr>
          <w:sz w:val="24"/>
          <w:szCs w:val="24"/>
        </w:rPr>
        <w:t>po</w:t>
      </w:r>
      <w:r w:rsidR="00641F73">
        <w:rPr>
          <w:sz w:val="24"/>
          <w:szCs w:val="24"/>
        </w:rPr>
        <w:t xml:space="preserve">r menor concurrencia de público, </w:t>
      </w:r>
      <w:r w:rsidRPr="001E7F5B">
        <w:rPr>
          <w:sz w:val="24"/>
          <w:szCs w:val="24"/>
        </w:rPr>
        <w:t>por los cuidados que se</w:t>
      </w:r>
      <w:r w:rsidR="00641F73">
        <w:rPr>
          <w:sz w:val="24"/>
          <w:szCs w:val="24"/>
        </w:rPr>
        <w:t xml:space="preserve"> deben tomar ante la enfermedad, </w:t>
      </w:r>
      <w:r w:rsidRPr="001E7F5B">
        <w:rPr>
          <w:sz w:val="24"/>
          <w:szCs w:val="24"/>
        </w:rPr>
        <w:t xml:space="preserve">en cuanto a la necesidad de no exponerse a aglomeraciones de personas para interrumpir la cadena de contagio y, en la medida de lo posible, mantenerse en casa con este mismo propósito. </w:t>
      </w:r>
    </w:p>
    <w:p w:rsidR="00EC2C7B" w:rsidRPr="001E7F5B" w:rsidRDefault="00EC2C7B" w:rsidP="00EC2C7B">
      <w:pPr>
        <w:pStyle w:val="Prrafodelista"/>
        <w:rPr>
          <w:sz w:val="24"/>
          <w:szCs w:val="24"/>
        </w:rPr>
      </w:pPr>
    </w:p>
    <w:p w:rsidR="00EC2C7B" w:rsidRPr="001E7F5B" w:rsidRDefault="00EC2C7B" w:rsidP="00EC2C7B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1E7F5B">
        <w:rPr>
          <w:sz w:val="24"/>
          <w:szCs w:val="24"/>
        </w:rPr>
        <w:t>El gobierno anunció una serie de medidas para paliar los efectos económicos del COVID-19, generando un plan marco que permitiría garantizar nuevos créditos por un monto</w:t>
      </w:r>
      <w:r w:rsidR="00641F73">
        <w:rPr>
          <w:sz w:val="24"/>
          <w:szCs w:val="24"/>
        </w:rPr>
        <w:t xml:space="preserve"> de</w:t>
      </w:r>
      <w:r w:rsidRPr="001E7F5B">
        <w:rPr>
          <w:sz w:val="24"/>
          <w:szCs w:val="24"/>
        </w:rPr>
        <w:t xml:space="preserve"> hasta US$ 24.000 millones y complementa la capitalización del Fondo de Garantías de Créditos FOGAPE que se anunció el miércoles 9 de abril por un monto de US$ 3.000 millones. Según indican, estas medidas buscan entregar acceso a líneas de crédito </w:t>
      </w:r>
      <w:r w:rsidR="00641F73">
        <w:rPr>
          <w:sz w:val="24"/>
          <w:szCs w:val="24"/>
        </w:rPr>
        <w:t>de</w:t>
      </w:r>
      <w:r w:rsidRPr="001E7F5B">
        <w:rPr>
          <w:sz w:val="24"/>
          <w:szCs w:val="24"/>
        </w:rPr>
        <w:t xml:space="preserve"> capital de trabajo para el 99% de las empresas chilenas, para que de esta manera puedan sortear los efectos económicos que está produciendo la propagación del coronavirus.</w:t>
      </w:r>
    </w:p>
    <w:p w:rsidR="00EC2C7B" w:rsidRPr="001E7F5B" w:rsidRDefault="00EC2C7B" w:rsidP="00EC2C7B">
      <w:pPr>
        <w:pStyle w:val="Prrafodelista"/>
        <w:rPr>
          <w:sz w:val="24"/>
          <w:szCs w:val="24"/>
        </w:rPr>
      </w:pPr>
    </w:p>
    <w:p w:rsidR="00EC2C7B" w:rsidRPr="001E7F5B" w:rsidRDefault="00EC2C7B" w:rsidP="00EC2C7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E7F5B">
        <w:rPr>
          <w:sz w:val="24"/>
          <w:szCs w:val="24"/>
        </w:rPr>
        <w:t>Uno de los objetivos de estas medidas es la masividad, es decir, aquella posibilidad de abarcar la mayor cantidad de beneficiarios. Esto es, un potencial de un millón trescientas</w:t>
      </w:r>
      <w:r w:rsidR="00641F73">
        <w:rPr>
          <w:sz w:val="24"/>
          <w:szCs w:val="24"/>
        </w:rPr>
        <w:t xml:space="preserve"> mil </w:t>
      </w:r>
      <w:r w:rsidRPr="001E7F5B">
        <w:rPr>
          <w:sz w:val="24"/>
          <w:szCs w:val="24"/>
        </w:rPr>
        <w:t xml:space="preserve">personas que se encuentran bancarizadas </w:t>
      </w:r>
      <w:r w:rsidR="00641F73">
        <w:rPr>
          <w:sz w:val="24"/>
          <w:szCs w:val="24"/>
        </w:rPr>
        <w:t xml:space="preserve">y </w:t>
      </w:r>
      <w:r w:rsidRPr="001E7F5B">
        <w:rPr>
          <w:sz w:val="24"/>
          <w:szCs w:val="24"/>
        </w:rPr>
        <w:t xml:space="preserve">que cumplan con los requisitos de </w:t>
      </w:r>
      <w:r w:rsidRPr="001E7F5B">
        <w:rPr>
          <w:i/>
          <w:iCs/>
          <w:sz w:val="24"/>
          <w:szCs w:val="24"/>
        </w:rPr>
        <w:t>elegibilidad</w:t>
      </w:r>
      <w:r w:rsidRPr="001E7F5B">
        <w:rPr>
          <w:sz w:val="24"/>
          <w:szCs w:val="24"/>
        </w:rPr>
        <w:t xml:space="preserve"> que</w:t>
      </w:r>
      <w:r w:rsidR="002F2811" w:rsidRPr="001E7F5B">
        <w:rPr>
          <w:sz w:val="24"/>
          <w:szCs w:val="24"/>
        </w:rPr>
        <w:t>,</w:t>
      </w:r>
      <w:r w:rsidRPr="001E7F5B">
        <w:rPr>
          <w:sz w:val="24"/>
          <w:szCs w:val="24"/>
        </w:rPr>
        <w:t xml:space="preserve"> en específico para el caso, supone dos posibilidades, a saber:</w:t>
      </w:r>
      <w:r w:rsidR="00641F73">
        <w:rPr>
          <w:sz w:val="24"/>
          <w:szCs w:val="24"/>
        </w:rPr>
        <w:t xml:space="preserve"> que el</w:t>
      </w:r>
      <w:r w:rsidRPr="001E7F5B">
        <w:rPr>
          <w:sz w:val="24"/>
          <w:szCs w:val="24"/>
        </w:rPr>
        <w:t xml:space="preserve"> cliente no se encuentre en un proceso concursal ni tenga más de 30 </w:t>
      </w:r>
      <w:r w:rsidRPr="001E7F5B">
        <w:rPr>
          <w:sz w:val="24"/>
          <w:szCs w:val="24"/>
        </w:rPr>
        <w:lastRenderedPageBreak/>
        <w:t>días de mora al 30 de marzo de 2020, o al 30 de octubre de 2019 para empresas con ventas menores a 25.000 UF.</w:t>
      </w:r>
    </w:p>
    <w:p w:rsidR="00EC2C7B" w:rsidRPr="001E7F5B" w:rsidRDefault="00EC2C7B" w:rsidP="00EC2C7B">
      <w:pPr>
        <w:pStyle w:val="Prrafodelista"/>
        <w:rPr>
          <w:sz w:val="24"/>
          <w:szCs w:val="24"/>
        </w:rPr>
      </w:pPr>
    </w:p>
    <w:p w:rsidR="003546EA" w:rsidRDefault="002F2811" w:rsidP="001E7F5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E7F5B">
        <w:rPr>
          <w:sz w:val="24"/>
          <w:szCs w:val="24"/>
        </w:rPr>
        <w:t>Con todo, es un hecho de pública notoriedad que los créditos bancarios no son concedidos a personas, naturales o jurídicas, que estén en el registro actualizado que contiene información financiera y comercial de personas naturales y empresas, es decir, que estén en DICOM. Es del todo necesario eliminar transitoriamente dicho registro a efectos de facilitar préstamos a micro, pequeña y mediana empresa, por la importancia que estas revisten en y para la economía chilena y la expresa necesidad de su subsistencia. En el entendido que este registro es para la evaluación de un riesgo respecto el potencial cliente, esto se compensa con la posi</w:t>
      </w:r>
      <w:r w:rsidR="00E02804">
        <w:rPr>
          <w:sz w:val="24"/>
          <w:szCs w:val="24"/>
        </w:rPr>
        <w:t>ción del Estado como garante de</w:t>
      </w:r>
      <w:r w:rsidRPr="001E7F5B">
        <w:rPr>
          <w:sz w:val="24"/>
          <w:szCs w:val="24"/>
        </w:rPr>
        <w:t xml:space="preserve"> dicho crédito, sobre todo considerando que si una persona no paga, </w:t>
      </w:r>
      <w:r w:rsidR="001E7F5B" w:rsidRPr="001E7F5B">
        <w:rPr>
          <w:sz w:val="24"/>
          <w:szCs w:val="24"/>
        </w:rPr>
        <w:t>la banca privada</w:t>
      </w:r>
      <w:r w:rsidRPr="001E7F5B">
        <w:rPr>
          <w:sz w:val="24"/>
          <w:szCs w:val="24"/>
        </w:rPr>
        <w:t xml:space="preserve"> percibe el 85% del total del crédito</w:t>
      </w:r>
      <w:r w:rsidR="001E7F5B" w:rsidRPr="001E7F5B">
        <w:rPr>
          <w:sz w:val="24"/>
          <w:szCs w:val="24"/>
        </w:rPr>
        <w:t xml:space="preserve"> de igual forma</w:t>
      </w:r>
      <w:r w:rsidRPr="001E7F5B">
        <w:rPr>
          <w:sz w:val="24"/>
          <w:szCs w:val="24"/>
        </w:rPr>
        <w:t xml:space="preserve">, </w:t>
      </w:r>
      <w:r w:rsidR="001E7F5B" w:rsidRPr="001E7F5B">
        <w:rPr>
          <w:sz w:val="24"/>
          <w:szCs w:val="24"/>
        </w:rPr>
        <w:t>por lo</w:t>
      </w:r>
      <w:r w:rsidRPr="001E7F5B">
        <w:rPr>
          <w:sz w:val="24"/>
          <w:szCs w:val="24"/>
        </w:rPr>
        <w:t xml:space="preserve"> que el riesgo se ve reducido de manera ostensible</w:t>
      </w:r>
      <w:r w:rsidR="001E7F5B" w:rsidRPr="001E7F5B">
        <w:rPr>
          <w:sz w:val="24"/>
          <w:szCs w:val="24"/>
        </w:rPr>
        <w:t xml:space="preserve"> y el indicador de estar en un registro o no, adolece de irrelevancia por cuanto el Estado está precisamente para garantizar el pago. </w:t>
      </w:r>
    </w:p>
    <w:p w:rsidR="001E7F5B" w:rsidRPr="001E7F5B" w:rsidRDefault="001E7F5B" w:rsidP="001E7F5B">
      <w:pPr>
        <w:pStyle w:val="Prrafodelista"/>
        <w:rPr>
          <w:sz w:val="24"/>
          <w:szCs w:val="24"/>
        </w:rPr>
      </w:pPr>
    </w:p>
    <w:p w:rsidR="001E7F5B" w:rsidRDefault="001E7F5B" w:rsidP="001E7F5B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CONTENIDO DEL PROYECTO</w:t>
      </w:r>
    </w:p>
    <w:p w:rsidR="00FF71AE" w:rsidRDefault="00FF71AE" w:rsidP="00FF71A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proyecto introduce una modificación en el cuerpo legal indicado para establecer una excepción que busca evitar la comunicación de datos personales para la evaluación de riesgo comercial y proceso de crédito. Para esto, se agrega en el inciso III del artículo I de la ley 20.575, la prohibición de comunicación de estos datos por el plazo de 6 meses contados desde la vigencia de esta ley. </w:t>
      </w:r>
    </w:p>
    <w:p w:rsidR="00FF71AE" w:rsidRDefault="00FF71AE" w:rsidP="00FF71AE">
      <w:pPr>
        <w:spacing w:line="360" w:lineRule="auto"/>
        <w:ind w:left="360"/>
        <w:jc w:val="both"/>
        <w:rPr>
          <w:sz w:val="24"/>
          <w:szCs w:val="24"/>
        </w:rPr>
      </w:pPr>
    </w:p>
    <w:p w:rsidR="00014FD4" w:rsidRDefault="00014FD4" w:rsidP="00FF71AE">
      <w:pPr>
        <w:spacing w:line="360" w:lineRule="auto"/>
        <w:ind w:left="360"/>
        <w:jc w:val="both"/>
        <w:rPr>
          <w:sz w:val="24"/>
          <w:szCs w:val="24"/>
        </w:rPr>
      </w:pPr>
    </w:p>
    <w:p w:rsidR="00014FD4" w:rsidRDefault="00014FD4" w:rsidP="00FF71AE">
      <w:pPr>
        <w:spacing w:line="360" w:lineRule="auto"/>
        <w:ind w:left="360"/>
        <w:jc w:val="both"/>
        <w:rPr>
          <w:sz w:val="24"/>
          <w:szCs w:val="24"/>
        </w:rPr>
      </w:pPr>
    </w:p>
    <w:p w:rsidR="00014FD4" w:rsidRDefault="00014FD4" w:rsidP="00FF71AE">
      <w:pPr>
        <w:spacing w:line="360" w:lineRule="auto"/>
        <w:ind w:left="360"/>
        <w:jc w:val="both"/>
        <w:rPr>
          <w:sz w:val="24"/>
          <w:szCs w:val="24"/>
        </w:rPr>
      </w:pPr>
    </w:p>
    <w:p w:rsidR="00FF71AE" w:rsidRDefault="001E7F5B" w:rsidP="00FF71AE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IDEA MATRI</w:t>
      </w:r>
      <w:r w:rsidR="00FF71AE">
        <w:rPr>
          <w:sz w:val="24"/>
          <w:szCs w:val="24"/>
        </w:rPr>
        <w:t>Z</w:t>
      </w:r>
    </w:p>
    <w:p w:rsidR="00FF71AE" w:rsidRDefault="00FF71AE" w:rsidP="00FF71A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Facilitar el acceso a créditos dispuestos ante la emergencia del COVID-19 para aquellas, micro, pequeña y mediana empresa que están en DICOM, para que este</w:t>
      </w:r>
      <w:r w:rsidR="00E02804">
        <w:rPr>
          <w:sz w:val="24"/>
          <w:szCs w:val="24"/>
        </w:rPr>
        <w:t xml:space="preserve"> registro</w:t>
      </w:r>
      <w:r>
        <w:rPr>
          <w:sz w:val="24"/>
          <w:szCs w:val="24"/>
        </w:rPr>
        <w:t xml:space="preserve"> no sea considerado al momento de </w:t>
      </w:r>
      <w:r w:rsidR="00E02804">
        <w:rPr>
          <w:sz w:val="24"/>
          <w:szCs w:val="24"/>
        </w:rPr>
        <w:t xml:space="preserve">la evaluación crediticia, </w:t>
      </w:r>
      <w:r>
        <w:rPr>
          <w:sz w:val="24"/>
          <w:szCs w:val="24"/>
        </w:rPr>
        <w:t xml:space="preserve">con el objetivo final de que </w:t>
      </w:r>
      <w:r w:rsidR="00202D23">
        <w:rPr>
          <w:sz w:val="24"/>
          <w:szCs w:val="24"/>
        </w:rPr>
        <w:t>estos sean concedidos por la particularidad del momento que vivimos y el Estado como garante del endeudamiento.</w:t>
      </w:r>
    </w:p>
    <w:p w:rsidR="00181EED" w:rsidRPr="00FF71AE" w:rsidRDefault="00181EED" w:rsidP="00FF71AE">
      <w:pPr>
        <w:spacing w:line="360" w:lineRule="auto"/>
        <w:ind w:left="360"/>
        <w:jc w:val="both"/>
        <w:rPr>
          <w:sz w:val="24"/>
          <w:szCs w:val="24"/>
        </w:rPr>
      </w:pPr>
    </w:p>
    <w:p w:rsidR="001E7F5B" w:rsidRDefault="001E7F5B" w:rsidP="001E7F5B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PROYECTO</w:t>
      </w:r>
      <w:r w:rsidR="00181EED">
        <w:rPr>
          <w:sz w:val="24"/>
          <w:szCs w:val="24"/>
        </w:rPr>
        <w:t xml:space="preserve"> DE LEY</w:t>
      </w:r>
    </w:p>
    <w:p w:rsidR="00202D23" w:rsidRDefault="00202D23" w:rsidP="00202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Artículo único:</w:t>
      </w:r>
    </w:p>
    <w:p w:rsidR="00202D23" w:rsidRDefault="00202D23" w:rsidP="00202D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Agréguese el siguiente inciso </w:t>
      </w:r>
      <w:r w:rsidR="00014FD4">
        <w:rPr>
          <w:sz w:val="24"/>
          <w:szCs w:val="24"/>
        </w:rPr>
        <w:t>cuarto</w:t>
      </w:r>
      <w:r>
        <w:rPr>
          <w:sz w:val="24"/>
          <w:szCs w:val="24"/>
        </w:rPr>
        <w:t xml:space="preserve"> al artículo 1 de la Ley 20.575, lo siguiente:</w:t>
      </w:r>
    </w:p>
    <w:p w:rsidR="006F3BD3" w:rsidRDefault="006F3BD3" w:rsidP="006F3BD3">
      <w:pPr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“En el caso que la autoridad decrete Estado de Catástrofe, n</w:t>
      </w:r>
      <w:r w:rsidRPr="00181EED">
        <w:rPr>
          <w:i/>
          <w:iCs/>
          <w:sz w:val="24"/>
          <w:szCs w:val="24"/>
        </w:rPr>
        <w:t xml:space="preserve">o podrán comunicarse estos datos, ni aún a pretexto de evaluación de riesgo comercial ni proceso de crédito alguno, sino hasta 6 meses después contados desde el decreto que establezca o renueve </w:t>
      </w:r>
      <w:r>
        <w:rPr>
          <w:i/>
          <w:iCs/>
          <w:sz w:val="24"/>
          <w:szCs w:val="24"/>
        </w:rPr>
        <w:t>este</w:t>
      </w:r>
      <w:r w:rsidRPr="00181EED">
        <w:rPr>
          <w:i/>
          <w:iCs/>
          <w:sz w:val="24"/>
          <w:szCs w:val="24"/>
        </w:rPr>
        <w:t xml:space="preserve"> Estado de Excepción Constitucional</w:t>
      </w:r>
      <w:r>
        <w:rPr>
          <w:sz w:val="24"/>
          <w:szCs w:val="24"/>
        </w:rPr>
        <w:t>”</w:t>
      </w:r>
    </w:p>
    <w:p w:rsidR="00181EED" w:rsidRPr="00202D23" w:rsidRDefault="00181EED" w:rsidP="00202D23">
      <w:pPr>
        <w:spacing w:line="360" w:lineRule="auto"/>
        <w:jc w:val="both"/>
        <w:rPr>
          <w:sz w:val="24"/>
          <w:szCs w:val="24"/>
        </w:rPr>
      </w:pPr>
    </w:p>
    <w:p w:rsidR="00FF71AE" w:rsidRDefault="00FF71AE" w:rsidP="00202D23">
      <w:pPr>
        <w:rPr>
          <w:sz w:val="24"/>
          <w:szCs w:val="24"/>
        </w:rPr>
      </w:pPr>
    </w:p>
    <w:p w:rsidR="00181EED" w:rsidRDefault="00181EED" w:rsidP="006F3BD3">
      <w:pPr>
        <w:jc w:val="center"/>
        <w:rPr>
          <w:sz w:val="24"/>
          <w:szCs w:val="24"/>
        </w:rPr>
      </w:pPr>
    </w:p>
    <w:p w:rsidR="006F3BD3" w:rsidRPr="001E7F5B" w:rsidRDefault="006F3BD3" w:rsidP="006F3BD3">
      <w:pPr>
        <w:jc w:val="center"/>
        <w:rPr>
          <w:sz w:val="24"/>
          <w:szCs w:val="24"/>
        </w:rPr>
      </w:pPr>
      <w:r>
        <w:rPr>
          <w:sz w:val="24"/>
          <w:szCs w:val="24"/>
        </w:rPr>
        <w:t>H.D CAROLINA MARZÁN PINTO</w:t>
      </w:r>
    </w:p>
    <w:sectPr w:rsidR="006F3BD3" w:rsidRPr="001E7F5B" w:rsidSect="00670F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49" w:rsidRDefault="005A2849" w:rsidP="0013724F">
      <w:pPr>
        <w:spacing w:after="0" w:line="240" w:lineRule="auto"/>
      </w:pPr>
      <w:r>
        <w:separator/>
      </w:r>
    </w:p>
  </w:endnote>
  <w:endnote w:type="continuationSeparator" w:id="0">
    <w:p w:rsidR="005A2849" w:rsidRDefault="005A2849" w:rsidP="0013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49" w:rsidRDefault="005A2849" w:rsidP="0013724F">
      <w:pPr>
        <w:spacing w:after="0" w:line="240" w:lineRule="auto"/>
      </w:pPr>
      <w:r>
        <w:separator/>
      </w:r>
    </w:p>
  </w:footnote>
  <w:footnote w:type="continuationSeparator" w:id="0">
    <w:p w:rsidR="005A2849" w:rsidRDefault="005A2849" w:rsidP="0013724F">
      <w:pPr>
        <w:spacing w:after="0" w:line="240" w:lineRule="auto"/>
      </w:pPr>
      <w:r>
        <w:continuationSeparator/>
      </w:r>
    </w:p>
  </w:footnote>
  <w:footnote w:id="1">
    <w:p w:rsidR="003546EA" w:rsidRDefault="003546EA">
      <w:pPr>
        <w:pStyle w:val="Textonotapie"/>
      </w:pPr>
      <w:r>
        <w:rPr>
          <w:rStyle w:val="Refdenotaalpie"/>
        </w:rPr>
        <w:footnoteRef/>
      </w:r>
      <w:r>
        <w:t xml:space="preserve"> Extraído </w:t>
      </w:r>
      <w:proofErr w:type="spellStart"/>
      <w:r>
        <w:t xml:space="preserve">de </w:t>
      </w:r>
      <w:hyperlink r:id="rId1" w:history="1">
        <w:r>
          <w:rPr>
            <w:rStyle w:val="Hipervnculo"/>
          </w:rPr>
          <w:t>https://www.economia.gob.cl/2019/03/12/quinta-encuesta-longitudinal-de-empresas-ele5.htm</w:t>
        </w:r>
      </w:hyperlink>
      <w:r>
        <w:t xml:space="preserve"> el</w:t>
      </w:r>
      <w:proofErr w:type="spellEnd"/>
      <w:r>
        <w:t xml:space="preserve"> 13 de abril de 2020 a las 15.01 horas.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1E" w:rsidRDefault="00EA741E" w:rsidP="0013724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133475" cy="11334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a_de_la_Cámara_de_Diputados_de_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654" cy="113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FD1"/>
    <w:multiLevelType w:val="hybridMultilevel"/>
    <w:tmpl w:val="5FB061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D688A"/>
    <w:multiLevelType w:val="hybridMultilevel"/>
    <w:tmpl w:val="958482B6"/>
    <w:lvl w:ilvl="0" w:tplc="8578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F2B62"/>
    <w:multiLevelType w:val="hybridMultilevel"/>
    <w:tmpl w:val="A4BC58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66FC8"/>
    <w:multiLevelType w:val="hybridMultilevel"/>
    <w:tmpl w:val="A1DE617C"/>
    <w:lvl w:ilvl="0" w:tplc="6DAE2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4F"/>
    <w:rsid w:val="000114FA"/>
    <w:rsid w:val="00014FD4"/>
    <w:rsid w:val="00016312"/>
    <w:rsid w:val="000E6465"/>
    <w:rsid w:val="0013724F"/>
    <w:rsid w:val="00181EED"/>
    <w:rsid w:val="001C1D50"/>
    <w:rsid w:val="001C3C5A"/>
    <w:rsid w:val="001E7F5B"/>
    <w:rsid w:val="00202D23"/>
    <w:rsid w:val="002A0CC9"/>
    <w:rsid w:val="002F2811"/>
    <w:rsid w:val="003546EA"/>
    <w:rsid w:val="003A54A6"/>
    <w:rsid w:val="003E0D70"/>
    <w:rsid w:val="004A5433"/>
    <w:rsid w:val="00507CE9"/>
    <w:rsid w:val="005437B5"/>
    <w:rsid w:val="00584A67"/>
    <w:rsid w:val="005A2849"/>
    <w:rsid w:val="005F1534"/>
    <w:rsid w:val="00641F73"/>
    <w:rsid w:val="00670F75"/>
    <w:rsid w:val="006A70C4"/>
    <w:rsid w:val="006F3BD3"/>
    <w:rsid w:val="007B401C"/>
    <w:rsid w:val="00840914"/>
    <w:rsid w:val="00993980"/>
    <w:rsid w:val="00B47554"/>
    <w:rsid w:val="00BF088A"/>
    <w:rsid w:val="00C75E9D"/>
    <w:rsid w:val="00E02804"/>
    <w:rsid w:val="00E51DA4"/>
    <w:rsid w:val="00EA741E"/>
    <w:rsid w:val="00EA74A7"/>
    <w:rsid w:val="00EC2C7B"/>
    <w:rsid w:val="00F34CB3"/>
    <w:rsid w:val="00FF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24F"/>
  </w:style>
  <w:style w:type="paragraph" w:styleId="Piedepgina">
    <w:name w:val="footer"/>
    <w:basedOn w:val="Normal"/>
    <w:link w:val="PiedepginaCar"/>
    <w:uiPriority w:val="99"/>
    <w:unhideWhenUsed/>
    <w:rsid w:val="00137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24F"/>
  </w:style>
  <w:style w:type="paragraph" w:styleId="Prrafodelista">
    <w:name w:val="List Paragraph"/>
    <w:basedOn w:val="Normal"/>
    <w:uiPriority w:val="34"/>
    <w:qFormat/>
    <w:rsid w:val="001372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54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46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46EA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3546E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7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71AE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rsskip">
    <w:name w:val="rs_skip"/>
    <w:basedOn w:val="Fuentedeprrafopredeter"/>
    <w:rsid w:val="00FF71AE"/>
  </w:style>
  <w:style w:type="paragraph" w:styleId="Textodeglobo">
    <w:name w:val="Balloon Text"/>
    <w:basedOn w:val="Normal"/>
    <w:link w:val="TextodegloboCar"/>
    <w:uiPriority w:val="99"/>
    <w:semiHidden/>
    <w:unhideWhenUsed/>
    <w:rsid w:val="0064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omia.gob.cl/2019/03/12/quinta-encuesta-longitudinal-de-empresas-ele5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8CC0-CCE1-4327-A437-B07D1D4C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Guillermo Diaz Vallejos</cp:lastModifiedBy>
  <cp:revision>3</cp:revision>
  <dcterms:created xsi:type="dcterms:W3CDTF">2020-04-17T14:45:00Z</dcterms:created>
  <dcterms:modified xsi:type="dcterms:W3CDTF">2020-04-21T17:55:00Z</dcterms:modified>
</cp:coreProperties>
</file>