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36" w:rsidRDefault="00094A36" w:rsidP="00094A36">
      <w:pPr>
        <w:autoSpaceDE w:val="0"/>
        <w:autoSpaceDN w:val="0"/>
        <w:adjustRightInd w:val="0"/>
        <w:spacing w:after="0" w:line="240" w:lineRule="auto"/>
        <w:jc w:val="right"/>
        <w:rPr>
          <w:rStyle w:val="text"/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094A36">
        <w:rPr>
          <w:rStyle w:val="text"/>
          <w:rFonts w:ascii="Times New Roman" w:hAnsi="Times New Roman" w:cs="Times New Roman"/>
          <w:b/>
          <w:sz w:val="24"/>
          <w:szCs w:val="24"/>
        </w:rPr>
        <w:t>Boletín N° 13.825-07</w:t>
      </w:r>
    </w:p>
    <w:p w:rsidR="00094A36" w:rsidRDefault="00094A36" w:rsidP="002A6378">
      <w:pPr>
        <w:autoSpaceDE w:val="0"/>
        <w:autoSpaceDN w:val="0"/>
        <w:adjustRightInd w:val="0"/>
        <w:spacing w:after="0" w:line="240" w:lineRule="auto"/>
        <w:jc w:val="both"/>
        <w:rPr>
          <w:rStyle w:val="text"/>
          <w:rFonts w:ascii="Times New Roman" w:hAnsi="Times New Roman" w:cs="Times New Roman"/>
          <w:b/>
          <w:sz w:val="24"/>
          <w:szCs w:val="24"/>
        </w:rPr>
      </w:pPr>
    </w:p>
    <w:p w:rsidR="00094A36" w:rsidRDefault="00094A36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sz w:val="24"/>
          <w:szCs w:val="24"/>
        </w:rPr>
        <w:t>P</w:t>
      </w:r>
      <w:r w:rsidRPr="00094A36">
        <w:rPr>
          <w:rStyle w:val="text"/>
          <w:rFonts w:ascii="Times New Roman" w:hAnsi="Times New Roman" w:cs="Times New Roman"/>
          <w:b/>
          <w:sz w:val="24"/>
          <w:szCs w:val="24"/>
        </w:rPr>
        <w:t>royecto de ley</w:t>
      </w:r>
      <w:r>
        <w:rPr>
          <w:rStyle w:val="text"/>
          <w:rFonts w:ascii="Times New Roman" w:hAnsi="Times New Roman" w:cs="Times New Roman"/>
          <w:b/>
          <w:sz w:val="24"/>
          <w:szCs w:val="24"/>
        </w:rPr>
        <w:t>, iniciado en moción d</w:t>
      </w:r>
      <w:r w:rsidRPr="00094A36">
        <w:rPr>
          <w:rStyle w:val="text"/>
          <w:rFonts w:ascii="Times New Roman" w:hAnsi="Times New Roman" w:cs="Times New Roman"/>
          <w:b/>
          <w:sz w:val="24"/>
          <w:szCs w:val="24"/>
        </w:rPr>
        <w:t xml:space="preserve">e los Honorables Senadores señor Castro y señora Aravena, que </w:t>
      </w:r>
      <w:r w:rsidRPr="00094A36">
        <w:rPr>
          <w:rFonts w:ascii="Times New Roman" w:hAnsi="Times New Roman" w:cs="Times New Roman"/>
          <w:b/>
          <w:color w:val="000000"/>
          <w:sz w:val="24"/>
          <w:szCs w:val="24"/>
        </w:rPr>
        <w:t>permite establecer el carácter público de los registros de condena por violencia intrafamiliar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bookmarkEnd w:id="0"/>
    <w:p w:rsidR="00094A36" w:rsidRDefault="00094A36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378" w:rsidRPr="00094A36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A36">
        <w:rPr>
          <w:rFonts w:ascii="Times New Roman" w:hAnsi="Times New Roman" w:cs="Times New Roman"/>
          <w:b/>
          <w:bCs/>
          <w:sz w:val="24"/>
          <w:szCs w:val="24"/>
        </w:rPr>
        <w:t>EXPOSICIÓN DE MOTIVOS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t>En nuestro país a la fecha la violencia contra la mujer no cesa,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femicidios consumados y 97 frustrados, durante la pandemia se han 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incrementado el nivel de agresiones, siendo las regiones de O´Higgins,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Metropolitana y Valparaíso las que encabezan las cifras.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t>Convención Interamericana para prevenir, sancionar y erradicar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la violencia contra la mujer, celebrada en Belém do Pará, Brasil, en 1994,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 xml:space="preserve">la cual Chile es parte en su artículo 7° literal d establece que </w:t>
      </w:r>
      <w:r w:rsidRPr="002A6378">
        <w:rPr>
          <w:rFonts w:ascii="Times New Roman" w:hAnsi="Times New Roman" w:cs="Times New Roman"/>
          <w:iCs/>
          <w:sz w:val="24"/>
          <w:szCs w:val="24"/>
        </w:rPr>
        <w:t>“Los Estados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iCs/>
          <w:sz w:val="24"/>
          <w:szCs w:val="24"/>
        </w:rPr>
        <w:t>Partes condenan todas las formas de violencia contra la mujer y convienen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iCs/>
          <w:sz w:val="24"/>
          <w:szCs w:val="24"/>
        </w:rPr>
        <w:t>en adoptar, por todos los medios apropiados y sin dilaciones, políticas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iCs/>
          <w:sz w:val="24"/>
          <w:szCs w:val="24"/>
        </w:rPr>
        <w:t>orientadas a prevenir, sancionar y erradicar dicha violencia y en llevar 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iCs/>
          <w:sz w:val="24"/>
          <w:szCs w:val="24"/>
        </w:rPr>
        <w:t>cabo lo siguiente: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378">
        <w:rPr>
          <w:rFonts w:ascii="Times New Roman" w:hAnsi="Times New Roman" w:cs="Times New Roman"/>
          <w:iCs/>
          <w:sz w:val="24"/>
          <w:szCs w:val="24"/>
        </w:rPr>
        <w:t>d. adoptar medidas jurídicas para conminar al agresor 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iCs/>
          <w:sz w:val="24"/>
          <w:szCs w:val="24"/>
        </w:rPr>
        <w:t>abstenerse de hostigar, intimidar, amenazar, dañar o poner en peligro la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iCs/>
          <w:sz w:val="24"/>
          <w:szCs w:val="24"/>
        </w:rPr>
        <w:t>vida de la mujer de cualquier forma que atente contra su integridad 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iCs/>
          <w:sz w:val="24"/>
          <w:szCs w:val="24"/>
        </w:rPr>
        <w:t>perjudique su propiedad;”.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t>En este contexto que hace necesario que existan medidas legales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que partan desde este Congreso, que tiendan a crear las condiciones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sociales que desincentiven de manera categórica acciones que atenten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contra la estabilidad familiar, particularmente de las mujeres, pero también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niños, niñas y adolescentes, y adultos mayores.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378">
        <w:rPr>
          <w:rFonts w:ascii="Times New Roman" w:hAnsi="Times New Roman" w:cs="Times New Roman"/>
          <w:b/>
          <w:bCs/>
          <w:sz w:val="24"/>
          <w:szCs w:val="24"/>
        </w:rPr>
        <w:t>EXISTENCIA DE REGISTROS PÚBLICOS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2BBC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t>La ley Nº 20.594 introdujo una modificación al Decreto Ley Nº 645,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de 1925, sobre el registro general de condenas, que implica un registro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público de inhabilidades para trabajar en labores que impliquen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relación directa o indirecta con niños, niñas y adolescentes, dicha norma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permitido tomar resguardos frente a personas implicadas en delitos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carácter sexual contra menores de edad, siendo no solo una norma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administrativa, sino una norma de protección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Pr="002A6378">
        <w:rPr>
          <w:rFonts w:ascii="Times New Roman" w:hAnsi="Times New Roman" w:cs="Times New Roman"/>
          <w:sz w:val="24"/>
          <w:szCs w:val="24"/>
        </w:rPr>
        <w:t>.</w:t>
      </w: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lastRenderedPageBreak/>
        <w:t>Esta protección que se da en el contexto de los delitos sexuales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que atentan contra la infancia dan cuenta de que la exposición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conductas reñidas con determinados bienes jurídicos, con es el caso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violencia intrafamiliar.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t>La norma en comento apunta a solicitar información, pero siempre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teniendo a la vista un fin, como puede ser la contratación de carácter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laboral u otro fin, pero siempre poniendo a disposición del Servicio a cargo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de la entrega de la información. Es así como en la práctica se deben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ingresar los datos para acceder concretamente al denominado, “registro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de pedófilos”, existiendo una sanción asicada al mal uso de la información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que asciende a multas que van de 2 a 10 unidades tributarias mensuales.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t>Por su parte el artículo 12 de la Ley Nº 20.066 Ley de Violencia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Intrafamil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A6378">
        <w:rPr>
          <w:rFonts w:ascii="Times New Roman" w:hAnsi="Times New Roman" w:cs="Times New Roman"/>
          <w:sz w:val="24"/>
          <w:szCs w:val="24"/>
        </w:rPr>
        <w:t>ar, establece que “</w:t>
      </w:r>
      <w:r w:rsidRPr="002A6378">
        <w:rPr>
          <w:rFonts w:ascii="Times New Roman" w:hAnsi="Times New Roman" w:cs="Times New Roman"/>
          <w:iCs/>
          <w:sz w:val="24"/>
          <w:szCs w:val="24"/>
        </w:rPr>
        <w:t>El Servicio de Registro Civil e Identificación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iCs/>
          <w:sz w:val="24"/>
          <w:szCs w:val="24"/>
        </w:rPr>
        <w:t>deberá llevar un Registro Especial de las personas que hayan sido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iCs/>
          <w:sz w:val="24"/>
          <w:szCs w:val="24"/>
        </w:rPr>
        <w:t>condenadas, por sentencia ejecutoriada, como autoras de violencia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iCs/>
          <w:sz w:val="24"/>
          <w:szCs w:val="24"/>
        </w:rPr>
        <w:t>intrafamiliar, así como de las demás resoluciones que la ley ordene inscribir.”</w:t>
      </w:r>
      <w:r w:rsidRPr="002A6378">
        <w:rPr>
          <w:rFonts w:ascii="Times New Roman" w:hAnsi="Times New Roman" w:cs="Times New Roman"/>
          <w:sz w:val="24"/>
          <w:szCs w:val="24"/>
        </w:rPr>
        <w:t>.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t>No obstante lo anterior, este registro creado por la ley Nº 20.066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tiene el carácter de público como el establecido por la Ley Nº 20.594,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modo que su efecto social no es el mismo, lo cual hace necesaria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modificación en ese orden, con el fin de que aquellos que han atentado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contra la integridad de su familia vean limitada su acción.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t>Un registro de acceso público controlado permite que se tomen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decisiones que pueden ir de lo laboral hasta lo social, en el mismo sentido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ha intentado que quienes figuran en dichos registros para limitar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candidaturas a cargos de elección popular.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t>Una mujer que ha sido víctima de violencia debe atravesar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proceso burocrática a veces excesivo en busca de protección, de modo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que se deben activar todas las formas de control que puedan tender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disminución de hechos de esta naturaleza, pues los agresores tienden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reincidir en conductas de similar característica de modo que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sociedad debemos contar con mecanismo para enfrentar esta anomalía,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que por mucho tiempo dada la concepciones equivocadas de nuestra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sociedad se miraron como problemas de índole doméstico.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Default="002A6378" w:rsidP="002A6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D5D" w:rsidRDefault="00930D5D" w:rsidP="002A6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D5D" w:rsidRDefault="00930D5D" w:rsidP="002A6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D5D" w:rsidRDefault="00930D5D" w:rsidP="002A6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D5D" w:rsidRPr="002A6378" w:rsidRDefault="00930D5D" w:rsidP="002A6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Pr="002A6378" w:rsidRDefault="002A6378" w:rsidP="002A6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lastRenderedPageBreak/>
        <w:t>Es necesario que la sociedad conozca a quienes, independiente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de su motivación, han violentado la vida de mujeres, niños, niñas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adolescentes, dando publicidad parcial a los registros.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378">
        <w:rPr>
          <w:rFonts w:ascii="Times New Roman" w:hAnsi="Times New Roman" w:cs="Times New Roman"/>
          <w:bCs/>
          <w:sz w:val="24"/>
          <w:szCs w:val="24"/>
        </w:rPr>
        <w:t>En razón de lo anterior es que sometemos a este Honorable Senado el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bCs/>
          <w:sz w:val="24"/>
          <w:szCs w:val="24"/>
        </w:rPr>
        <w:t>siguiente:</w:t>
      </w: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0D5D" w:rsidRPr="002A6378" w:rsidRDefault="00930D5D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378">
        <w:rPr>
          <w:rFonts w:ascii="Times New Roman" w:hAnsi="Times New Roman" w:cs="Times New Roman"/>
          <w:b/>
          <w:bCs/>
          <w:sz w:val="24"/>
          <w:szCs w:val="24"/>
        </w:rPr>
        <w:t>PROYECTO DE LEY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378">
        <w:rPr>
          <w:rFonts w:ascii="Times New Roman" w:hAnsi="Times New Roman" w:cs="Times New Roman"/>
          <w:b/>
          <w:bCs/>
          <w:sz w:val="24"/>
          <w:szCs w:val="24"/>
        </w:rPr>
        <w:t>Artículo único.-</w:t>
      </w:r>
      <w:r w:rsidRPr="002A6378">
        <w:rPr>
          <w:rFonts w:ascii="Times New Roman" w:hAnsi="Times New Roman" w:cs="Times New Roman"/>
          <w:bCs/>
          <w:sz w:val="24"/>
          <w:szCs w:val="24"/>
        </w:rPr>
        <w:t xml:space="preserve"> Agréguese un nuevo inciso final al artículo 12 de la Ley Nº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bCs/>
          <w:sz w:val="24"/>
          <w:szCs w:val="24"/>
        </w:rPr>
        <w:t>20.066 Sobre Violencia Intrafamiliar, del siguiente tenor: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8">
        <w:rPr>
          <w:rFonts w:ascii="Times New Roman" w:hAnsi="Times New Roman" w:cs="Times New Roman"/>
          <w:sz w:val="24"/>
          <w:szCs w:val="24"/>
        </w:rPr>
        <w:t>“Cualquier persona natural o jurídica podrá solicitar que se le informe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informarse por sí misma, siempre que se identifique, si una persona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encuentra en el registro establecido en el inciso primero de este artículo,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mal uso de la información y su publicación no autorizada será sancionada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con multas de una a cinco unidades tributarias mensuales.”.</w:t>
      </w:r>
    </w:p>
    <w:sectPr w:rsidR="002A6378" w:rsidRPr="002A6378" w:rsidSect="002A6378">
      <w:pgSz w:w="12240" w:h="18720" w:code="14"/>
      <w:pgMar w:top="2835" w:right="1701" w:bottom="283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0D" w:rsidRDefault="0020750D" w:rsidP="002A6378">
      <w:pPr>
        <w:spacing w:after="0" w:line="240" w:lineRule="auto"/>
      </w:pPr>
      <w:r>
        <w:separator/>
      </w:r>
    </w:p>
  </w:endnote>
  <w:endnote w:type="continuationSeparator" w:id="0">
    <w:p w:rsidR="0020750D" w:rsidRDefault="0020750D" w:rsidP="002A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0D" w:rsidRDefault="0020750D" w:rsidP="002A6378">
      <w:pPr>
        <w:spacing w:after="0" w:line="240" w:lineRule="auto"/>
      </w:pPr>
      <w:r>
        <w:separator/>
      </w:r>
    </w:p>
  </w:footnote>
  <w:footnote w:type="continuationSeparator" w:id="0">
    <w:p w:rsidR="0020750D" w:rsidRDefault="0020750D" w:rsidP="002A6378">
      <w:pPr>
        <w:spacing w:after="0" w:line="240" w:lineRule="auto"/>
      </w:pPr>
      <w:r>
        <w:continuationSeparator/>
      </w:r>
    </w:p>
  </w:footnote>
  <w:footnote w:id="1"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Artículo 6º bis Cualquier persona natural o jurídica podrá solicitar que se le informe o informarse por sí misma, siempre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que se identifique, si una persona se encuentra afecta a la inhabilitación establecida en el artículo 39 bis del Código Penal,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con el fin de contratar a una persona para algún empleo, cargo, oficio o profesión que involucre una relación directa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378">
        <w:rPr>
          <w:rFonts w:ascii="Times New Roman" w:hAnsi="Times New Roman" w:cs="Times New Roman"/>
          <w:sz w:val="24"/>
          <w:szCs w:val="24"/>
        </w:rPr>
        <w:t>habitual con menores de edad, o cualquier otro fin similar.</w:t>
      </w:r>
    </w:p>
    <w:p w:rsidR="002A6378" w:rsidRPr="002A6378" w:rsidRDefault="002A6378" w:rsidP="002A6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78" w:rsidRPr="002A6378" w:rsidRDefault="002A6378">
      <w:pPr>
        <w:pStyle w:val="Textonotapie"/>
        <w:rPr>
          <w:lang w:val="es-C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78"/>
    <w:rsid w:val="00094A36"/>
    <w:rsid w:val="0020750D"/>
    <w:rsid w:val="002A6378"/>
    <w:rsid w:val="004F0D34"/>
    <w:rsid w:val="00831029"/>
    <w:rsid w:val="00930D5D"/>
    <w:rsid w:val="00B75791"/>
    <w:rsid w:val="00C363BD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A8AF4-8E5E-47D2-BFE2-3355825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A63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63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6378"/>
    <w:rPr>
      <w:vertAlign w:val="superscript"/>
    </w:rPr>
  </w:style>
  <w:style w:type="paragraph" w:customStyle="1" w:styleId="CharChar">
    <w:name w:val="Char Char"/>
    <w:basedOn w:val="Normal"/>
    <w:rsid w:val="00094A36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character" w:customStyle="1" w:styleId="text">
    <w:name w:val="text"/>
    <w:basedOn w:val="Fuentedeprrafopredeter"/>
    <w:rsid w:val="0009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2850-1DB3-48D8-B1FE-8C74FB36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OFSECRETARIA</dc:creator>
  <cp:lastModifiedBy>Marcela</cp:lastModifiedBy>
  <cp:revision>2</cp:revision>
  <dcterms:created xsi:type="dcterms:W3CDTF">2020-10-07T21:31:00Z</dcterms:created>
  <dcterms:modified xsi:type="dcterms:W3CDTF">2020-10-07T21:31:00Z</dcterms:modified>
</cp:coreProperties>
</file>