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6D" w:rsidRPr="006F5B6D" w:rsidRDefault="006F5B6D" w:rsidP="006F5B6D">
      <w:pPr>
        <w:widowControl w:val="0"/>
        <w:tabs>
          <w:tab w:val="left" w:pos="1418"/>
        </w:tabs>
        <w:spacing w:line="276" w:lineRule="auto"/>
        <w:jc w:val="right"/>
        <w:rPr>
          <w:rFonts w:ascii="Times New Roman" w:hAnsi="Times New Roman" w:cs="Times New Roman"/>
          <w:b/>
          <w:color w:val="000000"/>
        </w:rPr>
      </w:pPr>
      <w:bookmarkStart w:id="0" w:name="_GoBack"/>
      <w:r w:rsidRPr="006F5B6D">
        <w:rPr>
          <w:rFonts w:ascii="Times New Roman" w:hAnsi="Times New Roman" w:cs="Times New Roman"/>
          <w:b/>
          <w:color w:val="000000"/>
        </w:rPr>
        <w:t>Boletín N° 13.882-07</w:t>
      </w:r>
    </w:p>
    <w:p w:rsidR="006F5B6D" w:rsidRPr="006F5B6D" w:rsidRDefault="006F5B6D" w:rsidP="006F5B6D">
      <w:pPr>
        <w:widowControl w:val="0"/>
        <w:tabs>
          <w:tab w:val="left" w:pos="1418"/>
        </w:tabs>
        <w:spacing w:line="276" w:lineRule="auto"/>
        <w:jc w:val="both"/>
        <w:rPr>
          <w:rFonts w:ascii="Times New Roman" w:hAnsi="Times New Roman" w:cs="Times New Roman"/>
          <w:b/>
          <w:color w:val="000000"/>
        </w:rPr>
      </w:pPr>
    </w:p>
    <w:p w:rsidR="006F5B6D" w:rsidRPr="006F5B6D" w:rsidRDefault="006F5B6D" w:rsidP="006F5B6D">
      <w:pPr>
        <w:widowControl w:val="0"/>
        <w:tabs>
          <w:tab w:val="left" w:pos="1418"/>
        </w:tabs>
        <w:spacing w:line="276" w:lineRule="auto"/>
        <w:jc w:val="both"/>
        <w:rPr>
          <w:rFonts w:ascii="Times New Roman" w:hAnsi="Times New Roman" w:cs="Times New Roman"/>
          <w:b/>
          <w:color w:val="000000"/>
        </w:rPr>
      </w:pPr>
      <w:r>
        <w:rPr>
          <w:rFonts w:ascii="Times New Roman" w:hAnsi="Times New Roman" w:cs="Times New Roman"/>
          <w:b/>
          <w:color w:val="000000"/>
        </w:rPr>
        <w:t>P</w:t>
      </w:r>
      <w:r w:rsidRPr="006F5B6D">
        <w:rPr>
          <w:rFonts w:ascii="Times New Roman" w:hAnsi="Times New Roman" w:cs="Times New Roman"/>
          <w:b/>
          <w:color w:val="000000"/>
        </w:rPr>
        <w:t>royecto de ley, iniciado en moción de los Honorables Senadores señor</w:t>
      </w:r>
      <w:r w:rsidR="006A1E30">
        <w:rPr>
          <w:rFonts w:ascii="Times New Roman" w:hAnsi="Times New Roman" w:cs="Times New Roman"/>
          <w:b/>
          <w:color w:val="000000"/>
        </w:rPr>
        <w:t>es</w:t>
      </w:r>
      <w:r w:rsidRPr="006F5B6D">
        <w:rPr>
          <w:rFonts w:ascii="Times New Roman" w:hAnsi="Times New Roman" w:cs="Times New Roman"/>
          <w:b/>
          <w:color w:val="000000"/>
        </w:rPr>
        <w:t xml:space="preserve"> De Urresti, Araya, Elizalde, Guillier y Huenchumilla, que deroga el numeral 4º del artículo 323 del Código Orgánico de Tribunales, sobre prohibiciones de los jueces.</w:t>
      </w:r>
    </w:p>
    <w:bookmarkEnd w:id="0"/>
    <w:p w:rsidR="006F5B6D" w:rsidRPr="006F5B6D" w:rsidRDefault="006F5B6D" w:rsidP="006F5B6D">
      <w:pPr>
        <w:widowControl w:val="0"/>
        <w:tabs>
          <w:tab w:val="left" w:pos="1418"/>
        </w:tabs>
        <w:spacing w:line="276" w:lineRule="auto"/>
        <w:jc w:val="both"/>
        <w:rPr>
          <w:rFonts w:ascii="Times New Roman" w:hAnsi="Times New Roman" w:cs="Times New Roman"/>
          <w:b/>
          <w:color w:val="000000"/>
        </w:rPr>
      </w:pPr>
    </w:p>
    <w:p w:rsidR="00EF5DDA" w:rsidRPr="006F5B6D" w:rsidRDefault="00EF5DDA" w:rsidP="008613EF">
      <w:pPr>
        <w:spacing w:line="276" w:lineRule="auto"/>
        <w:jc w:val="both"/>
        <w:rPr>
          <w:rFonts w:ascii="Times New Roman" w:hAnsi="Times New Roman" w:cs="Times New Roman"/>
          <w:u w:val="single"/>
        </w:rPr>
      </w:pPr>
    </w:p>
    <w:p w:rsidR="00EF5DDA" w:rsidRPr="006F5B6D" w:rsidRDefault="00EF5DDA" w:rsidP="008613EF">
      <w:pPr>
        <w:spacing w:line="276" w:lineRule="auto"/>
        <w:jc w:val="both"/>
        <w:rPr>
          <w:rFonts w:ascii="Times New Roman" w:hAnsi="Times New Roman" w:cs="Times New Roman"/>
          <w:u w:val="single"/>
        </w:rPr>
      </w:pPr>
      <w:r w:rsidRPr="006F5B6D">
        <w:rPr>
          <w:rFonts w:ascii="Times New Roman" w:hAnsi="Times New Roman" w:cs="Times New Roman"/>
          <w:u w:val="single"/>
        </w:rPr>
        <w:t xml:space="preserve">Antecedentes </w:t>
      </w:r>
    </w:p>
    <w:p w:rsidR="00EF5DDA" w:rsidRPr="006F5B6D" w:rsidRDefault="00EF5DDA" w:rsidP="008613EF">
      <w:pPr>
        <w:spacing w:line="276" w:lineRule="auto"/>
        <w:jc w:val="both"/>
        <w:rPr>
          <w:rFonts w:ascii="Times New Roman" w:hAnsi="Times New Roman" w:cs="Times New Roman"/>
        </w:rPr>
      </w:pPr>
    </w:p>
    <w:p w:rsidR="00EF5DDA" w:rsidRPr="006F5B6D" w:rsidRDefault="008613EF" w:rsidP="008613EF">
      <w:pPr>
        <w:spacing w:line="276" w:lineRule="auto"/>
        <w:jc w:val="both"/>
        <w:rPr>
          <w:rFonts w:ascii="Times New Roman" w:hAnsi="Times New Roman" w:cs="Times New Roman"/>
        </w:rPr>
      </w:pPr>
      <w:r w:rsidRPr="006F5B6D">
        <w:rPr>
          <w:rFonts w:ascii="Times New Roman" w:hAnsi="Times New Roman" w:cs="Times New Roman"/>
        </w:rPr>
        <w:t>L</w:t>
      </w:r>
      <w:r w:rsidR="00EF5DDA" w:rsidRPr="006F5B6D">
        <w:rPr>
          <w:rFonts w:ascii="Times New Roman" w:hAnsi="Times New Roman" w:cs="Times New Roman"/>
        </w:rPr>
        <w:t>a Corte Interamericana de Derechos Humanos, en adelante (CIDH)</w:t>
      </w:r>
      <w:r w:rsidRPr="006F5B6D">
        <w:rPr>
          <w:rFonts w:ascii="Times New Roman" w:hAnsi="Times New Roman" w:cs="Times New Roman"/>
        </w:rPr>
        <w:t xml:space="preserve"> en sentencia en el caso “Urrutia Laubreaux </w:t>
      </w:r>
      <w:r w:rsidR="0033513D" w:rsidRPr="006F5B6D">
        <w:rPr>
          <w:rFonts w:ascii="Times New Roman" w:hAnsi="Times New Roman" w:cs="Times New Roman"/>
        </w:rPr>
        <w:t>v</w:t>
      </w:r>
      <w:r w:rsidRPr="006F5B6D">
        <w:rPr>
          <w:rFonts w:ascii="Times New Roman" w:hAnsi="Times New Roman" w:cs="Times New Roman"/>
        </w:rPr>
        <w:t>s. Chile”</w:t>
      </w:r>
      <w:r w:rsidR="00EA4DF2" w:rsidRPr="006F5B6D">
        <w:rPr>
          <w:rFonts w:ascii="Times New Roman" w:hAnsi="Times New Roman" w:cs="Times New Roman"/>
        </w:rPr>
        <w:t xml:space="preserve">, </w:t>
      </w:r>
      <w:r w:rsidR="00EF5DDA" w:rsidRPr="006F5B6D">
        <w:rPr>
          <w:rFonts w:ascii="Times New Roman" w:hAnsi="Times New Roman" w:cs="Times New Roman"/>
        </w:rPr>
        <w:t>responsabilizó al Estado de Chile por violación de los derechos a la libertad de pensamiento y expresión</w:t>
      </w:r>
      <w:r w:rsidR="00340469" w:rsidRPr="006F5B6D">
        <w:rPr>
          <w:rFonts w:ascii="Times New Roman" w:hAnsi="Times New Roman" w:cs="Times New Roman"/>
        </w:rPr>
        <w:t>,</w:t>
      </w:r>
      <w:r w:rsidR="00EF5DDA" w:rsidRPr="006F5B6D">
        <w:rPr>
          <w:rFonts w:ascii="Times New Roman" w:hAnsi="Times New Roman" w:cs="Times New Roman"/>
        </w:rPr>
        <w:t xml:space="preserve"> a las garantías judiciales y al principio de legalidad, en relación con la obligación de respetar y garantizar dichos derechos y el deber de adoptar disposiciones de derecho interno, en el caso del juez Daniel Urrutia. </w:t>
      </w:r>
    </w:p>
    <w:p w:rsidR="00EF5DDA" w:rsidRPr="006F5B6D" w:rsidRDefault="00EF5DDA" w:rsidP="008613EF">
      <w:pPr>
        <w:spacing w:line="276" w:lineRule="auto"/>
        <w:jc w:val="both"/>
        <w:rPr>
          <w:rFonts w:ascii="Times New Roman" w:hAnsi="Times New Roman" w:cs="Times New Roman"/>
        </w:rPr>
      </w:pPr>
    </w:p>
    <w:p w:rsidR="00B0497B" w:rsidRPr="006F5B6D" w:rsidRDefault="00EF5DDA" w:rsidP="008613EF">
      <w:pPr>
        <w:spacing w:line="276" w:lineRule="auto"/>
        <w:jc w:val="both"/>
        <w:rPr>
          <w:rFonts w:ascii="Times New Roman" w:hAnsi="Times New Roman" w:cs="Times New Roman"/>
        </w:rPr>
      </w:pPr>
      <w:r w:rsidRPr="006F5B6D">
        <w:rPr>
          <w:rFonts w:ascii="Times New Roman" w:hAnsi="Times New Roman" w:cs="Times New Roman"/>
        </w:rPr>
        <w:t xml:space="preserve">En la sentencia de la CIDH, se señala que </w:t>
      </w:r>
      <w:r w:rsidR="00B0497B" w:rsidRPr="006F5B6D">
        <w:rPr>
          <w:rFonts w:ascii="Times New Roman" w:hAnsi="Times New Roman" w:cs="Times New Roman"/>
        </w:rPr>
        <w:t>el juez Urrutia</w:t>
      </w:r>
      <w:r w:rsidR="0033513D" w:rsidRPr="006F5B6D">
        <w:rPr>
          <w:rFonts w:ascii="Times New Roman" w:hAnsi="Times New Roman" w:cs="Times New Roman"/>
        </w:rPr>
        <w:t>,</w:t>
      </w:r>
      <w:r w:rsidR="00B0497B" w:rsidRPr="006F5B6D">
        <w:rPr>
          <w:rFonts w:ascii="Times New Roman" w:hAnsi="Times New Roman" w:cs="Times New Roman"/>
        </w:rPr>
        <w:t xml:space="preserve"> reali</w:t>
      </w:r>
      <w:r w:rsidR="00340469" w:rsidRPr="006F5B6D">
        <w:rPr>
          <w:rFonts w:ascii="Times New Roman" w:hAnsi="Times New Roman" w:cs="Times New Roman"/>
        </w:rPr>
        <w:t>zó</w:t>
      </w:r>
      <w:r w:rsidR="00B0497B" w:rsidRPr="006F5B6D">
        <w:rPr>
          <w:rFonts w:ascii="Times New Roman" w:hAnsi="Times New Roman" w:cs="Times New Roman"/>
        </w:rPr>
        <w:t xml:space="preserve"> un trabajo </w:t>
      </w:r>
      <w:r w:rsidR="00340469" w:rsidRPr="006F5B6D">
        <w:rPr>
          <w:rFonts w:ascii="Times New Roman" w:hAnsi="Times New Roman" w:cs="Times New Roman"/>
        </w:rPr>
        <w:t xml:space="preserve">académico en el contexto de un diplomado, </w:t>
      </w:r>
      <w:r w:rsidR="00B0497B" w:rsidRPr="006F5B6D">
        <w:rPr>
          <w:rFonts w:ascii="Times New Roman" w:hAnsi="Times New Roman" w:cs="Times New Roman"/>
        </w:rPr>
        <w:t>donde proponía que el Poder Judicial adoptara medidas de reparación por la responsabilidad que dicha institución habría tenido en las violaciones de los derechos humanos</w:t>
      </w:r>
      <w:r w:rsidR="0033513D" w:rsidRPr="006F5B6D">
        <w:rPr>
          <w:rFonts w:ascii="Times New Roman" w:hAnsi="Times New Roman" w:cs="Times New Roman"/>
        </w:rPr>
        <w:t xml:space="preserve"> en la época de la dictadura militar. </w:t>
      </w:r>
      <w:r w:rsidR="00B0497B" w:rsidRPr="006F5B6D">
        <w:rPr>
          <w:rFonts w:ascii="Times New Roman" w:hAnsi="Times New Roman" w:cs="Times New Roman"/>
        </w:rPr>
        <w:t xml:space="preserve"> </w:t>
      </w:r>
    </w:p>
    <w:p w:rsidR="008613EF" w:rsidRPr="006F5B6D" w:rsidRDefault="008613EF" w:rsidP="008613EF">
      <w:pPr>
        <w:spacing w:line="276" w:lineRule="auto"/>
        <w:jc w:val="both"/>
        <w:rPr>
          <w:rFonts w:ascii="Times New Roman" w:hAnsi="Times New Roman" w:cs="Times New Roman"/>
        </w:rPr>
      </w:pPr>
    </w:p>
    <w:p w:rsidR="00B0497B" w:rsidRPr="006F5B6D" w:rsidRDefault="00B0497B" w:rsidP="008613EF">
      <w:pPr>
        <w:spacing w:line="276" w:lineRule="auto"/>
        <w:jc w:val="both"/>
        <w:rPr>
          <w:rFonts w:ascii="Times New Roman" w:hAnsi="Times New Roman" w:cs="Times New Roman"/>
        </w:rPr>
      </w:pPr>
      <w:r w:rsidRPr="006F5B6D">
        <w:rPr>
          <w:rFonts w:ascii="Times New Roman" w:hAnsi="Times New Roman" w:cs="Times New Roman"/>
        </w:rPr>
        <w:t>En ese entonces,</w:t>
      </w:r>
      <w:r w:rsidR="00340469" w:rsidRPr="006F5B6D">
        <w:rPr>
          <w:rFonts w:ascii="Times New Roman" w:hAnsi="Times New Roman" w:cs="Times New Roman"/>
        </w:rPr>
        <w:t xml:space="preserve"> en el 2005,</w:t>
      </w:r>
      <w:r w:rsidRPr="006F5B6D">
        <w:rPr>
          <w:rFonts w:ascii="Times New Roman" w:hAnsi="Times New Roman" w:cs="Times New Roman"/>
        </w:rPr>
        <w:t xml:space="preserve"> la Corte Suprema, señaló que aquel trabajo contenía “apreciaciones inadecuadas e inaceptables” y por ese hecho fue sancionado por la Corte de Apelaciones de La Serena por el artículo 323 Nº 4 del Código Orgánico de Tribunales, que prohíbe a los jueces defenderse o atacar a otros jueces sin la autorización de la Corte Suprema. </w:t>
      </w:r>
    </w:p>
    <w:p w:rsidR="00B0497B" w:rsidRPr="006F5B6D" w:rsidRDefault="00B0497B" w:rsidP="008613EF">
      <w:pPr>
        <w:spacing w:line="276" w:lineRule="auto"/>
        <w:jc w:val="both"/>
        <w:rPr>
          <w:rFonts w:ascii="Times New Roman" w:hAnsi="Times New Roman" w:cs="Times New Roman"/>
        </w:rPr>
      </w:pPr>
    </w:p>
    <w:p w:rsidR="00B0497B" w:rsidRPr="006F5B6D" w:rsidRDefault="00B0497B" w:rsidP="008613EF">
      <w:pPr>
        <w:spacing w:line="276" w:lineRule="auto"/>
        <w:jc w:val="both"/>
        <w:rPr>
          <w:rFonts w:ascii="Times New Roman" w:hAnsi="Times New Roman" w:cs="Times New Roman"/>
        </w:rPr>
      </w:pPr>
      <w:r w:rsidRPr="006F5B6D">
        <w:rPr>
          <w:rFonts w:ascii="Times New Roman" w:hAnsi="Times New Roman" w:cs="Times New Roman"/>
        </w:rPr>
        <w:t>Después de 15 años, la CIDH declaró la violación de los derechos humanos en el sumario administrativo del cual fue objeto el Juez Urrutia, donde también condena al Estado de Chile por la violación del debido proceso legal</w:t>
      </w:r>
      <w:r w:rsidR="008613EF" w:rsidRPr="006F5B6D">
        <w:rPr>
          <w:rFonts w:ascii="Times New Roman" w:hAnsi="Times New Roman" w:cs="Times New Roman"/>
        </w:rPr>
        <w:t xml:space="preserve">, porque el mismo órgano que denuncia es el órgano que sentencia. </w:t>
      </w:r>
    </w:p>
    <w:p w:rsidR="008613EF" w:rsidRPr="006F5B6D" w:rsidRDefault="008613EF" w:rsidP="008613EF">
      <w:pPr>
        <w:spacing w:line="276" w:lineRule="auto"/>
        <w:jc w:val="both"/>
        <w:rPr>
          <w:rFonts w:ascii="Times New Roman" w:hAnsi="Times New Roman" w:cs="Times New Roman"/>
        </w:rPr>
      </w:pPr>
    </w:p>
    <w:p w:rsidR="0033513D" w:rsidRPr="006F5B6D" w:rsidRDefault="0033513D" w:rsidP="0033513D">
      <w:pPr>
        <w:spacing w:line="276" w:lineRule="auto"/>
        <w:jc w:val="both"/>
        <w:rPr>
          <w:rFonts w:ascii="Times New Roman" w:hAnsi="Times New Roman" w:cs="Times New Roman"/>
          <w:lang w:val="es-CL"/>
        </w:rPr>
      </w:pPr>
      <w:r w:rsidRPr="006F5B6D">
        <w:rPr>
          <w:rFonts w:ascii="Times New Roman" w:hAnsi="Times New Roman" w:cs="Times New Roman"/>
        </w:rPr>
        <w:t>En el fallo, en su párrafo 150 se señala expresamente que: “</w:t>
      </w:r>
      <w:r w:rsidRPr="006F5B6D">
        <w:rPr>
          <w:rFonts w:ascii="Times New Roman" w:hAnsi="Times New Roman" w:cs="Times New Roman"/>
          <w:lang w:val="es-CL"/>
        </w:rPr>
        <w:t xml:space="preserve">150. La Corte valora positivamente los esfuerzos llevados a cabo por el Poder Judicial chileno en la limitación de la aplicación del referido artículo 323. En efecto, de acuerdo con la información aportada por el Estado, no consta que el numeral 4 del artículo 323 del Código Orgánico de Tribunales se haya vuelto a aplicar desde que fue utilizado como base para la sanción disciplinaria al señor Urrutia Laubreaux. Sin embargo, este se encuentra vigente, y, en el presente caso, este Tribunal concluyó que el Estado </w:t>
      </w:r>
      <w:r w:rsidRPr="006F5B6D">
        <w:rPr>
          <w:rFonts w:ascii="Times New Roman" w:hAnsi="Times New Roman" w:cs="Times New Roman"/>
          <w:b/>
          <w:bCs/>
          <w:lang w:val="es-CL"/>
        </w:rPr>
        <w:t xml:space="preserve">incumplió la obligación de adoptar las disposiciones de </w:t>
      </w:r>
      <w:r w:rsidRPr="006F5B6D">
        <w:rPr>
          <w:rFonts w:ascii="Times New Roman" w:hAnsi="Times New Roman" w:cs="Times New Roman"/>
          <w:b/>
          <w:bCs/>
          <w:lang w:val="es-CL"/>
        </w:rPr>
        <w:lastRenderedPageBreak/>
        <w:t>derecho interno al mantener dentro de su legislación el numeral 4 del artículo 323 del Código Orgánico de Tribunales</w:t>
      </w:r>
      <w:r w:rsidRPr="006F5B6D">
        <w:rPr>
          <w:rFonts w:ascii="Times New Roman" w:hAnsi="Times New Roman" w:cs="Times New Roman"/>
          <w:lang w:val="es-CL"/>
        </w:rPr>
        <w:t>, conforme a la obligación establecida en el artículo 2 de la Convención Americana, en relación con los artículos 8.1, 9 y 1.1 de la Convención (supra párrs. 129 a 141). En consecuencia, el Estado deberá suprimir el numeral 4 del artículo 323 del Código Orgánica de Tribunales.”</w:t>
      </w:r>
      <w:r w:rsidRPr="006F5B6D">
        <w:rPr>
          <w:rStyle w:val="Refdenotaalpie"/>
          <w:rFonts w:ascii="Times New Roman" w:hAnsi="Times New Roman" w:cs="Times New Roman"/>
          <w:lang w:val="es-CL"/>
        </w:rPr>
        <w:footnoteReference w:id="1"/>
      </w:r>
      <w:r w:rsidRPr="006F5B6D">
        <w:rPr>
          <w:rFonts w:ascii="Times New Roman" w:hAnsi="Times New Roman" w:cs="Times New Roman"/>
          <w:lang w:val="es-CL"/>
        </w:rPr>
        <w:t>.</w:t>
      </w:r>
    </w:p>
    <w:p w:rsidR="0033513D" w:rsidRPr="006F5B6D" w:rsidRDefault="0033513D" w:rsidP="008613EF">
      <w:pPr>
        <w:spacing w:line="276" w:lineRule="auto"/>
        <w:jc w:val="both"/>
        <w:rPr>
          <w:rFonts w:ascii="Times New Roman" w:hAnsi="Times New Roman" w:cs="Times New Roman"/>
        </w:rPr>
      </w:pPr>
    </w:p>
    <w:p w:rsidR="00B0497B" w:rsidRPr="006F5B6D" w:rsidRDefault="00B0497B" w:rsidP="008613EF">
      <w:pPr>
        <w:spacing w:line="276" w:lineRule="auto"/>
        <w:jc w:val="both"/>
        <w:rPr>
          <w:rFonts w:ascii="Times New Roman" w:hAnsi="Times New Roman" w:cs="Times New Roman"/>
          <w:u w:val="single"/>
        </w:rPr>
      </w:pPr>
    </w:p>
    <w:p w:rsidR="00EF5DDA" w:rsidRPr="006F5B6D" w:rsidRDefault="00EF5DDA" w:rsidP="008613EF">
      <w:pPr>
        <w:spacing w:line="276" w:lineRule="auto"/>
        <w:jc w:val="both"/>
        <w:rPr>
          <w:rFonts w:ascii="Times New Roman" w:hAnsi="Times New Roman" w:cs="Times New Roman"/>
          <w:u w:val="single"/>
        </w:rPr>
      </w:pPr>
      <w:r w:rsidRPr="006F5B6D">
        <w:rPr>
          <w:rFonts w:ascii="Times New Roman" w:hAnsi="Times New Roman" w:cs="Times New Roman"/>
          <w:u w:val="single"/>
        </w:rPr>
        <w:t xml:space="preserve">Objetivo del proyecto </w:t>
      </w:r>
    </w:p>
    <w:p w:rsidR="00EF5DDA" w:rsidRPr="006F5B6D" w:rsidRDefault="00EF5DDA" w:rsidP="008613EF">
      <w:pPr>
        <w:spacing w:line="276" w:lineRule="auto"/>
        <w:jc w:val="both"/>
        <w:rPr>
          <w:rFonts w:ascii="Times New Roman" w:hAnsi="Times New Roman" w:cs="Times New Roman"/>
        </w:rPr>
      </w:pPr>
    </w:p>
    <w:p w:rsidR="0033513D" w:rsidRPr="006F5B6D" w:rsidRDefault="008613EF" w:rsidP="0033513D">
      <w:pPr>
        <w:spacing w:line="276" w:lineRule="auto"/>
        <w:jc w:val="both"/>
        <w:rPr>
          <w:rFonts w:ascii="Times New Roman" w:eastAsia="Times New Roman" w:hAnsi="Times New Roman" w:cs="Times New Roman"/>
          <w:lang w:val="es-CL" w:eastAsia="es-ES_tradnl"/>
        </w:rPr>
      </w:pPr>
      <w:r w:rsidRPr="006F5B6D">
        <w:rPr>
          <w:rFonts w:ascii="Times New Roman" w:hAnsi="Times New Roman" w:cs="Times New Roman"/>
        </w:rPr>
        <w:t>De la sentencia de la CIDH</w:t>
      </w:r>
      <w:r w:rsidR="0033513D" w:rsidRPr="006F5B6D">
        <w:rPr>
          <w:rFonts w:ascii="Times New Roman" w:hAnsi="Times New Roman" w:cs="Times New Roman"/>
        </w:rPr>
        <w:t xml:space="preserve"> ya citada</w:t>
      </w:r>
      <w:r w:rsidRPr="006F5B6D">
        <w:rPr>
          <w:rFonts w:ascii="Times New Roman" w:hAnsi="Times New Roman" w:cs="Times New Roman"/>
        </w:rPr>
        <w:t>, queda claramente establecido que la actual legislación en esta materia, no es compatible con los derechos humanos, y por tanto debe ser modificado</w:t>
      </w:r>
      <w:r w:rsidR="0033513D" w:rsidRPr="006F5B6D">
        <w:rPr>
          <w:rFonts w:ascii="Times New Roman" w:hAnsi="Times New Roman" w:cs="Times New Roman"/>
        </w:rPr>
        <w:t>,</w:t>
      </w:r>
      <w:r w:rsidRPr="006F5B6D">
        <w:rPr>
          <w:rFonts w:ascii="Times New Roman" w:hAnsi="Times New Roman" w:cs="Times New Roman"/>
        </w:rPr>
        <w:t xml:space="preserve"> El objetivo de este proyecto de ley, es la derogación expresa del numeral 4º del artículo 323 del Código Orgánico de Tribunales, que establece que “Se prohíbe a los jueces</w:t>
      </w:r>
      <w:r w:rsidR="0033513D" w:rsidRPr="006F5B6D">
        <w:rPr>
          <w:rFonts w:ascii="Times New Roman" w:hAnsi="Times New Roman" w:cs="Times New Roman"/>
        </w:rPr>
        <w:t>… 4) Publicar, sin autorización del Presidente de la Corte Suprema, escritos en defensa de su conducta oficial o atacar en cualquier forma, la de otros jueces o magistrados”</w:t>
      </w:r>
      <w:r w:rsidR="0033513D" w:rsidRPr="006F5B6D">
        <w:rPr>
          <w:rStyle w:val="Refdenotaalpie"/>
          <w:rFonts w:ascii="Times New Roman" w:hAnsi="Times New Roman" w:cs="Times New Roman"/>
        </w:rPr>
        <w:footnoteReference w:id="2"/>
      </w:r>
      <w:r w:rsidR="0033513D" w:rsidRPr="006F5B6D">
        <w:rPr>
          <w:rFonts w:ascii="Times New Roman" w:hAnsi="Times New Roman" w:cs="Times New Roman"/>
        </w:rPr>
        <w:t xml:space="preserve">. </w:t>
      </w:r>
      <w:r w:rsidR="0033513D" w:rsidRPr="006F5B6D">
        <w:rPr>
          <w:rFonts w:ascii="Times New Roman" w:eastAsia="Times New Roman" w:hAnsi="Times New Roman" w:cs="Times New Roman"/>
          <w:lang w:val="es-CL" w:eastAsia="es-ES_tradnl"/>
        </w:rPr>
        <w:t xml:space="preserve"> </w:t>
      </w:r>
    </w:p>
    <w:p w:rsidR="00340469" w:rsidRPr="006F5B6D" w:rsidRDefault="00340469" w:rsidP="0033513D">
      <w:pPr>
        <w:spacing w:line="276" w:lineRule="auto"/>
        <w:jc w:val="both"/>
        <w:rPr>
          <w:rFonts w:ascii="Times New Roman" w:eastAsia="Times New Roman" w:hAnsi="Times New Roman" w:cs="Times New Roman"/>
          <w:lang w:val="es-CL" w:eastAsia="es-ES_tradnl"/>
        </w:rPr>
      </w:pPr>
    </w:p>
    <w:p w:rsidR="00340469" w:rsidRPr="006F5B6D" w:rsidRDefault="00340469" w:rsidP="0033513D">
      <w:pPr>
        <w:spacing w:line="276" w:lineRule="auto"/>
        <w:jc w:val="both"/>
        <w:rPr>
          <w:rFonts w:ascii="Times New Roman" w:eastAsia="Times New Roman" w:hAnsi="Times New Roman" w:cs="Times New Roman"/>
          <w:lang w:val="es-CL" w:eastAsia="es-ES_tradnl"/>
        </w:rPr>
      </w:pPr>
      <w:r w:rsidRPr="006F5B6D">
        <w:rPr>
          <w:rFonts w:ascii="Times New Roman" w:eastAsia="Times New Roman" w:hAnsi="Times New Roman" w:cs="Times New Roman"/>
          <w:lang w:val="es-CL" w:eastAsia="es-ES_tradnl"/>
        </w:rPr>
        <w:t xml:space="preserve">Por todas las razones de hecho y de derecho anteriormente expuestas se propone el siguiente: </w:t>
      </w:r>
    </w:p>
    <w:p w:rsidR="0033513D" w:rsidRPr="006F5B6D" w:rsidRDefault="0033513D" w:rsidP="008613EF">
      <w:pPr>
        <w:spacing w:line="276" w:lineRule="auto"/>
        <w:jc w:val="both"/>
        <w:rPr>
          <w:rFonts w:ascii="Times New Roman" w:hAnsi="Times New Roman" w:cs="Times New Roman"/>
        </w:rPr>
      </w:pPr>
    </w:p>
    <w:p w:rsidR="008613EF" w:rsidRPr="006F5B6D" w:rsidRDefault="008613EF" w:rsidP="008613EF">
      <w:pPr>
        <w:spacing w:line="276" w:lineRule="auto"/>
        <w:jc w:val="both"/>
        <w:rPr>
          <w:rFonts w:ascii="Times New Roman" w:hAnsi="Times New Roman" w:cs="Times New Roman"/>
        </w:rPr>
      </w:pPr>
    </w:p>
    <w:p w:rsidR="008613EF" w:rsidRPr="006F5B6D" w:rsidRDefault="008613EF" w:rsidP="0033513D">
      <w:pPr>
        <w:spacing w:line="276" w:lineRule="auto"/>
        <w:jc w:val="center"/>
        <w:rPr>
          <w:rFonts w:ascii="Times New Roman" w:hAnsi="Times New Roman" w:cs="Times New Roman"/>
          <w:u w:val="single"/>
        </w:rPr>
      </w:pPr>
    </w:p>
    <w:p w:rsidR="00EF5DDA" w:rsidRPr="006F5B6D" w:rsidRDefault="00EF5DDA" w:rsidP="006F5B6D">
      <w:pPr>
        <w:spacing w:line="276" w:lineRule="auto"/>
        <w:rPr>
          <w:rFonts w:ascii="Times New Roman" w:hAnsi="Times New Roman" w:cs="Times New Roman"/>
          <w:b/>
          <w:u w:val="single"/>
        </w:rPr>
      </w:pPr>
      <w:r w:rsidRPr="006F5B6D">
        <w:rPr>
          <w:rFonts w:ascii="Times New Roman" w:hAnsi="Times New Roman" w:cs="Times New Roman"/>
          <w:b/>
          <w:u w:val="single"/>
        </w:rPr>
        <w:t>Proyecto de ley:</w:t>
      </w:r>
    </w:p>
    <w:p w:rsidR="00EF5DDA" w:rsidRPr="006F5B6D" w:rsidRDefault="00EF5DDA" w:rsidP="008613EF">
      <w:pPr>
        <w:spacing w:line="276" w:lineRule="auto"/>
        <w:jc w:val="both"/>
        <w:rPr>
          <w:rFonts w:ascii="Times New Roman" w:hAnsi="Times New Roman" w:cs="Times New Roman"/>
        </w:rPr>
      </w:pPr>
    </w:p>
    <w:p w:rsidR="00EF5DDA" w:rsidRPr="006F5B6D" w:rsidRDefault="00EF5DDA" w:rsidP="008613EF">
      <w:pPr>
        <w:spacing w:line="276" w:lineRule="auto"/>
        <w:jc w:val="both"/>
        <w:rPr>
          <w:rFonts w:ascii="Times New Roman" w:hAnsi="Times New Roman" w:cs="Times New Roman"/>
        </w:rPr>
      </w:pPr>
      <w:r w:rsidRPr="006F5B6D">
        <w:rPr>
          <w:rFonts w:ascii="Times New Roman" w:hAnsi="Times New Roman" w:cs="Times New Roman"/>
        </w:rPr>
        <w:t xml:space="preserve">Artículo único: Introdúcese la siguiente modificación al Código Orgánico de Tribunales: </w:t>
      </w:r>
    </w:p>
    <w:p w:rsidR="00EF5DDA" w:rsidRPr="006F5B6D" w:rsidRDefault="00EF5DDA" w:rsidP="008613EF">
      <w:pPr>
        <w:spacing w:line="276" w:lineRule="auto"/>
        <w:jc w:val="both"/>
        <w:rPr>
          <w:rFonts w:ascii="Times New Roman" w:hAnsi="Times New Roman" w:cs="Times New Roman"/>
        </w:rPr>
      </w:pPr>
    </w:p>
    <w:p w:rsidR="00EF5DDA" w:rsidRPr="006F5B6D" w:rsidRDefault="00EF5DDA" w:rsidP="006F5B6D">
      <w:pPr>
        <w:pStyle w:val="Prrafodelista"/>
        <w:numPr>
          <w:ilvl w:val="0"/>
          <w:numId w:val="1"/>
        </w:numPr>
        <w:spacing w:line="276" w:lineRule="auto"/>
        <w:jc w:val="both"/>
        <w:rPr>
          <w:rFonts w:ascii="Times New Roman" w:hAnsi="Times New Roman" w:cs="Times New Roman"/>
        </w:rPr>
      </w:pPr>
      <w:r w:rsidRPr="006F5B6D">
        <w:rPr>
          <w:rFonts w:ascii="Times New Roman" w:hAnsi="Times New Roman" w:cs="Times New Roman"/>
        </w:rPr>
        <w:t xml:space="preserve">Deróguese el numeral 4º del artículo 323 </w:t>
      </w:r>
    </w:p>
    <w:sectPr w:rsidR="00EF5DDA" w:rsidRPr="006F5B6D" w:rsidSect="006F5B6D">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DE5" w:rsidRDefault="00993DE5" w:rsidP="0033513D">
      <w:r>
        <w:separator/>
      </w:r>
    </w:p>
  </w:endnote>
  <w:endnote w:type="continuationSeparator" w:id="0">
    <w:p w:rsidR="00993DE5" w:rsidRDefault="00993DE5" w:rsidP="0033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DE5" w:rsidRDefault="00993DE5" w:rsidP="0033513D">
      <w:r>
        <w:separator/>
      </w:r>
    </w:p>
  </w:footnote>
  <w:footnote w:type="continuationSeparator" w:id="0">
    <w:p w:rsidR="00993DE5" w:rsidRDefault="00993DE5" w:rsidP="0033513D">
      <w:r>
        <w:continuationSeparator/>
      </w:r>
    </w:p>
  </w:footnote>
  <w:footnote w:id="1">
    <w:p w:rsidR="0033513D" w:rsidRDefault="0033513D">
      <w:pPr>
        <w:pStyle w:val="Textonotapie"/>
      </w:pPr>
      <w:r>
        <w:rPr>
          <w:rStyle w:val="Refdenotaalpie"/>
        </w:rPr>
        <w:footnoteRef/>
      </w:r>
      <w:r>
        <w:t xml:space="preserve">  Sentencia disponible en línea en: </w:t>
      </w:r>
      <w:hyperlink r:id="rId1" w:history="1">
        <w:r w:rsidRPr="00E07ACE">
          <w:rPr>
            <w:rStyle w:val="Hipervnculo"/>
          </w:rPr>
          <w:t>https://www.corteidh.or.cr/docs/casos/articulos/seriec_409_esp.pdf</w:t>
        </w:r>
      </w:hyperlink>
      <w:r>
        <w:t xml:space="preserve"> </w:t>
      </w:r>
    </w:p>
  </w:footnote>
  <w:footnote w:id="2">
    <w:p w:rsidR="0033513D" w:rsidRDefault="0033513D">
      <w:pPr>
        <w:pStyle w:val="Textonotapie"/>
      </w:pPr>
      <w:r>
        <w:rPr>
          <w:rStyle w:val="Refdenotaalpie"/>
        </w:rPr>
        <w:footnoteRef/>
      </w:r>
      <w:r>
        <w:t xml:space="preserve">  Código Orgánico de Tribunales, disponible en línea en: </w:t>
      </w:r>
      <w:hyperlink r:id="rId2" w:history="1">
        <w:r w:rsidRPr="00E07ACE">
          <w:rPr>
            <w:rStyle w:val="Hipervnculo"/>
          </w:rPr>
          <w:t>https://www.bcn.cl/leychile/navegar?idNorma=25563</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B2ACD"/>
    <w:multiLevelType w:val="hybridMultilevel"/>
    <w:tmpl w:val="21F2A51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DA"/>
    <w:rsid w:val="0014287E"/>
    <w:rsid w:val="002162A8"/>
    <w:rsid w:val="00237565"/>
    <w:rsid w:val="002551D9"/>
    <w:rsid w:val="002801CE"/>
    <w:rsid w:val="0033513D"/>
    <w:rsid w:val="00340469"/>
    <w:rsid w:val="003C63C3"/>
    <w:rsid w:val="004149BF"/>
    <w:rsid w:val="006A1E30"/>
    <w:rsid w:val="006F5B6D"/>
    <w:rsid w:val="00734626"/>
    <w:rsid w:val="008613EF"/>
    <w:rsid w:val="00966BB2"/>
    <w:rsid w:val="00993DE5"/>
    <w:rsid w:val="00A87BD4"/>
    <w:rsid w:val="00A90A99"/>
    <w:rsid w:val="00AA7FA7"/>
    <w:rsid w:val="00B0497B"/>
    <w:rsid w:val="00B4780D"/>
    <w:rsid w:val="00EA4DF2"/>
    <w:rsid w:val="00EF5DD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0D88E1F9-B83D-42AE-9D6F-EE895B90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5DDA"/>
    <w:pPr>
      <w:ind w:left="720"/>
      <w:contextualSpacing/>
    </w:pPr>
  </w:style>
  <w:style w:type="paragraph" w:styleId="Textonotapie">
    <w:name w:val="footnote text"/>
    <w:basedOn w:val="Normal"/>
    <w:link w:val="TextonotapieCar"/>
    <w:uiPriority w:val="99"/>
    <w:semiHidden/>
    <w:unhideWhenUsed/>
    <w:rsid w:val="0033513D"/>
    <w:rPr>
      <w:sz w:val="20"/>
      <w:szCs w:val="20"/>
    </w:rPr>
  </w:style>
  <w:style w:type="character" w:customStyle="1" w:styleId="TextonotapieCar">
    <w:name w:val="Texto nota pie Car"/>
    <w:basedOn w:val="Fuentedeprrafopredeter"/>
    <w:link w:val="Textonotapie"/>
    <w:uiPriority w:val="99"/>
    <w:semiHidden/>
    <w:rsid w:val="0033513D"/>
    <w:rPr>
      <w:sz w:val="20"/>
      <w:szCs w:val="20"/>
      <w:lang w:val="es-ES"/>
    </w:rPr>
  </w:style>
  <w:style w:type="character" w:styleId="Refdenotaalpie">
    <w:name w:val="footnote reference"/>
    <w:basedOn w:val="Fuentedeprrafopredeter"/>
    <w:uiPriority w:val="99"/>
    <w:semiHidden/>
    <w:unhideWhenUsed/>
    <w:rsid w:val="0033513D"/>
    <w:rPr>
      <w:vertAlign w:val="superscript"/>
    </w:rPr>
  </w:style>
  <w:style w:type="character" w:styleId="Hipervnculo">
    <w:name w:val="Hyperlink"/>
    <w:basedOn w:val="Fuentedeprrafopredeter"/>
    <w:uiPriority w:val="99"/>
    <w:unhideWhenUsed/>
    <w:rsid w:val="0033513D"/>
    <w:rPr>
      <w:color w:val="0563C1" w:themeColor="hyperlink"/>
      <w:u w:val="single"/>
    </w:rPr>
  </w:style>
  <w:style w:type="character" w:customStyle="1" w:styleId="UnresolvedMention">
    <w:name w:val="Unresolved Mention"/>
    <w:basedOn w:val="Fuentedeprrafopredeter"/>
    <w:uiPriority w:val="99"/>
    <w:rsid w:val="0033513D"/>
    <w:rPr>
      <w:color w:val="605E5C"/>
      <w:shd w:val="clear" w:color="auto" w:fill="E1DFDD"/>
    </w:rPr>
  </w:style>
  <w:style w:type="paragraph" w:customStyle="1" w:styleId="CharChar">
    <w:name w:val="Char Char"/>
    <w:basedOn w:val="Normal"/>
    <w:rsid w:val="006F5B6D"/>
    <w:pPr>
      <w:spacing w:after="160" w:line="240" w:lineRule="exact"/>
      <w:ind w:left="500"/>
      <w:jc w:val="center"/>
    </w:pPr>
    <w:rPr>
      <w:rFonts w:ascii="Verdana" w:eastAsia="Times New Roman" w:hAnsi="Verdana" w:cs="Arial"/>
      <w:b/>
      <w:sz w:val="20"/>
      <w:szCs w:val="20"/>
      <w:lang w:val="es-VE"/>
    </w:rPr>
  </w:style>
  <w:style w:type="paragraph" w:styleId="Textodeglobo">
    <w:name w:val="Balloon Text"/>
    <w:basedOn w:val="Normal"/>
    <w:link w:val="TextodegloboCar"/>
    <w:uiPriority w:val="99"/>
    <w:semiHidden/>
    <w:unhideWhenUsed/>
    <w:rsid w:val="006F5B6D"/>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B6D"/>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8172">
      <w:bodyDiv w:val="1"/>
      <w:marLeft w:val="0"/>
      <w:marRight w:val="0"/>
      <w:marTop w:val="0"/>
      <w:marBottom w:val="0"/>
      <w:divBdr>
        <w:top w:val="none" w:sz="0" w:space="0" w:color="auto"/>
        <w:left w:val="none" w:sz="0" w:space="0" w:color="auto"/>
        <w:bottom w:val="none" w:sz="0" w:space="0" w:color="auto"/>
        <w:right w:val="none" w:sz="0" w:space="0" w:color="auto"/>
      </w:divBdr>
    </w:div>
    <w:div w:id="1612276205">
      <w:bodyDiv w:val="1"/>
      <w:marLeft w:val="0"/>
      <w:marRight w:val="0"/>
      <w:marTop w:val="0"/>
      <w:marBottom w:val="0"/>
      <w:divBdr>
        <w:top w:val="none" w:sz="0" w:space="0" w:color="auto"/>
        <w:left w:val="none" w:sz="0" w:space="0" w:color="auto"/>
        <w:bottom w:val="none" w:sz="0" w:space="0" w:color="auto"/>
        <w:right w:val="none" w:sz="0" w:space="0" w:color="auto"/>
      </w:divBdr>
    </w:div>
    <w:div w:id="17462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cn.cl/leychile/navegar?idNorma=25563" TargetMode="External"/><Relationship Id="rId1" Type="http://schemas.openxmlformats.org/officeDocument/2006/relationships/hyperlink" Target="https://www.corteidh.or.cr/docs/casos/articulos/seriec_409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CED3FE63-FFE6-48BC-ADA8-188CD8D6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2996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Mallega Acevedo</dc:creator>
  <cp:lastModifiedBy>Marcela</cp:lastModifiedBy>
  <cp:revision>2</cp:revision>
  <dcterms:created xsi:type="dcterms:W3CDTF">2020-11-10T17:59:00Z</dcterms:created>
  <dcterms:modified xsi:type="dcterms:W3CDTF">2020-11-10T17:59:00Z</dcterms:modified>
</cp:coreProperties>
</file>