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AA4DF" w14:textId="77777777" w:rsidR="00FC5DB1" w:rsidRPr="00FC5DB1" w:rsidRDefault="00FC5DB1" w:rsidP="00FC5DB1">
      <w:pPr>
        <w:pStyle w:val="Ttulo2"/>
        <w:spacing w:line="240" w:lineRule="auto"/>
        <w:jc w:val="right"/>
        <w:rPr>
          <w:rStyle w:val="text"/>
          <w:rFonts w:ascii="Times New Roman" w:hAnsi="Times New Roman" w:cs="Times New Roman"/>
          <w:b/>
          <w:bCs/>
          <w:color w:val="000000" w:themeColor="text1"/>
          <w:sz w:val="24"/>
          <w:szCs w:val="24"/>
          <w:lang w:val="es-ES_tradnl"/>
        </w:rPr>
      </w:pPr>
      <w:bookmarkStart w:id="0" w:name="_GoBack"/>
      <w:bookmarkEnd w:id="0"/>
      <w:r w:rsidRPr="00FC5DB1">
        <w:rPr>
          <w:rStyle w:val="text"/>
          <w:rFonts w:ascii="Times New Roman" w:hAnsi="Times New Roman" w:cs="Times New Roman"/>
          <w:b/>
          <w:bCs/>
          <w:color w:val="000000" w:themeColor="text1"/>
          <w:sz w:val="24"/>
          <w:szCs w:val="24"/>
          <w:lang w:val="es-ES_tradnl"/>
        </w:rPr>
        <w:t>Boletín N° 14.160-11</w:t>
      </w:r>
    </w:p>
    <w:p w14:paraId="0E89E467" w14:textId="77777777" w:rsidR="00FC5DB1" w:rsidRPr="00FC5DB1" w:rsidRDefault="00FC5DB1" w:rsidP="00FC5DB1">
      <w:pPr>
        <w:pStyle w:val="Ttulo2"/>
        <w:spacing w:line="240" w:lineRule="auto"/>
        <w:jc w:val="both"/>
        <w:rPr>
          <w:rStyle w:val="text"/>
          <w:rFonts w:ascii="Times New Roman" w:hAnsi="Times New Roman" w:cs="Times New Roman"/>
          <w:b/>
          <w:bCs/>
          <w:color w:val="000000" w:themeColor="text1"/>
          <w:sz w:val="24"/>
          <w:szCs w:val="24"/>
          <w:lang w:val="es-ES_tradnl"/>
        </w:rPr>
      </w:pPr>
    </w:p>
    <w:p w14:paraId="78F97D65" w14:textId="36D11A71" w:rsidR="00FC5DB1" w:rsidRPr="00FC5DB1" w:rsidRDefault="00FC5DB1" w:rsidP="00FC5DB1">
      <w:pPr>
        <w:pStyle w:val="Ttulo2"/>
        <w:spacing w:line="240" w:lineRule="auto"/>
        <w:jc w:val="both"/>
        <w:rPr>
          <w:rStyle w:val="text"/>
          <w:rFonts w:ascii="Times New Roman" w:hAnsi="Times New Roman" w:cs="Times New Roman"/>
          <w:b/>
          <w:bCs/>
          <w:color w:val="000000" w:themeColor="text1"/>
          <w:sz w:val="24"/>
          <w:szCs w:val="24"/>
          <w:lang w:val="es-ES_tradnl"/>
        </w:rPr>
      </w:pPr>
      <w:r w:rsidRPr="00FC5DB1">
        <w:rPr>
          <w:rStyle w:val="text"/>
          <w:rFonts w:ascii="Times New Roman" w:hAnsi="Times New Roman" w:cs="Times New Roman"/>
          <w:b/>
          <w:bCs/>
          <w:color w:val="000000" w:themeColor="text1"/>
          <w:sz w:val="24"/>
          <w:szCs w:val="24"/>
          <w:lang w:val="es-ES_tradnl"/>
        </w:rPr>
        <w:t>Proyecto de ley, iniciado en moción de los Honorables Senadores señor Girardi, señora Goic, y señores Chahuán y Quinteros, que sanciona a los prestadores de salud privado que atenten contra el derecho a la salud de personas.</w:t>
      </w:r>
    </w:p>
    <w:p w14:paraId="117DAD7D" w14:textId="77777777" w:rsidR="00FC5DB1" w:rsidRPr="00FC5DB1" w:rsidRDefault="00FC5DB1" w:rsidP="00FC5DB1">
      <w:pPr>
        <w:spacing w:line="276" w:lineRule="auto"/>
        <w:rPr>
          <w:lang w:val="es-ES_tradnl"/>
        </w:rPr>
      </w:pPr>
    </w:p>
    <w:p w14:paraId="6F72A75A" w14:textId="1D5B1B51" w:rsidR="00D811F2" w:rsidRPr="00FC5DB1" w:rsidRDefault="00D811F2" w:rsidP="00FC5DB1">
      <w:pPr>
        <w:pStyle w:val="Ttulo2"/>
        <w:spacing w:line="276" w:lineRule="auto"/>
        <w:rPr>
          <w:rFonts w:ascii="Book Antiqua" w:hAnsi="Book Antiqua" w:cs="Times New Roman"/>
          <w:b/>
          <w:color w:val="auto"/>
          <w:sz w:val="24"/>
          <w:szCs w:val="24"/>
        </w:rPr>
      </w:pPr>
      <w:r w:rsidRPr="00FC5DB1">
        <w:rPr>
          <w:rFonts w:ascii="Book Antiqua" w:hAnsi="Book Antiqua" w:cs="Times New Roman"/>
          <w:b/>
          <w:color w:val="auto"/>
          <w:sz w:val="24"/>
          <w:szCs w:val="24"/>
        </w:rPr>
        <w:t>Antecedentes</w:t>
      </w:r>
    </w:p>
    <w:p w14:paraId="2604FE7D" w14:textId="77777777" w:rsidR="006C3C24" w:rsidRPr="00FC5DB1" w:rsidRDefault="006C3C24" w:rsidP="00FC5DB1">
      <w:pPr>
        <w:spacing w:line="276" w:lineRule="auto"/>
        <w:jc w:val="both"/>
        <w:rPr>
          <w:rFonts w:ascii="Book Antiqua" w:hAnsi="Book Antiqua" w:cs="Times New Roman"/>
        </w:rPr>
      </w:pPr>
    </w:p>
    <w:p w14:paraId="1C8B1BB0" w14:textId="2932EAB5" w:rsidR="00D811F2" w:rsidRPr="00FC5DB1" w:rsidRDefault="00D811F2" w:rsidP="00FC5DB1">
      <w:pPr>
        <w:spacing w:line="276" w:lineRule="auto"/>
        <w:ind w:firstLine="708"/>
        <w:jc w:val="both"/>
        <w:rPr>
          <w:rFonts w:ascii="Book Antiqua" w:hAnsi="Book Antiqua" w:cs="Times New Roman"/>
        </w:rPr>
      </w:pPr>
      <w:r w:rsidRPr="00FC5DB1">
        <w:rPr>
          <w:rFonts w:ascii="Book Antiqua" w:hAnsi="Book Antiqua" w:cs="Times New Roman"/>
        </w:rPr>
        <w:t>El acceso a la salud en Chile está determinado por el ingreso o condiciones socioeconómicas que posibilitan a cada ciudadano en Chile si accede al servicio público o privado. En este sentido, la atención pública tiene ostentosas diferencias en relación al servicio privado, como es el tiempo de espera por una consulta o atención médica</w:t>
      </w:r>
      <w:r w:rsidR="006C3C24" w:rsidRPr="00FC5DB1">
        <w:rPr>
          <w:rFonts w:ascii="Book Antiqua" w:hAnsi="Book Antiqua" w:cs="Times New Roman"/>
        </w:rPr>
        <w:t xml:space="preserve"> y </w:t>
      </w:r>
      <w:r w:rsidRPr="00FC5DB1">
        <w:rPr>
          <w:rFonts w:ascii="Book Antiqua" w:hAnsi="Book Antiqua" w:cs="Times New Roman"/>
        </w:rPr>
        <w:t>la disponibilidad de especialistas</w:t>
      </w:r>
      <w:r w:rsidR="006C3C24" w:rsidRPr="00FC5DB1">
        <w:rPr>
          <w:rFonts w:ascii="Book Antiqua" w:hAnsi="Book Antiqua" w:cs="Times New Roman"/>
        </w:rPr>
        <w:t>.</w:t>
      </w:r>
    </w:p>
    <w:p w14:paraId="32790044" w14:textId="03375B3F" w:rsidR="00C80E90" w:rsidRPr="00FC5DB1" w:rsidRDefault="00D811F2" w:rsidP="00FC5DB1">
      <w:pPr>
        <w:spacing w:line="276" w:lineRule="auto"/>
        <w:ind w:firstLine="708"/>
        <w:jc w:val="both"/>
        <w:rPr>
          <w:rFonts w:ascii="Book Antiqua" w:hAnsi="Book Antiqua" w:cs="Times New Roman"/>
        </w:rPr>
      </w:pPr>
      <w:r w:rsidRPr="00FC5DB1">
        <w:rPr>
          <w:rFonts w:ascii="Book Antiqua" w:hAnsi="Book Antiqua" w:cs="Times New Roman"/>
        </w:rPr>
        <w:t>Sin embargo, a pesar de que existe una ley de Urgencias que aplica para cualquier tipo de institución sea de índole pública o privada, que indica y regula el ejercicio del derecho constitucional a la protección de la salud</w:t>
      </w:r>
      <w:r w:rsidR="006C3C24" w:rsidRPr="00FC5DB1">
        <w:rPr>
          <w:rFonts w:ascii="Book Antiqua" w:hAnsi="Book Antiqua" w:cs="Times New Roman"/>
        </w:rPr>
        <w:t>, esta no se cumple a cabalidad</w:t>
      </w:r>
      <w:r w:rsidRPr="00FC5DB1">
        <w:rPr>
          <w:rFonts w:ascii="Book Antiqua" w:hAnsi="Book Antiqua" w:cs="Times New Roman"/>
        </w:rPr>
        <w:t xml:space="preserve">. </w:t>
      </w:r>
      <w:r w:rsidR="006C3C24" w:rsidRPr="00FC5DB1">
        <w:rPr>
          <w:rFonts w:ascii="Book Antiqua" w:hAnsi="Book Antiqua" w:cs="Times New Roman"/>
        </w:rPr>
        <w:t xml:space="preserve">Así el </w:t>
      </w:r>
      <w:r w:rsidR="00C80E90" w:rsidRPr="00FC5DB1">
        <w:rPr>
          <w:rFonts w:ascii="Book Antiqua" w:hAnsi="Book Antiqua" w:cs="Times New Roman"/>
        </w:rPr>
        <w:t>artículo 141 D.F.L n° 1 que fija el texto refundido, coordinado y sistematizado del Decreto Ley n° 2.763, de 1979 y de las leyes n° 18.933 y n° 18.469 menciona en su inciso segundo (…): “Asimismo, en estos casos, se prohíbe a los prestadores exigir a los beneficiarios de esta ley, dinero, cheques u otros instrumentos financieros para garantizar el pago o condicionar de cualquier otra forma dicha atención.” Por su parte el 141 bis del señala: “Los prestadores de salud no podrán exigir, como garantía de pago por las prestaciones que reciba el paciente, el otorgamiento de cheques o de dinero en efectivo. En estos casos, se podrá garantizar el pago por otros medios idóneos, tales como el registro de la información de una tarjeta de crédito, cartas de respaldo otorgada por los empleadores, o letras de cambio o pagarés, los que se regirán por las normas contenidas en la ley n°18.092.”</w:t>
      </w:r>
    </w:p>
    <w:p w14:paraId="07504249" w14:textId="5CD96520" w:rsidR="00D811F2" w:rsidRPr="00FC5DB1" w:rsidRDefault="00D811F2" w:rsidP="00FC5DB1">
      <w:pPr>
        <w:spacing w:line="276" w:lineRule="auto"/>
        <w:ind w:firstLine="708"/>
        <w:jc w:val="both"/>
        <w:rPr>
          <w:rFonts w:ascii="Book Antiqua" w:hAnsi="Book Antiqua" w:cs="Times New Roman"/>
        </w:rPr>
      </w:pPr>
      <w:r w:rsidRPr="00FC5DB1">
        <w:rPr>
          <w:rFonts w:ascii="Book Antiqua" w:hAnsi="Book Antiqua" w:cs="Times New Roman"/>
        </w:rPr>
        <w:t>E</w:t>
      </w:r>
      <w:r w:rsidR="006C3C24" w:rsidRPr="00FC5DB1">
        <w:rPr>
          <w:rFonts w:ascii="Book Antiqua" w:hAnsi="Book Antiqua" w:cs="Times New Roman"/>
        </w:rPr>
        <w:t>n diciembre de 2019</w:t>
      </w:r>
      <w:r w:rsidRPr="00FC5DB1">
        <w:rPr>
          <w:rFonts w:ascii="Book Antiqua" w:hAnsi="Book Antiqua" w:cs="Times New Roman"/>
        </w:rPr>
        <w:t xml:space="preserve">, </w:t>
      </w:r>
      <w:r w:rsidR="006C3C24" w:rsidRPr="00FC5DB1">
        <w:rPr>
          <w:rFonts w:ascii="Book Antiqua" w:hAnsi="Book Antiqua" w:cs="Times New Roman"/>
        </w:rPr>
        <w:t>la oficina parlamentaria del Senador Girardi producto de una serie de reclamos que presentaron pacientes y familiares</w:t>
      </w:r>
      <w:r w:rsidR="00C80E90" w:rsidRPr="00FC5DB1">
        <w:rPr>
          <w:rFonts w:ascii="Book Antiqua" w:hAnsi="Book Antiqua" w:cs="Times New Roman"/>
        </w:rPr>
        <w:t>,</w:t>
      </w:r>
      <w:r w:rsidR="006C3C24" w:rsidRPr="00FC5DB1">
        <w:rPr>
          <w:rFonts w:ascii="Book Antiqua" w:hAnsi="Book Antiqua" w:cs="Times New Roman"/>
        </w:rPr>
        <w:t xml:space="preserve"> se denunci</w:t>
      </w:r>
      <w:r w:rsidR="00C80E90" w:rsidRPr="00FC5DB1">
        <w:rPr>
          <w:rFonts w:ascii="Book Antiqua" w:hAnsi="Book Antiqua" w:cs="Times New Roman"/>
        </w:rPr>
        <w:t>aron</w:t>
      </w:r>
      <w:r w:rsidRPr="00FC5DB1">
        <w:rPr>
          <w:rFonts w:ascii="Book Antiqua" w:hAnsi="Book Antiqua" w:cs="Times New Roman"/>
        </w:rPr>
        <w:t xml:space="preserve"> ante la Superintendencia de Salud </w:t>
      </w:r>
      <w:r w:rsidR="006C3C24" w:rsidRPr="00FC5DB1">
        <w:rPr>
          <w:rFonts w:ascii="Book Antiqua" w:hAnsi="Book Antiqua" w:cs="Times New Roman"/>
        </w:rPr>
        <w:t xml:space="preserve">cientos de </w:t>
      </w:r>
      <w:r w:rsidRPr="00FC5DB1">
        <w:rPr>
          <w:rFonts w:ascii="Book Antiqua" w:hAnsi="Book Antiqua" w:cs="Times New Roman"/>
        </w:rPr>
        <w:t xml:space="preserve">incumplimiento </w:t>
      </w:r>
      <w:r w:rsidR="006C3C24" w:rsidRPr="00FC5DB1">
        <w:rPr>
          <w:rFonts w:ascii="Book Antiqua" w:hAnsi="Book Antiqua" w:cs="Times New Roman"/>
        </w:rPr>
        <w:t>a la ley de urgencia, en contra</w:t>
      </w:r>
      <w:r w:rsidRPr="00FC5DB1">
        <w:rPr>
          <w:rFonts w:ascii="Book Antiqua" w:hAnsi="Book Antiqua" w:cs="Times New Roman"/>
        </w:rPr>
        <w:t xml:space="preserve"> Clínica Dávila, institución de índole privada, </w:t>
      </w:r>
      <w:r w:rsidR="00C80E90" w:rsidRPr="00FC5DB1">
        <w:rPr>
          <w:rFonts w:ascii="Book Antiqua" w:hAnsi="Book Antiqua" w:cs="Times New Roman"/>
        </w:rPr>
        <w:t>que</w:t>
      </w:r>
      <w:r w:rsidRPr="00FC5DB1">
        <w:rPr>
          <w:rFonts w:ascii="Book Antiqua" w:hAnsi="Book Antiqua" w:cs="Times New Roman"/>
        </w:rPr>
        <w:t xml:space="preserve"> exig</w:t>
      </w:r>
      <w:r w:rsidR="00C80E90" w:rsidRPr="00FC5DB1">
        <w:rPr>
          <w:rFonts w:ascii="Book Antiqua" w:hAnsi="Book Antiqua" w:cs="Times New Roman"/>
        </w:rPr>
        <w:t>ía</w:t>
      </w:r>
      <w:r w:rsidRPr="00FC5DB1">
        <w:rPr>
          <w:rFonts w:ascii="Book Antiqua" w:hAnsi="Book Antiqua" w:cs="Times New Roman"/>
        </w:rPr>
        <w:t xml:space="preserve"> altas sumas de dinero p</w:t>
      </w:r>
      <w:r w:rsidR="00BF546F" w:rsidRPr="00FC5DB1">
        <w:rPr>
          <w:rFonts w:ascii="Book Antiqua" w:hAnsi="Book Antiqua" w:cs="Times New Roman"/>
        </w:rPr>
        <w:t xml:space="preserve">ara atender a los pacientes vía </w:t>
      </w:r>
      <w:r w:rsidRPr="00FC5DB1">
        <w:rPr>
          <w:rFonts w:ascii="Book Antiqua" w:hAnsi="Book Antiqua" w:cs="Times New Roman"/>
        </w:rPr>
        <w:t>urgencia</w:t>
      </w:r>
      <w:r w:rsidR="00BF546F" w:rsidRPr="00FC5DB1">
        <w:rPr>
          <w:rFonts w:ascii="Book Antiqua" w:hAnsi="Book Antiqua" w:cs="Times New Roman"/>
        </w:rPr>
        <w:t>s, debiendo los familiares y amigos, en muchos casos a altas horas de la madrugada, conseguirse dinero en efectivo a costa de lo que fuera</w:t>
      </w:r>
      <w:r w:rsidRPr="00FC5DB1">
        <w:rPr>
          <w:rFonts w:ascii="Book Antiqua" w:hAnsi="Book Antiqua" w:cs="Times New Roman"/>
        </w:rPr>
        <w:t>. Las cifras iban desde los $900.000 hasta los $4.000.000, obliga</w:t>
      </w:r>
      <w:r w:rsidR="00BF546F" w:rsidRPr="00FC5DB1">
        <w:rPr>
          <w:rFonts w:ascii="Book Antiqua" w:hAnsi="Book Antiqua" w:cs="Times New Roman"/>
        </w:rPr>
        <w:t>ndo</w:t>
      </w:r>
      <w:r w:rsidRPr="00FC5DB1">
        <w:rPr>
          <w:rFonts w:ascii="Book Antiqua" w:hAnsi="Book Antiqua" w:cs="Times New Roman"/>
        </w:rPr>
        <w:t xml:space="preserve"> a los pacientes a firmar una declaración voluntaria donde “tomaban conocimiento de que el pago en efectivo era completamente voluntario para la atención de urgencia”. </w:t>
      </w:r>
      <w:r w:rsidR="00BF546F" w:rsidRPr="00FC5DB1">
        <w:rPr>
          <w:rFonts w:ascii="Book Antiqua" w:hAnsi="Book Antiqua" w:cs="Times New Roman"/>
        </w:rPr>
        <w:t>Todo ello e</w:t>
      </w:r>
      <w:r w:rsidRPr="00FC5DB1">
        <w:rPr>
          <w:rFonts w:ascii="Book Antiqua" w:hAnsi="Book Antiqua" w:cs="Times New Roman"/>
        </w:rPr>
        <w:t>n un contexto de urgencia</w:t>
      </w:r>
      <w:r w:rsidR="00BF546F" w:rsidRPr="00FC5DB1">
        <w:rPr>
          <w:rFonts w:ascii="Book Antiqua" w:hAnsi="Book Antiqua" w:cs="Times New Roman"/>
        </w:rPr>
        <w:t>, donde está en riesgo la vida de las personas y</w:t>
      </w:r>
      <w:r w:rsidRPr="00FC5DB1">
        <w:rPr>
          <w:rFonts w:ascii="Book Antiqua" w:hAnsi="Book Antiqua" w:cs="Times New Roman"/>
        </w:rPr>
        <w:t xml:space="preserve"> cuya atención requería de la mayor rapidez y solución posible, muchos de ellos firmaron sin siquiera entender </w:t>
      </w:r>
      <w:r w:rsidR="00BF546F" w:rsidRPr="00FC5DB1">
        <w:rPr>
          <w:rFonts w:ascii="Book Antiqua" w:hAnsi="Book Antiqua" w:cs="Times New Roman"/>
        </w:rPr>
        <w:t>por qué</w:t>
      </w:r>
      <w:r w:rsidRPr="00FC5DB1">
        <w:rPr>
          <w:rFonts w:ascii="Book Antiqua" w:hAnsi="Book Antiqua" w:cs="Times New Roman"/>
        </w:rPr>
        <w:t xml:space="preserve"> firmaban tal declaración. De forma paralela, se les obligaba a firmar un pagaré que posteriormente dejaban como nulo al momento de tener el dinero en efectivo depositado en la cuenta de la Clínica. En caso de </w:t>
      </w:r>
      <w:r w:rsidRPr="00FC5DB1">
        <w:rPr>
          <w:rFonts w:ascii="Book Antiqua" w:hAnsi="Book Antiqua" w:cs="Times New Roman"/>
        </w:rPr>
        <w:lastRenderedPageBreak/>
        <w:t xml:space="preserve">imposibilidad de pagar, la Clínica no facilitaba ni el traslado a otro centro asistencial, ni la documentación de atención médica realizada a los pacientes.  </w:t>
      </w:r>
    </w:p>
    <w:p w14:paraId="2D0BA20B" w14:textId="1912B406" w:rsidR="00D811F2" w:rsidRPr="00FC5DB1" w:rsidRDefault="00D811F2" w:rsidP="00FC5DB1">
      <w:pPr>
        <w:spacing w:line="276" w:lineRule="auto"/>
        <w:ind w:firstLine="708"/>
        <w:jc w:val="both"/>
        <w:rPr>
          <w:rFonts w:ascii="Book Antiqua" w:hAnsi="Book Antiqua" w:cs="Times New Roman"/>
        </w:rPr>
      </w:pPr>
      <w:r w:rsidRPr="00FC5DB1">
        <w:rPr>
          <w:rFonts w:ascii="Book Antiqua" w:hAnsi="Book Antiqua" w:cs="Times New Roman"/>
        </w:rPr>
        <w:t xml:space="preserve">Lo ocurrido con Clínica Dávila es una muestra de los abusos que las instituciones privadas de salud han ejercido en determinadas ocasiones, jugando con la desesperación de las personas por obtener una atención de salud oportuna, de calidad y urgente. Paralelamente, hay una especie de aprovechamiento por parte de </w:t>
      </w:r>
      <w:r w:rsidR="00BF546F" w:rsidRPr="00FC5DB1">
        <w:rPr>
          <w:rFonts w:ascii="Book Antiqua" w:hAnsi="Book Antiqua" w:cs="Times New Roman"/>
        </w:rPr>
        <w:t>las instituciones</w:t>
      </w:r>
      <w:r w:rsidRPr="00FC5DB1">
        <w:rPr>
          <w:rFonts w:ascii="Book Antiqua" w:hAnsi="Book Antiqua" w:cs="Times New Roman"/>
        </w:rPr>
        <w:t xml:space="preserve"> que prestan una atención más rápida y oportuna que los recintos asistenciales públicos</w:t>
      </w:r>
      <w:r w:rsidR="00BF546F" w:rsidRPr="00FC5DB1">
        <w:rPr>
          <w:rFonts w:ascii="Book Antiqua" w:hAnsi="Book Antiqua" w:cs="Times New Roman"/>
        </w:rPr>
        <w:t xml:space="preserve"> y a sabiendas de ello vulneran el derecho de acceso a la salud y la normativa vigente impúdicamente. </w:t>
      </w:r>
    </w:p>
    <w:p w14:paraId="32544A53" w14:textId="7BB1E447" w:rsidR="00D811F2" w:rsidRPr="00FC5DB1" w:rsidRDefault="00D811F2" w:rsidP="00FC5DB1">
      <w:pPr>
        <w:spacing w:line="276" w:lineRule="auto"/>
        <w:ind w:firstLine="708"/>
        <w:jc w:val="both"/>
        <w:rPr>
          <w:rFonts w:ascii="Book Antiqua" w:hAnsi="Book Antiqua" w:cs="Times New Roman"/>
        </w:rPr>
      </w:pPr>
      <w:r w:rsidRPr="00FC5DB1">
        <w:rPr>
          <w:rFonts w:ascii="Book Antiqua" w:hAnsi="Book Antiqua" w:cs="Times New Roman"/>
        </w:rPr>
        <w:t>El acceso a la salud, oportuna y rápida, sin condicionamientos económicos, se garantizó en primer</w:t>
      </w:r>
      <w:r w:rsidR="00BF546F" w:rsidRPr="00FC5DB1">
        <w:rPr>
          <w:rFonts w:ascii="Book Antiqua" w:hAnsi="Book Antiqua" w:cs="Times New Roman"/>
        </w:rPr>
        <w:t>a</w:t>
      </w:r>
      <w:r w:rsidRPr="00FC5DB1">
        <w:rPr>
          <w:rFonts w:ascii="Book Antiqua" w:hAnsi="Book Antiqua" w:cs="Times New Roman"/>
        </w:rPr>
        <w:t xml:space="preserve"> instancia por medio de la Ley de Cheque en Garantía, cuyo objetivo y resolución fue eliminar el cheque en blanco como garantía de atención para con los pacientes por parte de los servicios de salud. La legislación, por tanto, es clara al establecer que “está prohibido que la entrega de cualquier prestación de salud, aunque no sea de urgencia, esté condicionada a la entrega de un cheque en garantía o de dinero en efectivo” ; en este sentido, se busca el cumplimiento de la garantía constitucional nacional que estipula que todas las personas tienen acceso libre e igualitario a la salud, sea en acciones de promoción, protección, recuperación y rehabilitación</w:t>
      </w:r>
      <w:r w:rsidRPr="00FC5DB1">
        <w:rPr>
          <w:rStyle w:val="Refdenotaalpie"/>
          <w:rFonts w:ascii="Book Antiqua" w:hAnsi="Book Antiqua" w:cs="Times New Roman"/>
        </w:rPr>
        <w:footnoteReference w:id="1"/>
      </w:r>
      <w:r w:rsidRPr="00FC5DB1">
        <w:rPr>
          <w:rFonts w:ascii="Book Antiqua" w:hAnsi="Book Antiqua" w:cs="Times New Roman"/>
        </w:rPr>
        <w:t>.</w:t>
      </w:r>
    </w:p>
    <w:p w14:paraId="66B4332F" w14:textId="37C9AF91" w:rsidR="00D811F2" w:rsidRPr="00FC5DB1" w:rsidRDefault="00D811F2" w:rsidP="00FC5DB1">
      <w:pPr>
        <w:spacing w:line="276" w:lineRule="auto"/>
        <w:ind w:firstLine="708"/>
        <w:jc w:val="both"/>
        <w:rPr>
          <w:rFonts w:ascii="Book Antiqua" w:hAnsi="Book Antiqua" w:cs="Times New Roman"/>
        </w:rPr>
      </w:pPr>
      <w:r w:rsidRPr="00FC5DB1">
        <w:rPr>
          <w:rFonts w:ascii="Book Antiqua" w:hAnsi="Book Antiqua" w:cs="Times New Roman"/>
        </w:rPr>
        <w:t xml:space="preserve">A pesar de que existe un ente fiscalizador, que es la Superintendencia de Salud, esta institución solo se remite a castigar económicamente a los prestadores de salud que no cumplen con la legislación acordada. Las multas acordadas pueden ir entre diez y mil unidades tributarias mensuales, es decir, desde los </w:t>
      </w:r>
      <w:r w:rsidR="00736D36" w:rsidRPr="00FC5DB1">
        <w:rPr>
          <w:rFonts w:ascii="Book Antiqua" w:hAnsi="Book Antiqua" w:cs="Times New Roman"/>
        </w:rPr>
        <w:t xml:space="preserve">$515.920 </w:t>
      </w:r>
      <w:r w:rsidRPr="00FC5DB1">
        <w:rPr>
          <w:rFonts w:ascii="Book Antiqua" w:hAnsi="Book Antiqua" w:cs="Times New Roman"/>
        </w:rPr>
        <w:t xml:space="preserve">hasta los </w:t>
      </w:r>
      <w:r w:rsidR="00736D36" w:rsidRPr="00FC5DB1">
        <w:rPr>
          <w:rFonts w:ascii="Book Antiqua" w:hAnsi="Book Antiqua" w:cs="Times New Roman"/>
        </w:rPr>
        <w:t xml:space="preserve">$51.592.000 </w:t>
      </w:r>
      <w:r w:rsidRPr="00FC5DB1">
        <w:rPr>
          <w:rFonts w:ascii="Book Antiqua" w:hAnsi="Book Antiqua" w:cs="Times New Roman"/>
        </w:rPr>
        <w:t xml:space="preserve">millones de pesos, </w:t>
      </w:r>
      <w:r w:rsidR="00736D36" w:rsidRPr="00FC5DB1">
        <w:rPr>
          <w:rFonts w:ascii="Book Antiqua" w:hAnsi="Book Antiqua" w:cs="Times New Roman"/>
        </w:rPr>
        <w:t xml:space="preserve">(UTM al 05 de abril de 2021) </w:t>
      </w:r>
      <w:r w:rsidRPr="00FC5DB1">
        <w:rPr>
          <w:rFonts w:ascii="Book Antiqua" w:hAnsi="Book Antiqua" w:cs="Times New Roman"/>
        </w:rPr>
        <w:t xml:space="preserve">así como también, </w:t>
      </w:r>
      <w:r w:rsidR="00736D36" w:rsidRPr="00FC5DB1">
        <w:rPr>
          <w:rFonts w:ascii="Book Antiqua" w:hAnsi="Book Antiqua" w:cs="Times New Roman"/>
        </w:rPr>
        <w:t>si procediera se eliminará del registro nacional de prestadores institucionales acreditados por un plazo de hasta 2 años.</w:t>
      </w:r>
      <w:r w:rsidR="00736D36" w:rsidRPr="00FC5DB1">
        <w:rPr>
          <w:rStyle w:val="Refdenotaalpie"/>
          <w:rFonts w:ascii="Book Antiqua" w:hAnsi="Book Antiqua" w:cs="Times New Roman"/>
        </w:rPr>
        <w:footnoteReference w:id="2"/>
      </w:r>
    </w:p>
    <w:p w14:paraId="2A1C7488" w14:textId="4B9B49C1" w:rsidR="00D811F2" w:rsidRPr="00FC5DB1" w:rsidRDefault="00736D36" w:rsidP="00FC5DB1">
      <w:pPr>
        <w:spacing w:line="276" w:lineRule="auto"/>
        <w:ind w:firstLine="708"/>
        <w:jc w:val="both"/>
        <w:rPr>
          <w:rFonts w:ascii="Book Antiqua" w:hAnsi="Book Antiqua" w:cs="Times New Roman"/>
        </w:rPr>
      </w:pPr>
      <w:r w:rsidRPr="00FC5DB1">
        <w:rPr>
          <w:rFonts w:ascii="Book Antiqua" w:hAnsi="Book Antiqua" w:cs="Times New Roman"/>
        </w:rPr>
        <w:t xml:space="preserve">Así pareciera que la legislación vigente </w:t>
      </w:r>
      <w:r w:rsidR="00D811F2" w:rsidRPr="00FC5DB1">
        <w:rPr>
          <w:rFonts w:ascii="Book Antiqua" w:hAnsi="Book Antiqua" w:cs="Times New Roman"/>
        </w:rPr>
        <w:t>es insuficiente, porque en primer lugar, se utilizan mecanismos de mercado donde el paciente es visto como un consumidor y no como un sujeto de derechos, respondiendo a una dinámica de mercado de bienes y servicios. En el caso particular de Clínica Dávila, ya se incurrió en una multa económica durante el año 2017 por una suma aproximada de $6.200.000 (125 UTM)</w:t>
      </w:r>
      <w:r w:rsidR="00D811F2" w:rsidRPr="00FC5DB1">
        <w:rPr>
          <w:rStyle w:val="Refdenotaalpie"/>
          <w:rFonts w:ascii="Book Antiqua" w:hAnsi="Book Antiqua" w:cs="Times New Roman"/>
        </w:rPr>
        <w:footnoteReference w:id="3"/>
      </w:r>
      <w:r w:rsidR="00D811F2" w:rsidRPr="00FC5DB1">
        <w:rPr>
          <w:rFonts w:ascii="Book Antiqua" w:hAnsi="Book Antiqua" w:cs="Times New Roman"/>
        </w:rPr>
        <w:t xml:space="preserve"> como sanción por una querella realizada por un paciente quien denunció a dicha institución por prácticas indebidas al momento de realizar los cobros por hospitalización. Por otro lado, en noviembre del 2019, </w:t>
      </w:r>
      <w:r w:rsidR="00D811F2" w:rsidRPr="00FC5DB1">
        <w:rPr>
          <w:rFonts w:ascii="Book Antiqua" w:hAnsi="Book Antiqua" w:cs="Times New Roman"/>
        </w:rPr>
        <w:lastRenderedPageBreak/>
        <w:t>se cursaron 26 multas monetarias por parte de la Superintendencia a diferentes clínicas privadas</w:t>
      </w:r>
      <w:r w:rsidR="00D811F2" w:rsidRPr="00FC5DB1">
        <w:rPr>
          <w:rStyle w:val="Refdenotaalpie"/>
          <w:rFonts w:ascii="Book Antiqua" w:hAnsi="Book Antiqua" w:cs="Times New Roman"/>
        </w:rPr>
        <w:footnoteReference w:id="4"/>
      </w:r>
      <w:r w:rsidR="00D811F2" w:rsidRPr="00FC5DB1">
        <w:rPr>
          <w:rFonts w:ascii="Book Antiqua" w:hAnsi="Book Antiqua" w:cs="Times New Roman"/>
        </w:rPr>
        <w:t xml:space="preserve">  </w:t>
      </w:r>
    </w:p>
    <w:p w14:paraId="6F075362" w14:textId="521BEE24" w:rsidR="00736D36" w:rsidRPr="00FC5DB1" w:rsidRDefault="00736D36" w:rsidP="00FC5DB1">
      <w:pPr>
        <w:spacing w:line="276" w:lineRule="auto"/>
        <w:ind w:firstLine="708"/>
        <w:jc w:val="both"/>
        <w:rPr>
          <w:rFonts w:ascii="Book Antiqua" w:hAnsi="Book Antiqua" w:cs="Times New Roman"/>
        </w:rPr>
      </w:pPr>
      <w:r w:rsidRPr="00FC5DB1">
        <w:rPr>
          <w:rFonts w:ascii="Book Antiqua" w:hAnsi="Book Antiqua" w:cs="Times New Roman"/>
        </w:rPr>
        <w:t>Para el presente año, la Superintendencia ya ha aplicado 58 sanciones por un total de $1.244 millones. Estas se cursaron a clínicas por supeditar la entrega de prestaciones de urgencia a un pagaré, dinero en efectivo o cheque en garantía</w:t>
      </w:r>
      <w:r w:rsidR="009B0076" w:rsidRPr="00FC5DB1">
        <w:rPr>
          <w:rStyle w:val="Refdenotaalpie"/>
          <w:rFonts w:ascii="Book Antiqua" w:hAnsi="Book Antiqua" w:cs="Times New Roman"/>
        </w:rPr>
        <w:footnoteReference w:id="5"/>
      </w:r>
      <w:r w:rsidRPr="00FC5DB1">
        <w:rPr>
          <w:rFonts w:ascii="Book Antiqua" w:hAnsi="Book Antiqua" w:cs="Times New Roman"/>
        </w:rPr>
        <w:t>:</w:t>
      </w:r>
    </w:p>
    <w:p w14:paraId="0716BEFB" w14:textId="77777777" w:rsidR="00736D36" w:rsidRPr="00FC5DB1" w:rsidRDefault="00736D36" w:rsidP="00FC5DB1">
      <w:pPr>
        <w:spacing w:line="276" w:lineRule="auto"/>
        <w:ind w:firstLine="708"/>
        <w:jc w:val="both"/>
        <w:rPr>
          <w:rFonts w:ascii="Book Antiqua" w:hAnsi="Book Antiqua" w:cs="Times New Roman"/>
        </w:rPr>
      </w:pPr>
      <w:r w:rsidRPr="00FC5DB1">
        <w:rPr>
          <w:rFonts w:ascii="Book Antiqua" w:hAnsi="Book Antiqua" w:cs="Times New Roman"/>
        </w:rPr>
        <w:t>•</w:t>
      </w:r>
      <w:r w:rsidRPr="00FC5DB1">
        <w:rPr>
          <w:rFonts w:ascii="Book Antiqua" w:hAnsi="Book Antiqua" w:cs="Times New Roman"/>
        </w:rPr>
        <w:tab/>
        <w:t>Clínica Dávila acumula 34 sanciones por 14.300 UTM ($737 millones)</w:t>
      </w:r>
    </w:p>
    <w:p w14:paraId="0EA957B6" w14:textId="77777777" w:rsidR="00736D36" w:rsidRPr="00FC5DB1" w:rsidRDefault="00736D36" w:rsidP="00FC5DB1">
      <w:pPr>
        <w:spacing w:line="276" w:lineRule="auto"/>
        <w:ind w:firstLine="708"/>
        <w:jc w:val="both"/>
        <w:rPr>
          <w:rFonts w:ascii="Book Antiqua" w:hAnsi="Book Antiqua" w:cs="Times New Roman"/>
        </w:rPr>
      </w:pPr>
      <w:r w:rsidRPr="00FC5DB1">
        <w:rPr>
          <w:rFonts w:ascii="Book Antiqua" w:hAnsi="Book Antiqua" w:cs="Times New Roman"/>
        </w:rPr>
        <w:t>•</w:t>
      </w:r>
      <w:r w:rsidRPr="00FC5DB1">
        <w:rPr>
          <w:rFonts w:ascii="Book Antiqua" w:hAnsi="Book Antiqua" w:cs="Times New Roman"/>
        </w:rPr>
        <w:tab/>
        <w:t>Clínica Tabancura 4 sanciones por 2.200 UTM ($113 millones)</w:t>
      </w:r>
    </w:p>
    <w:p w14:paraId="1196A142" w14:textId="77777777" w:rsidR="00736D36" w:rsidRPr="00FC5DB1" w:rsidRDefault="00736D36" w:rsidP="00FC5DB1">
      <w:pPr>
        <w:spacing w:line="276" w:lineRule="auto"/>
        <w:ind w:firstLine="708"/>
        <w:jc w:val="both"/>
        <w:rPr>
          <w:rFonts w:ascii="Book Antiqua" w:hAnsi="Book Antiqua" w:cs="Times New Roman"/>
        </w:rPr>
      </w:pPr>
      <w:r w:rsidRPr="00FC5DB1">
        <w:rPr>
          <w:rFonts w:ascii="Book Antiqua" w:hAnsi="Book Antiqua" w:cs="Times New Roman"/>
        </w:rPr>
        <w:t>•</w:t>
      </w:r>
      <w:r w:rsidRPr="00FC5DB1">
        <w:rPr>
          <w:rFonts w:ascii="Book Antiqua" w:hAnsi="Book Antiqua" w:cs="Times New Roman"/>
        </w:rPr>
        <w:tab/>
        <w:t>Clínica Bicentenario 4 sanciones con 1700 UTM ($87,7 millones)</w:t>
      </w:r>
    </w:p>
    <w:p w14:paraId="5AB52709" w14:textId="77777777" w:rsidR="00736D36" w:rsidRPr="00FC5DB1" w:rsidRDefault="00736D36" w:rsidP="00FC5DB1">
      <w:pPr>
        <w:spacing w:line="276" w:lineRule="auto"/>
        <w:ind w:firstLine="708"/>
        <w:jc w:val="both"/>
        <w:rPr>
          <w:rFonts w:ascii="Book Antiqua" w:hAnsi="Book Antiqua" w:cs="Times New Roman"/>
        </w:rPr>
      </w:pPr>
      <w:r w:rsidRPr="00FC5DB1">
        <w:rPr>
          <w:rFonts w:ascii="Book Antiqua" w:hAnsi="Book Antiqua" w:cs="Times New Roman"/>
        </w:rPr>
        <w:t>•</w:t>
      </w:r>
      <w:r w:rsidRPr="00FC5DB1">
        <w:rPr>
          <w:rFonts w:ascii="Book Antiqua" w:hAnsi="Book Antiqua" w:cs="Times New Roman"/>
        </w:rPr>
        <w:tab/>
        <w:t>Clínica Vespucio 3 sanciones por 1200 UTM ($61 millones)</w:t>
      </w:r>
    </w:p>
    <w:p w14:paraId="1F694183" w14:textId="3550AED2" w:rsidR="00736D36" w:rsidRPr="00FC5DB1" w:rsidRDefault="00736D36" w:rsidP="00FC5DB1">
      <w:pPr>
        <w:spacing w:line="276" w:lineRule="auto"/>
        <w:ind w:left="1416" w:hanging="708"/>
        <w:jc w:val="both"/>
        <w:rPr>
          <w:rFonts w:ascii="Book Antiqua" w:hAnsi="Book Antiqua" w:cs="Times New Roman"/>
        </w:rPr>
      </w:pPr>
      <w:r w:rsidRPr="00FC5DB1">
        <w:rPr>
          <w:rFonts w:ascii="Book Antiqua" w:hAnsi="Book Antiqua" w:cs="Times New Roman"/>
        </w:rPr>
        <w:t>•</w:t>
      </w:r>
      <w:r w:rsidRPr="00FC5DB1">
        <w:rPr>
          <w:rFonts w:ascii="Book Antiqua" w:hAnsi="Book Antiqua" w:cs="Times New Roman"/>
        </w:rPr>
        <w:tab/>
        <w:t>Hospital Clínico Universidad Católica 2 sanciones por 1.050 UTM ($54,1 millones)</w:t>
      </w:r>
    </w:p>
    <w:p w14:paraId="5CF7FA3F" w14:textId="24CC40E5" w:rsidR="009B0076" w:rsidRPr="00FC5DB1" w:rsidRDefault="00D811F2" w:rsidP="00FC5DB1">
      <w:pPr>
        <w:spacing w:line="276" w:lineRule="auto"/>
        <w:ind w:firstLine="708"/>
        <w:jc w:val="both"/>
        <w:rPr>
          <w:rFonts w:ascii="Book Antiqua" w:hAnsi="Book Antiqua" w:cs="Times New Roman"/>
        </w:rPr>
      </w:pPr>
      <w:r w:rsidRPr="00FC5DB1">
        <w:rPr>
          <w:rFonts w:ascii="Book Antiqua" w:hAnsi="Book Antiqua" w:cs="Times New Roman"/>
        </w:rPr>
        <w:t xml:space="preserve"> </w:t>
      </w:r>
    </w:p>
    <w:p w14:paraId="4AE25753" w14:textId="77777777" w:rsidR="0007707D" w:rsidRPr="00FC5DB1" w:rsidRDefault="0007707D" w:rsidP="00FC5DB1">
      <w:pPr>
        <w:spacing w:line="276" w:lineRule="auto"/>
        <w:ind w:firstLine="708"/>
        <w:jc w:val="both"/>
        <w:rPr>
          <w:rFonts w:ascii="Book Antiqua" w:hAnsi="Book Antiqua" w:cs="Times New Roman"/>
        </w:rPr>
      </w:pPr>
    </w:p>
    <w:p w14:paraId="4D744E2C" w14:textId="30F3A87A" w:rsidR="00D811F2" w:rsidRPr="00FC5DB1" w:rsidRDefault="00D811F2" w:rsidP="00FC5DB1">
      <w:pPr>
        <w:spacing w:line="276" w:lineRule="auto"/>
        <w:ind w:firstLine="708"/>
        <w:jc w:val="both"/>
        <w:rPr>
          <w:rFonts w:ascii="Book Antiqua" w:hAnsi="Book Antiqua" w:cs="Times New Roman"/>
        </w:rPr>
      </w:pPr>
      <w:r w:rsidRPr="00FC5DB1">
        <w:rPr>
          <w:rFonts w:ascii="Book Antiqua" w:hAnsi="Book Antiqua" w:cs="Times New Roman"/>
        </w:rPr>
        <w:t>El derecho a la salud se consagra en la Constitución de la Organización Mundial de la Salud en 1946, y estipula que “el goce del grado máximo de salud que se pueda lograr es uno de los derechos fundamentales de todo ser humano”</w:t>
      </w:r>
      <w:r w:rsidRPr="00FC5DB1">
        <w:rPr>
          <w:rStyle w:val="Refdenotaalpie"/>
          <w:rFonts w:ascii="Book Antiqua" w:hAnsi="Book Antiqua" w:cs="Times New Roman"/>
        </w:rPr>
        <w:footnoteReference w:id="6"/>
      </w:r>
      <w:r w:rsidRPr="00FC5DB1">
        <w:rPr>
          <w:rFonts w:ascii="Book Antiqua" w:hAnsi="Book Antiqua" w:cs="Times New Roman"/>
        </w:rPr>
        <w:t>. Adicionalmente, la Constitución aludida añade que la salud es “un estado de completo bienestar físico, mental y social, y no solamente la ausencia de afecciones o enfermedades”</w:t>
      </w:r>
      <w:r w:rsidRPr="00FC5DB1">
        <w:rPr>
          <w:rStyle w:val="Refdenotaalpie"/>
          <w:rFonts w:ascii="Book Antiqua" w:hAnsi="Book Antiqua" w:cs="Times New Roman"/>
        </w:rPr>
        <w:footnoteReference w:id="7"/>
      </w:r>
      <w:r w:rsidRPr="00FC5DB1">
        <w:rPr>
          <w:rFonts w:ascii="Book Antiqua" w:hAnsi="Book Antiqua" w:cs="Times New Roman"/>
        </w:rPr>
        <w:t xml:space="preserve">. </w:t>
      </w:r>
    </w:p>
    <w:p w14:paraId="01E7CE59" w14:textId="29D8272F" w:rsidR="00D811F2" w:rsidRPr="00FC5DB1" w:rsidRDefault="00D811F2" w:rsidP="00FC5DB1">
      <w:pPr>
        <w:spacing w:line="276" w:lineRule="auto"/>
        <w:ind w:firstLine="708"/>
        <w:jc w:val="both"/>
        <w:rPr>
          <w:rFonts w:ascii="Book Antiqua" w:hAnsi="Book Antiqua" w:cs="Times New Roman"/>
        </w:rPr>
      </w:pPr>
      <w:r w:rsidRPr="00FC5DB1">
        <w:rPr>
          <w:rFonts w:ascii="Book Antiqua" w:hAnsi="Book Antiqua" w:cs="Times New Roman"/>
        </w:rPr>
        <w:t xml:space="preserve">Se </w:t>
      </w:r>
      <w:r w:rsidR="009B0076" w:rsidRPr="00FC5DB1">
        <w:rPr>
          <w:rFonts w:ascii="Book Antiqua" w:hAnsi="Book Antiqua" w:cs="Times New Roman"/>
        </w:rPr>
        <w:t>menciona,</w:t>
      </w:r>
      <w:r w:rsidRPr="00FC5DB1">
        <w:rPr>
          <w:rFonts w:ascii="Book Antiqua" w:hAnsi="Book Antiqua" w:cs="Times New Roman"/>
        </w:rPr>
        <w:t xml:space="preserve"> además, que “el goce del grado máximo de salud que se pueda lograr es uno de los derechos fundamentales de todo ser humano sin distinción de raza, religión, ideología política o condición económica o social”</w:t>
      </w:r>
      <w:r w:rsidRPr="00FC5DB1">
        <w:rPr>
          <w:rStyle w:val="Refdenotaalpie"/>
          <w:rFonts w:ascii="Book Antiqua" w:hAnsi="Book Antiqua" w:cs="Times New Roman"/>
        </w:rPr>
        <w:footnoteReference w:id="8"/>
      </w:r>
      <w:r w:rsidRPr="00FC5DB1">
        <w:rPr>
          <w:rFonts w:ascii="Book Antiqua" w:hAnsi="Book Antiqua" w:cs="Times New Roman"/>
        </w:rPr>
        <w:t xml:space="preserve">. En esta misma línea, el injusto y arbitrario accionar que ha ejercido la institución privada de salud, ha vulnerado uno de los criterios con los que se evalúa el respeto del derecho a la salud, que es el criterio de accesibilidad, ya que es explícito </w:t>
      </w:r>
      <w:r w:rsidR="009B0076" w:rsidRPr="00FC5DB1">
        <w:rPr>
          <w:rFonts w:ascii="Book Antiqua" w:hAnsi="Book Antiqua" w:cs="Times New Roman"/>
        </w:rPr>
        <w:t xml:space="preserve">al indicar </w:t>
      </w:r>
      <w:r w:rsidRPr="00FC5DB1">
        <w:rPr>
          <w:rFonts w:ascii="Book Antiqua" w:hAnsi="Book Antiqua" w:cs="Times New Roman"/>
        </w:rPr>
        <w:t>que “los establecimientos, bienes o servicios de salud deben ser accesibles a todos, sin discriminación alguna, dentro de la jurisdicción del Estado Parte. La accesibilidad presenta cuatro dimensiones superpuestas: no discriminación, accesibilidad física, accesibilidad económica (asequibilidad) y acceso a la información”</w:t>
      </w:r>
      <w:r w:rsidRPr="00FC5DB1">
        <w:rPr>
          <w:rStyle w:val="Refdenotaalpie"/>
          <w:rFonts w:ascii="Book Antiqua" w:hAnsi="Book Antiqua" w:cs="Times New Roman"/>
        </w:rPr>
        <w:footnoteReference w:id="9"/>
      </w:r>
      <w:r w:rsidRPr="00FC5DB1">
        <w:rPr>
          <w:rFonts w:ascii="Book Antiqua" w:hAnsi="Book Antiqua" w:cs="Times New Roman"/>
        </w:rPr>
        <w:t xml:space="preserve">. </w:t>
      </w:r>
    </w:p>
    <w:p w14:paraId="34E3D013" w14:textId="586E120D" w:rsidR="00D811F2" w:rsidRPr="00FC5DB1" w:rsidRDefault="009B0076" w:rsidP="00FC5DB1">
      <w:pPr>
        <w:spacing w:line="276" w:lineRule="auto"/>
        <w:ind w:firstLine="708"/>
        <w:jc w:val="both"/>
        <w:rPr>
          <w:rFonts w:ascii="Book Antiqua" w:hAnsi="Book Antiqua" w:cs="Times New Roman"/>
        </w:rPr>
      </w:pPr>
      <w:r w:rsidRPr="00FC5DB1">
        <w:rPr>
          <w:rFonts w:ascii="Book Antiqua" w:hAnsi="Book Antiqua" w:cs="Times New Roman"/>
        </w:rPr>
        <w:lastRenderedPageBreak/>
        <w:t>En el mismo sentido</w:t>
      </w:r>
      <w:r w:rsidR="00D811F2" w:rsidRPr="00FC5DB1">
        <w:rPr>
          <w:rFonts w:ascii="Book Antiqua" w:hAnsi="Book Antiqua" w:cs="Times New Roman"/>
        </w:rPr>
        <w:t>, el derecho a la salud se consagra como derecho humano en 1966 en el Pacto Internacional de Derechos Económicos, Sociales y Culturales, estableciendo seis medidas de evaluación, dentro de las cuales se destaca “la creación de condiciones que aseguren a todos asistencia médica y servicios médicos en caso de enfermedad”</w:t>
      </w:r>
      <w:r w:rsidR="00D811F2" w:rsidRPr="00FC5DB1">
        <w:rPr>
          <w:rStyle w:val="Refdenotaalpie"/>
          <w:rFonts w:ascii="Book Antiqua" w:hAnsi="Book Antiqua" w:cs="Times New Roman"/>
        </w:rPr>
        <w:footnoteReference w:id="10"/>
      </w:r>
      <w:r w:rsidR="00D811F2" w:rsidRPr="00FC5DB1">
        <w:rPr>
          <w:rFonts w:ascii="Book Antiqua" w:hAnsi="Book Antiqua" w:cs="Times New Roman"/>
        </w:rPr>
        <w:t xml:space="preserve">. </w:t>
      </w:r>
    </w:p>
    <w:p w14:paraId="22B23509" w14:textId="3A28FFE7" w:rsidR="00D811F2" w:rsidRPr="00FC5DB1" w:rsidRDefault="00D811F2" w:rsidP="00FC5DB1">
      <w:pPr>
        <w:spacing w:line="276" w:lineRule="auto"/>
        <w:ind w:firstLine="708"/>
        <w:jc w:val="both"/>
        <w:rPr>
          <w:rFonts w:ascii="Book Antiqua" w:hAnsi="Book Antiqua" w:cs="Times New Roman"/>
        </w:rPr>
      </w:pPr>
      <w:r w:rsidRPr="00FC5DB1">
        <w:rPr>
          <w:rFonts w:ascii="Book Antiqua" w:hAnsi="Book Antiqua" w:cs="Times New Roman"/>
        </w:rPr>
        <w:t>En las normativas</w:t>
      </w:r>
      <w:r w:rsidR="009B0076" w:rsidRPr="00FC5DB1">
        <w:rPr>
          <w:rFonts w:ascii="Book Antiqua" w:hAnsi="Book Antiqua" w:cs="Times New Roman"/>
        </w:rPr>
        <w:t xml:space="preserve"> internas </w:t>
      </w:r>
      <w:r w:rsidRPr="00FC5DB1">
        <w:rPr>
          <w:rFonts w:ascii="Book Antiqua" w:hAnsi="Book Antiqua" w:cs="Times New Roman"/>
        </w:rPr>
        <w:t>de los países, la legislación de Argentina, específicamente en la Ley N°23.373, se explicita que quienes poseen altos cargos directivos, administrativos, y que atenten contra la protección de la salud tendrán una pena económica que va desde los 2.000 hasta los 30.000 pesos argentinos, es decir, desde los $25.000 pesos chilenos hasta los $383.000 pesos chilenos. Para los castigos penales, solo se incluyen la venta de fármacos que no estén bajo prescripción o receta médica.</w:t>
      </w:r>
    </w:p>
    <w:p w14:paraId="5FF0005C" w14:textId="38FC7C63" w:rsidR="00D811F2" w:rsidRPr="00FC5DB1" w:rsidRDefault="009B0076" w:rsidP="00FC5DB1">
      <w:pPr>
        <w:spacing w:line="276" w:lineRule="auto"/>
        <w:ind w:firstLine="708"/>
        <w:jc w:val="both"/>
        <w:rPr>
          <w:rFonts w:ascii="Book Antiqua" w:hAnsi="Book Antiqua" w:cs="Times New Roman"/>
        </w:rPr>
      </w:pPr>
      <w:r w:rsidRPr="00FC5DB1">
        <w:rPr>
          <w:rFonts w:ascii="Book Antiqua" w:hAnsi="Book Antiqua" w:cs="Times New Roman"/>
        </w:rPr>
        <w:t>L</w:t>
      </w:r>
      <w:r w:rsidR="00D811F2" w:rsidRPr="00FC5DB1">
        <w:rPr>
          <w:rFonts w:ascii="Book Antiqua" w:hAnsi="Book Antiqua" w:cs="Times New Roman"/>
        </w:rPr>
        <w:t xml:space="preserve">a normativa penal de México, en el Código Penal Federal, se contempla un título completo para tipificar los delitos contra la salud. El Título VII sobre Delitos contra la Salud, específicamente, en el capítulo 1, se establece que todo ingreso comercio, transporte de narcóticos no permitidos por legislación tienen pena doble cuando es realizado por un funcionario público, quien tiene la labor de prevenir, denunciar, investigar o juzgar la realización de los delitos contra la salud. De la misma forma, los delitos realizados por quienes protegen la salud, es decir, médicos, funcionarios, administrativos, serán castigados con penas dobles, independiente de la pena establecida por el Código propiamente tal. </w:t>
      </w:r>
    </w:p>
    <w:p w14:paraId="154AA0A4" w14:textId="5173990E" w:rsidR="00D811F2" w:rsidRPr="00FC5DB1" w:rsidRDefault="00D811F2" w:rsidP="00FC5DB1">
      <w:pPr>
        <w:spacing w:line="276" w:lineRule="auto"/>
        <w:ind w:firstLine="708"/>
        <w:jc w:val="both"/>
        <w:rPr>
          <w:rFonts w:ascii="Book Antiqua" w:hAnsi="Book Antiqua" w:cs="Times New Roman"/>
        </w:rPr>
      </w:pPr>
      <w:r w:rsidRPr="00FC5DB1">
        <w:rPr>
          <w:rFonts w:ascii="Book Antiqua" w:hAnsi="Book Antiqua" w:cs="Times New Roman"/>
        </w:rPr>
        <w:t xml:space="preserve">En relación con la normativa chilena, la Constitución de Chile asegura el acceso libre e igualitario a la salud, sea en acciones de promoción, protección, recuperación y rehabilitación, por lo tanto, se estipula que es deber del Estado garantizar la ejecución de las acciones de salud ya sea en el sistema público o privado. </w:t>
      </w:r>
      <w:r w:rsidRPr="00FC5DB1">
        <w:rPr>
          <w:rStyle w:val="Refdenotaalpie"/>
          <w:rFonts w:ascii="Book Antiqua" w:hAnsi="Book Antiqua" w:cs="Times New Roman"/>
        </w:rPr>
        <w:footnoteReference w:id="11"/>
      </w:r>
    </w:p>
    <w:p w14:paraId="6B017789" w14:textId="4D1116C1" w:rsidR="00D811F2" w:rsidRPr="00FC5DB1" w:rsidRDefault="009B0076" w:rsidP="00FC5DB1">
      <w:pPr>
        <w:spacing w:line="276" w:lineRule="auto"/>
        <w:ind w:firstLine="708"/>
        <w:jc w:val="both"/>
        <w:rPr>
          <w:rFonts w:ascii="Book Antiqua" w:hAnsi="Book Antiqua" w:cs="Times New Roman"/>
        </w:rPr>
      </w:pPr>
      <w:r w:rsidRPr="00FC5DB1">
        <w:rPr>
          <w:rFonts w:ascii="Book Antiqua" w:hAnsi="Book Antiqua" w:cs="Times New Roman"/>
        </w:rPr>
        <w:t>Consecutivamente</w:t>
      </w:r>
      <w:r w:rsidR="00D811F2" w:rsidRPr="00FC5DB1">
        <w:rPr>
          <w:rFonts w:ascii="Book Antiqua" w:hAnsi="Book Antiqua" w:cs="Times New Roman"/>
        </w:rPr>
        <w:t>, la</w:t>
      </w:r>
      <w:r w:rsidRPr="00FC5DB1">
        <w:rPr>
          <w:rFonts w:ascii="Book Antiqua" w:hAnsi="Book Antiqua" w:cs="Times New Roman"/>
        </w:rPr>
        <w:t xml:space="preserve"> ley n°</w:t>
      </w:r>
      <w:r w:rsidR="00D811F2" w:rsidRPr="00FC5DB1">
        <w:rPr>
          <w:rFonts w:ascii="Book Antiqua" w:hAnsi="Book Antiqua" w:cs="Times New Roman"/>
        </w:rPr>
        <w:t>20.394 prohíbe condicionar la atención del paciente a la entrega de cheques en garantía, o pago en efectivo</w:t>
      </w:r>
      <w:r w:rsidRPr="00FC5DB1">
        <w:rPr>
          <w:rFonts w:ascii="Book Antiqua" w:hAnsi="Book Antiqua" w:cs="Times New Roman"/>
        </w:rPr>
        <w:t>, refundido por e</w:t>
      </w:r>
      <w:r w:rsidR="00D811F2" w:rsidRPr="00FC5DB1">
        <w:rPr>
          <w:rFonts w:ascii="Book Antiqua" w:hAnsi="Book Antiqua" w:cs="Times New Roman"/>
        </w:rPr>
        <w:t xml:space="preserve">l Decreto N°1 del 2005 del Ministerio de Salud, </w:t>
      </w:r>
      <w:r w:rsidRPr="00FC5DB1">
        <w:rPr>
          <w:rFonts w:ascii="Book Antiqua" w:hAnsi="Book Antiqua" w:cs="Times New Roman"/>
        </w:rPr>
        <w:t xml:space="preserve">el cual </w:t>
      </w:r>
      <w:r w:rsidR="00D811F2" w:rsidRPr="00FC5DB1">
        <w:rPr>
          <w:rFonts w:ascii="Book Antiqua" w:hAnsi="Book Antiqua" w:cs="Times New Roman"/>
        </w:rPr>
        <w:t xml:space="preserve">a través del artículo 121, explicita las funciones y atribuciones de la Superintendencia de </w:t>
      </w:r>
      <w:r w:rsidRPr="00FC5DB1">
        <w:rPr>
          <w:rFonts w:ascii="Book Antiqua" w:hAnsi="Book Antiqua" w:cs="Times New Roman"/>
        </w:rPr>
        <w:t>S</w:t>
      </w:r>
      <w:r w:rsidR="00D811F2" w:rsidRPr="00FC5DB1">
        <w:rPr>
          <w:rFonts w:ascii="Book Antiqua" w:hAnsi="Book Antiqua" w:cs="Times New Roman"/>
        </w:rPr>
        <w:t xml:space="preserve">alud, atribuyendo la tarea fiscalizadora </w:t>
      </w:r>
      <w:r w:rsidRPr="00FC5DB1">
        <w:rPr>
          <w:rFonts w:ascii="Book Antiqua" w:hAnsi="Book Antiqua" w:cs="Times New Roman"/>
        </w:rPr>
        <w:t>contra</w:t>
      </w:r>
      <w:r w:rsidR="00D811F2" w:rsidRPr="00FC5DB1">
        <w:rPr>
          <w:rFonts w:ascii="Book Antiqua" w:hAnsi="Book Antiqua" w:cs="Times New Roman"/>
        </w:rPr>
        <w:t xml:space="preserve"> los prestadores de salud públicos y privados.</w:t>
      </w:r>
    </w:p>
    <w:p w14:paraId="3253B94F" w14:textId="11EF57B1" w:rsidR="00D811F2" w:rsidRPr="00FC5DB1" w:rsidRDefault="00D811F2" w:rsidP="00FC5DB1">
      <w:pPr>
        <w:spacing w:line="276" w:lineRule="auto"/>
        <w:ind w:firstLine="708"/>
        <w:jc w:val="both"/>
        <w:rPr>
          <w:rFonts w:ascii="Book Antiqua" w:hAnsi="Book Antiqua" w:cs="Times New Roman"/>
        </w:rPr>
      </w:pPr>
      <w:r w:rsidRPr="00FC5DB1">
        <w:rPr>
          <w:rFonts w:ascii="Book Antiqua" w:hAnsi="Book Antiqua" w:cs="Times New Roman"/>
        </w:rPr>
        <w:t xml:space="preserve">Por último, la ley </w:t>
      </w:r>
      <w:r w:rsidR="009B0076" w:rsidRPr="00FC5DB1">
        <w:rPr>
          <w:rFonts w:ascii="Book Antiqua" w:hAnsi="Book Antiqua" w:cs="Times New Roman"/>
        </w:rPr>
        <w:t>n° te de</w:t>
      </w:r>
      <w:r w:rsidRPr="00FC5DB1">
        <w:rPr>
          <w:rFonts w:ascii="Book Antiqua" w:hAnsi="Book Antiqua" w:cs="Times New Roman"/>
        </w:rPr>
        <w:t xml:space="preserve">20.584 de derechos y deberes del paciente, en el título II, se especifican los derechos de los pacientes, entre ellos, el derecho a tener información oportuna y comprensible de su estado de salud, recibir un trato digno, y recibir una atención de salud de calidad y segura, según protocolos establecidos. </w:t>
      </w:r>
    </w:p>
    <w:p w14:paraId="73DBDB38" w14:textId="4093B28D" w:rsidR="00D811F2" w:rsidRPr="00FC5DB1" w:rsidRDefault="00D811F2" w:rsidP="00FC5DB1">
      <w:pPr>
        <w:spacing w:line="276" w:lineRule="auto"/>
        <w:jc w:val="both"/>
        <w:rPr>
          <w:rFonts w:ascii="Book Antiqua" w:hAnsi="Book Antiqua" w:cs="Times New Roman"/>
        </w:rPr>
      </w:pPr>
      <w:r w:rsidRPr="00FC5DB1">
        <w:rPr>
          <w:rFonts w:ascii="Book Antiqua" w:hAnsi="Book Antiqua"/>
        </w:rPr>
        <w:tab/>
      </w:r>
      <w:r w:rsidRPr="00FC5DB1">
        <w:rPr>
          <w:rFonts w:ascii="Book Antiqua" w:hAnsi="Book Antiqua" w:cs="Times New Roman"/>
        </w:rPr>
        <w:t>Dad</w:t>
      </w:r>
      <w:r w:rsidR="009B0076" w:rsidRPr="00FC5DB1">
        <w:rPr>
          <w:rFonts w:ascii="Book Antiqua" w:hAnsi="Book Antiqua" w:cs="Times New Roman"/>
        </w:rPr>
        <w:t>a</w:t>
      </w:r>
      <w:r w:rsidRPr="00FC5DB1">
        <w:rPr>
          <w:rFonts w:ascii="Book Antiqua" w:hAnsi="Book Antiqua" w:cs="Times New Roman"/>
        </w:rPr>
        <w:t xml:space="preserve"> la insuficiencia e ineficacia de los castigos económicos estipulados para con los altos directivos, ejecutivos y/o administradores de prestadores privados de salud, que atentan arbitrariamente contra la salud de los pacientes, al condicionar y vulnerar la </w:t>
      </w:r>
      <w:r w:rsidRPr="00FC5DB1">
        <w:rPr>
          <w:rFonts w:ascii="Book Antiqua" w:hAnsi="Book Antiqua" w:cs="Times New Roman"/>
        </w:rPr>
        <w:lastRenderedPageBreak/>
        <w:t xml:space="preserve">normativa legal vigente, es urgente aumentar las penas, generando un castigo ejemplificador que ordene la conducta e incentive a no infringir la ley sucesivamente. </w:t>
      </w:r>
    </w:p>
    <w:p w14:paraId="5475FC16" w14:textId="027DCAF7" w:rsidR="00D811F2" w:rsidRPr="00FC5DB1" w:rsidRDefault="009B0076" w:rsidP="00FC5DB1">
      <w:pPr>
        <w:spacing w:line="276" w:lineRule="auto"/>
        <w:ind w:firstLine="708"/>
        <w:jc w:val="both"/>
        <w:rPr>
          <w:rFonts w:ascii="Book Antiqua" w:hAnsi="Book Antiqua" w:cs="Times New Roman"/>
        </w:rPr>
      </w:pPr>
      <w:r w:rsidRPr="00FC5DB1">
        <w:rPr>
          <w:rFonts w:ascii="Book Antiqua" w:hAnsi="Book Antiqua" w:cs="Times New Roman"/>
        </w:rPr>
        <w:t>De acuerdo a los antecedentes m</w:t>
      </w:r>
      <w:r w:rsidR="00D811F2" w:rsidRPr="00FC5DB1">
        <w:rPr>
          <w:rFonts w:ascii="Book Antiqua" w:hAnsi="Book Antiqua" w:cs="Times New Roman"/>
        </w:rPr>
        <w:t xml:space="preserve">encionados, es categórica la premura con que se debe legislar en contra de aquellos que atenten contra el derecho a la salud, pues existe un cuerpo legal que puede amparar una sanción mucho más ejemplificadora, que evite continuar con prácticas indebidas por los </w:t>
      </w:r>
      <w:r w:rsidR="0007707D" w:rsidRPr="00FC5DB1">
        <w:rPr>
          <w:rFonts w:ascii="Book Antiqua" w:hAnsi="Book Antiqua" w:cs="Times New Roman"/>
        </w:rPr>
        <w:t>prestadores de salud privado</w:t>
      </w:r>
      <w:r w:rsidRPr="00FC5DB1">
        <w:rPr>
          <w:rFonts w:ascii="Book Antiqua" w:hAnsi="Book Antiqua" w:cs="Times New Roman"/>
        </w:rPr>
        <w:t xml:space="preserve">, sancionándose penalmente </w:t>
      </w:r>
      <w:r w:rsidR="0007707D" w:rsidRPr="00FC5DB1">
        <w:rPr>
          <w:rFonts w:ascii="Book Antiqua" w:hAnsi="Book Antiqua" w:cs="Times New Roman"/>
        </w:rPr>
        <w:t xml:space="preserve">a los gerentes que avalen el condicionarle a una persona el acceso a una atención de salud en la cual puede estar en riesgo su vida. </w:t>
      </w:r>
    </w:p>
    <w:p w14:paraId="2459A880" w14:textId="77777777" w:rsidR="00101ED6" w:rsidRPr="00FC5DB1" w:rsidRDefault="00101ED6" w:rsidP="00FC5DB1">
      <w:pPr>
        <w:spacing w:line="276" w:lineRule="auto"/>
        <w:ind w:firstLine="708"/>
        <w:jc w:val="both"/>
        <w:rPr>
          <w:rFonts w:ascii="Book Antiqua" w:hAnsi="Book Antiqua" w:cs="Times New Roman"/>
          <w:b/>
          <w:bCs/>
        </w:rPr>
      </w:pPr>
    </w:p>
    <w:p w14:paraId="2EE0214D" w14:textId="5511BBAC" w:rsidR="00631A93" w:rsidRPr="00FC5DB1" w:rsidRDefault="00631A93" w:rsidP="00FC5DB1">
      <w:pPr>
        <w:spacing w:line="276" w:lineRule="auto"/>
        <w:ind w:firstLine="708"/>
        <w:jc w:val="both"/>
        <w:rPr>
          <w:rFonts w:ascii="Book Antiqua" w:hAnsi="Book Antiqua" w:cs="Times New Roman"/>
          <w:b/>
          <w:bCs/>
        </w:rPr>
      </w:pPr>
      <w:r w:rsidRPr="00FC5DB1">
        <w:rPr>
          <w:rFonts w:ascii="Book Antiqua" w:hAnsi="Book Antiqua" w:cs="Times New Roman"/>
          <w:b/>
          <w:bCs/>
        </w:rPr>
        <w:t>IDEA MATRIZ</w:t>
      </w:r>
    </w:p>
    <w:p w14:paraId="55CA01E0" w14:textId="1E2FB400" w:rsidR="00631A93" w:rsidRPr="00FC5DB1" w:rsidRDefault="00631A93" w:rsidP="00FC5DB1">
      <w:pPr>
        <w:spacing w:line="276" w:lineRule="auto"/>
        <w:ind w:firstLine="708"/>
        <w:jc w:val="both"/>
        <w:rPr>
          <w:rFonts w:ascii="Book Antiqua" w:hAnsi="Book Antiqua" w:cs="Times New Roman"/>
        </w:rPr>
      </w:pPr>
      <w:r w:rsidRPr="00FC5DB1">
        <w:rPr>
          <w:rFonts w:ascii="Book Antiqua" w:hAnsi="Book Antiqua" w:cs="Times New Roman"/>
        </w:rPr>
        <w:t>El presente proyecto de ley sanciona penalmente a los prestadores de salud privado a través de sus dueños, controladores, responsables, ejecutivos principales, representantes o quienes realicen actividades de administración y supervisión, por negar o condicionar la atención de salud de urgencia o ambulatoria a la exigencia de presentar una garantía de pago, tales como pagarés, cheques, dinero en efectivo o tarjetas de crédito o débito a los pacientes.</w:t>
      </w:r>
    </w:p>
    <w:p w14:paraId="4D54C4DD" w14:textId="77777777" w:rsidR="00D811F2" w:rsidRPr="00FC5DB1" w:rsidRDefault="00D811F2" w:rsidP="00FC5DB1">
      <w:pPr>
        <w:spacing w:line="276" w:lineRule="auto"/>
        <w:jc w:val="both"/>
        <w:rPr>
          <w:rFonts w:ascii="Book Antiqua" w:hAnsi="Book Antiqua" w:cs="Times New Roman"/>
        </w:rPr>
      </w:pPr>
    </w:p>
    <w:p w14:paraId="39A5FC5B" w14:textId="32928205" w:rsidR="00D811F2" w:rsidRPr="00FC5DB1" w:rsidRDefault="00736117" w:rsidP="00FC5DB1">
      <w:pPr>
        <w:spacing w:line="276" w:lineRule="auto"/>
        <w:jc w:val="both"/>
        <w:rPr>
          <w:rFonts w:ascii="Book Antiqua" w:hAnsi="Book Antiqua"/>
        </w:rPr>
      </w:pPr>
      <w:r w:rsidRPr="00FC5DB1">
        <w:rPr>
          <w:rFonts w:ascii="Book Antiqua" w:hAnsi="Book Antiqua"/>
        </w:rPr>
        <w:t>De acuerdo con</w:t>
      </w:r>
      <w:r w:rsidR="0007707D" w:rsidRPr="00FC5DB1">
        <w:rPr>
          <w:rFonts w:ascii="Book Antiqua" w:hAnsi="Book Antiqua"/>
        </w:rPr>
        <w:t xml:space="preserve"> los antecedentes antes expuestos vengo en proponer el siguiente proyecto de ley:</w:t>
      </w:r>
    </w:p>
    <w:p w14:paraId="1F3FA442" w14:textId="77777777" w:rsidR="0007707D" w:rsidRPr="00FC5DB1" w:rsidRDefault="0007707D" w:rsidP="00FC5DB1">
      <w:pPr>
        <w:spacing w:line="276" w:lineRule="auto"/>
        <w:jc w:val="both"/>
        <w:rPr>
          <w:rFonts w:ascii="Book Antiqua" w:hAnsi="Book Antiqua"/>
        </w:rPr>
      </w:pPr>
      <w:r w:rsidRPr="00FC5DB1">
        <w:rPr>
          <w:rFonts w:ascii="Book Antiqua" w:hAnsi="Book Antiqua"/>
        </w:rPr>
        <w:tab/>
      </w:r>
      <w:r w:rsidRPr="00FC5DB1">
        <w:rPr>
          <w:rFonts w:ascii="Book Antiqua" w:hAnsi="Book Antiqua"/>
        </w:rPr>
        <w:tab/>
      </w:r>
      <w:r w:rsidRPr="00FC5DB1">
        <w:rPr>
          <w:rFonts w:ascii="Book Antiqua" w:hAnsi="Book Antiqua"/>
        </w:rPr>
        <w:tab/>
      </w:r>
      <w:r w:rsidRPr="00FC5DB1">
        <w:rPr>
          <w:rFonts w:ascii="Book Antiqua" w:hAnsi="Book Antiqua"/>
        </w:rPr>
        <w:tab/>
      </w:r>
    </w:p>
    <w:p w14:paraId="512AA190" w14:textId="61319484" w:rsidR="00736117" w:rsidRPr="00FC5DB1" w:rsidRDefault="0007707D" w:rsidP="00800CB3">
      <w:pPr>
        <w:spacing w:line="276" w:lineRule="auto"/>
        <w:jc w:val="both"/>
        <w:rPr>
          <w:rFonts w:ascii="Book Antiqua" w:hAnsi="Book Antiqua"/>
          <w:b/>
          <w:bCs/>
        </w:rPr>
      </w:pPr>
      <w:r w:rsidRPr="00FC5DB1">
        <w:rPr>
          <w:rFonts w:ascii="Book Antiqua" w:hAnsi="Book Antiqua"/>
          <w:b/>
          <w:bCs/>
        </w:rPr>
        <w:t>PROYECTO DE LEY</w:t>
      </w:r>
    </w:p>
    <w:p w14:paraId="3EBEB9C5" w14:textId="279D8DBF" w:rsidR="0007707D" w:rsidRPr="00FC5DB1" w:rsidRDefault="00736117" w:rsidP="00FC5DB1">
      <w:pPr>
        <w:spacing w:line="276" w:lineRule="auto"/>
        <w:jc w:val="both"/>
        <w:rPr>
          <w:rFonts w:ascii="Book Antiqua" w:hAnsi="Book Antiqua"/>
        </w:rPr>
      </w:pPr>
      <w:r w:rsidRPr="00FC5DB1">
        <w:rPr>
          <w:rFonts w:ascii="Book Antiqua" w:hAnsi="Book Antiqua"/>
          <w:b/>
          <w:bCs/>
        </w:rPr>
        <w:t xml:space="preserve">ARTÍCULO </w:t>
      </w:r>
      <w:r w:rsidR="00B602BC" w:rsidRPr="00FC5DB1">
        <w:rPr>
          <w:rFonts w:ascii="Book Antiqua" w:hAnsi="Book Antiqua"/>
          <w:b/>
          <w:bCs/>
        </w:rPr>
        <w:t>PRIMERO</w:t>
      </w:r>
      <w:r w:rsidRPr="00FC5DB1">
        <w:rPr>
          <w:rFonts w:ascii="Book Antiqua" w:hAnsi="Book Antiqua"/>
          <w:b/>
          <w:bCs/>
        </w:rPr>
        <w:t>:</w:t>
      </w:r>
      <w:r w:rsidRPr="00FC5DB1">
        <w:rPr>
          <w:rFonts w:ascii="Book Antiqua" w:hAnsi="Book Antiqua"/>
        </w:rPr>
        <w:t xml:space="preserve"> </w:t>
      </w:r>
      <w:r w:rsidR="0007707D" w:rsidRPr="00FC5DB1">
        <w:rPr>
          <w:rFonts w:ascii="Book Antiqua" w:hAnsi="Book Antiqua"/>
        </w:rPr>
        <w:t xml:space="preserve">Modificase el </w:t>
      </w:r>
      <w:r w:rsidR="00B602BC" w:rsidRPr="00FC5DB1">
        <w:rPr>
          <w:rFonts w:ascii="Book Antiqua" w:hAnsi="Book Antiqua" w:cs="Times New Roman"/>
        </w:rPr>
        <w:t xml:space="preserve">D.F.L n° 1 que fija el texto refundido, coordinado y sistematizado del Decreto Ley n° 2.763, de 1979 y de las leyes n° 18.933 y n° 18.469 </w:t>
      </w:r>
      <w:r w:rsidR="0007707D" w:rsidRPr="00FC5DB1">
        <w:rPr>
          <w:rFonts w:ascii="Book Antiqua" w:hAnsi="Book Antiqua" w:cs="Times New Roman"/>
        </w:rPr>
        <w:t xml:space="preserve">de la siguiente manera: </w:t>
      </w:r>
    </w:p>
    <w:p w14:paraId="17E70588" w14:textId="4480FB2D" w:rsidR="0007707D" w:rsidRPr="00FC5DB1" w:rsidRDefault="0007707D" w:rsidP="00FC5DB1">
      <w:pPr>
        <w:spacing w:line="276" w:lineRule="auto"/>
        <w:jc w:val="both"/>
        <w:rPr>
          <w:rFonts w:ascii="Book Antiqua" w:hAnsi="Book Antiqua" w:cs="Times New Roman"/>
        </w:rPr>
      </w:pPr>
      <w:r w:rsidRPr="00FC5DB1">
        <w:rPr>
          <w:rFonts w:ascii="Book Antiqua" w:hAnsi="Book Antiqua" w:cs="Times New Roman"/>
        </w:rPr>
        <w:t xml:space="preserve">Agrégase un artículo 141 ter del siguiente tenor: </w:t>
      </w:r>
    </w:p>
    <w:p w14:paraId="00DBCF37" w14:textId="726DAA71" w:rsidR="0007707D" w:rsidRPr="00FC5DB1" w:rsidRDefault="0007707D" w:rsidP="00FC5DB1">
      <w:pPr>
        <w:spacing w:line="276" w:lineRule="auto"/>
        <w:jc w:val="both"/>
        <w:rPr>
          <w:rFonts w:ascii="Book Antiqua" w:hAnsi="Book Antiqua"/>
        </w:rPr>
      </w:pPr>
      <w:r w:rsidRPr="00FC5DB1">
        <w:rPr>
          <w:rFonts w:ascii="Book Antiqua" w:hAnsi="Book Antiqua"/>
        </w:rPr>
        <w:t>“Los prestadores de salud</w:t>
      </w:r>
      <w:r w:rsidR="00631A93" w:rsidRPr="00FC5DB1">
        <w:rPr>
          <w:rFonts w:ascii="Book Antiqua" w:hAnsi="Book Antiqua"/>
        </w:rPr>
        <w:t xml:space="preserve"> privado</w:t>
      </w:r>
      <w:r w:rsidRPr="00FC5DB1">
        <w:rPr>
          <w:rFonts w:ascii="Book Antiqua" w:hAnsi="Book Antiqua"/>
        </w:rPr>
        <w:t xml:space="preserve"> que negaren o condicionaren la atención de</w:t>
      </w:r>
      <w:r w:rsidR="00631A93" w:rsidRPr="00FC5DB1">
        <w:rPr>
          <w:rFonts w:ascii="Book Antiqua" w:hAnsi="Book Antiqua"/>
        </w:rPr>
        <w:t xml:space="preserve"> salud de</w:t>
      </w:r>
      <w:r w:rsidRPr="00FC5DB1">
        <w:rPr>
          <w:rFonts w:ascii="Book Antiqua" w:hAnsi="Book Antiqua"/>
        </w:rPr>
        <w:t xml:space="preserve"> urgencia o ambulatoria con la finalidad de exigir garantías de pago por las prestaciones que reciba el paciente, serán castigados:</w:t>
      </w:r>
    </w:p>
    <w:p w14:paraId="49905351" w14:textId="77777777" w:rsidR="0007707D" w:rsidRPr="00FC5DB1" w:rsidRDefault="0007707D" w:rsidP="00FC5DB1">
      <w:pPr>
        <w:spacing w:line="276" w:lineRule="auto"/>
        <w:jc w:val="both"/>
        <w:rPr>
          <w:rFonts w:ascii="Book Antiqua" w:hAnsi="Book Antiqua"/>
        </w:rPr>
      </w:pPr>
      <w:r w:rsidRPr="00FC5DB1">
        <w:rPr>
          <w:rFonts w:ascii="Book Antiqua" w:hAnsi="Book Antiqua"/>
        </w:rPr>
        <w:t>1° Con presidio menor en su grado mínimo a medio y multa de 10 a 1000 unidades tributarias mensuales.</w:t>
      </w:r>
    </w:p>
    <w:p w14:paraId="2330CC82" w14:textId="4CBFF757" w:rsidR="0007707D" w:rsidRPr="00FC5DB1" w:rsidRDefault="0007707D" w:rsidP="00FC5DB1">
      <w:pPr>
        <w:spacing w:line="276" w:lineRule="auto"/>
        <w:jc w:val="both"/>
        <w:rPr>
          <w:rFonts w:ascii="Book Antiqua" w:hAnsi="Book Antiqua"/>
        </w:rPr>
      </w:pPr>
      <w:r w:rsidRPr="00FC5DB1">
        <w:rPr>
          <w:rFonts w:ascii="Book Antiqua" w:hAnsi="Book Antiqua"/>
        </w:rPr>
        <w:t xml:space="preserve">2° </w:t>
      </w:r>
      <w:r w:rsidR="00736117" w:rsidRPr="00FC5DB1">
        <w:rPr>
          <w:rFonts w:ascii="Book Antiqua" w:hAnsi="Book Antiqua"/>
        </w:rPr>
        <w:t>Con presidio menor en su grado medio a máximo y multa de 2000 unidades tributarias mensuales si se produjere la muerte o enfermedad grave del paciente</w:t>
      </w:r>
      <w:r w:rsidRPr="00FC5DB1">
        <w:rPr>
          <w:rFonts w:ascii="Book Antiqua" w:hAnsi="Book Antiqua"/>
        </w:rPr>
        <w:t>.</w:t>
      </w:r>
      <w:r w:rsidR="00736117" w:rsidRPr="00FC5DB1">
        <w:rPr>
          <w:rFonts w:ascii="Book Antiqua" w:hAnsi="Book Antiqua"/>
        </w:rPr>
        <w:t>”</w:t>
      </w:r>
    </w:p>
    <w:p w14:paraId="1463FDB4" w14:textId="77777777" w:rsidR="00B602BC" w:rsidRPr="00FC5DB1" w:rsidRDefault="00B602BC" w:rsidP="00FC5DB1">
      <w:pPr>
        <w:spacing w:line="276" w:lineRule="auto"/>
        <w:jc w:val="both"/>
        <w:rPr>
          <w:rFonts w:ascii="Book Antiqua" w:hAnsi="Book Antiqua"/>
        </w:rPr>
      </w:pPr>
    </w:p>
    <w:p w14:paraId="0778F937" w14:textId="21C3EDFD" w:rsidR="00736117" w:rsidRPr="00FC5DB1" w:rsidRDefault="00B602BC" w:rsidP="00FC5DB1">
      <w:pPr>
        <w:spacing w:line="276" w:lineRule="auto"/>
        <w:jc w:val="both"/>
        <w:rPr>
          <w:rFonts w:ascii="Book Antiqua" w:hAnsi="Book Antiqua"/>
        </w:rPr>
      </w:pPr>
      <w:r w:rsidRPr="00FC5DB1">
        <w:rPr>
          <w:rFonts w:ascii="Book Antiqua" w:hAnsi="Book Antiqua"/>
          <w:b/>
          <w:bCs/>
        </w:rPr>
        <w:lastRenderedPageBreak/>
        <w:t>ARTICULO SEGUNDO</w:t>
      </w:r>
      <w:r w:rsidRPr="00FC5DB1">
        <w:rPr>
          <w:rFonts w:ascii="Book Antiqua" w:hAnsi="Book Antiqua"/>
        </w:rPr>
        <w:t xml:space="preserve">: Modificase la </w:t>
      </w:r>
      <w:r w:rsidRPr="00FC5DB1">
        <w:rPr>
          <w:rFonts w:ascii="Book Antiqua" w:hAnsi="Book Antiqua"/>
          <w:lang w:val="es-ES_tradnl"/>
        </w:rPr>
        <w:t xml:space="preserve">Ley N° 20.393, establece la Responsabilidad Penal de las Personas Jurídicas en los Delitos que indica de la siguiente manera: </w:t>
      </w:r>
    </w:p>
    <w:p w14:paraId="309C1858" w14:textId="45B566B6" w:rsidR="00B602BC" w:rsidRPr="00FC5DB1" w:rsidRDefault="00B602BC" w:rsidP="00FC5DB1">
      <w:pPr>
        <w:tabs>
          <w:tab w:val="center" w:pos="4252"/>
          <w:tab w:val="right" w:pos="8504"/>
        </w:tabs>
        <w:spacing w:line="276" w:lineRule="auto"/>
        <w:jc w:val="both"/>
        <w:rPr>
          <w:rFonts w:ascii="Book Antiqua" w:eastAsia="Times New Roman" w:hAnsi="Book Antiqua" w:cs="Times New Roman"/>
          <w:szCs w:val="20"/>
          <w:lang w:eastAsia="es-ES"/>
        </w:rPr>
      </w:pPr>
      <w:r w:rsidRPr="00FC5DB1">
        <w:rPr>
          <w:rFonts w:ascii="Book Antiqua" w:eastAsia="Times New Roman" w:hAnsi="Book Antiqua" w:cs="Times New Roman"/>
          <w:szCs w:val="20"/>
          <w:lang w:eastAsia="es-ES"/>
        </w:rPr>
        <w:t>Sustituyese el inciso primero del artículo 1º, por el siguiente:</w:t>
      </w:r>
    </w:p>
    <w:p w14:paraId="5E8D035A" w14:textId="6F1D457F" w:rsidR="00B602BC" w:rsidRPr="00FC5DB1" w:rsidRDefault="00B602BC" w:rsidP="00FC5DB1">
      <w:pPr>
        <w:tabs>
          <w:tab w:val="center" w:pos="4252"/>
          <w:tab w:val="right" w:pos="8504"/>
        </w:tabs>
        <w:spacing w:line="276" w:lineRule="auto"/>
        <w:jc w:val="both"/>
        <w:rPr>
          <w:rFonts w:ascii="Book Antiqua" w:eastAsia="Times New Roman" w:hAnsi="Book Antiqua" w:cs="Times New Roman"/>
          <w:szCs w:val="20"/>
          <w:lang w:val="es-ES_tradnl" w:eastAsia="es-ES"/>
        </w:rPr>
      </w:pPr>
      <w:r w:rsidRPr="00FC5DB1">
        <w:rPr>
          <w:rFonts w:ascii="Book Antiqua" w:eastAsia="Times New Roman" w:hAnsi="Book Antiqua" w:cs="Times New Roman"/>
          <w:szCs w:val="20"/>
          <w:lang w:val="es-ES_tradnl" w:eastAsia="es-ES"/>
        </w:rPr>
        <w:t>“Artículo 1°.- Contenido de la ley. La presente ley regula la responsabilidad penal de las personas jurídicas respecto de los delitos previstos en los artículos 136, 139, 139 bis y 139 ter de la Ley General de Pesca y Acuicultura, en el artículo 27 de la ley Nº 19.913, en el artículo 8° de la ley Nº18.314, en el artículo 143 ter del D.F.L n° 1 que fija el texto refundido, coordinado y sistematizado del Decreto Ley n° 2.763, de 1979 y de las leyes n° 18.933 y n° 18.469  y en los artículos 240, 250, 251 bis, 287 bis, 287 ter, 456 bis A y 470, numerales 1° y 11, del Código Penal; el procedimiento para la investigación y establecimiento de dicha responsabilidad penal, la determinación de las sanciones procedentes y la ejecución de éstas.”</w:t>
      </w:r>
    </w:p>
    <w:p w14:paraId="3C69058D" w14:textId="1CC294B0" w:rsidR="00B602BC" w:rsidRPr="00FC5DB1" w:rsidRDefault="00B602BC" w:rsidP="00FC5DB1">
      <w:pPr>
        <w:spacing w:line="276" w:lineRule="auto"/>
        <w:jc w:val="both"/>
        <w:rPr>
          <w:rFonts w:ascii="Book Antiqua" w:hAnsi="Book Antiqua"/>
          <w:lang w:val="es-ES_tradnl"/>
        </w:rPr>
      </w:pPr>
    </w:p>
    <w:p w14:paraId="348C919E" w14:textId="77777777" w:rsidR="00D811F2" w:rsidRPr="00FC5DB1" w:rsidRDefault="00D811F2" w:rsidP="00FC5DB1">
      <w:pPr>
        <w:spacing w:line="276" w:lineRule="auto"/>
        <w:jc w:val="both"/>
        <w:rPr>
          <w:rFonts w:ascii="Book Antiqua" w:hAnsi="Book Antiqua"/>
        </w:rPr>
      </w:pPr>
    </w:p>
    <w:p w14:paraId="5F26886A" w14:textId="2B5D1357" w:rsidR="00D4198A" w:rsidRPr="00C80E90" w:rsidRDefault="00D4198A" w:rsidP="00C80E90">
      <w:pPr>
        <w:spacing w:line="360" w:lineRule="auto"/>
        <w:rPr>
          <w:rFonts w:ascii="Book Antiqua" w:hAnsi="Book Antiqua"/>
        </w:rPr>
      </w:pPr>
    </w:p>
    <w:sectPr w:rsidR="00D4198A" w:rsidRPr="00C80E9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F3034" w14:textId="77777777" w:rsidR="00244CA3" w:rsidRDefault="00244CA3" w:rsidP="00D811F2">
      <w:pPr>
        <w:spacing w:after="0" w:line="240" w:lineRule="auto"/>
      </w:pPr>
      <w:r>
        <w:separator/>
      </w:r>
    </w:p>
  </w:endnote>
  <w:endnote w:type="continuationSeparator" w:id="0">
    <w:p w14:paraId="1DD69905" w14:textId="77777777" w:rsidR="00244CA3" w:rsidRDefault="00244CA3" w:rsidP="00D81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6413C" w14:textId="77777777" w:rsidR="00244CA3" w:rsidRDefault="00244CA3" w:rsidP="00D811F2">
      <w:pPr>
        <w:spacing w:after="0" w:line="240" w:lineRule="auto"/>
      </w:pPr>
      <w:r>
        <w:separator/>
      </w:r>
    </w:p>
  </w:footnote>
  <w:footnote w:type="continuationSeparator" w:id="0">
    <w:p w14:paraId="181E5688" w14:textId="77777777" w:rsidR="00244CA3" w:rsidRDefault="00244CA3" w:rsidP="00D811F2">
      <w:pPr>
        <w:spacing w:after="0" w:line="240" w:lineRule="auto"/>
      </w:pPr>
      <w:r>
        <w:continuationSeparator/>
      </w:r>
    </w:p>
  </w:footnote>
  <w:footnote w:id="1">
    <w:p w14:paraId="48112934" w14:textId="77777777" w:rsidR="00D811F2" w:rsidRDefault="00D811F2" w:rsidP="00D811F2">
      <w:pPr>
        <w:pStyle w:val="Textonotapie"/>
      </w:pPr>
      <w:r>
        <w:rPr>
          <w:rStyle w:val="Refdenotaalpie"/>
        </w:rPr>
        <w:footnoteRef/>
      </w:r>
      <w:r>
        <w:t xml:space="preserve"> </w:t>
      </w:r>
      <w:r>
        <w:rPr>
          <w:rFonts w:ascii="Times New Roman" w:hAnsi="Times New Roman" w:cs="Times New Roman"/>
          <w:sz w:val="18"/>
          <w:szCs w:val="18"/>
        </w:rPr>
        <w:t xml:space="preserve">Derechos en Salud: en la atención de salud. Biblioteca del Congreso Nacional. Disponible en: </w:t>
      </w:r>
      <w:hyperlink r:id="rId1" w:history="1">
        <w:r w:rsidRPr="00B57F63">
          <w:rPr>
            <w:rStyle w:val="Hipervnculo"/>
            <w:rFonts w:ascii="Times New Roman" w:hAnsi="Times New Roman" w:cs="Times New Roman"/>
            <w:sz w:val="18"/>
            <w:szCs w:val="18"/>
          </w:rPr>
          <w:t>https://www.bcn.cl/leyfacil/conozca-sus-derechos/recurso_nuevo/?serie=Derechos%20en%20salud</w:t>
        </w:r>
      </w:hyperlink>
    </w:p>
  </w:footnote>
  <w:footnote w:id="2">
    <w:p w14:paraId="4F6112D5" w14:textId="7EC8B000" w:rsidR="00736D36" w:rsidRPr="009B0076" w:rsidRDefault="00736D36">
      <w:pPr>
        <w:pStyle w:val="Textonotapie"/>
        <w:rPr>
          <w:rFonts w:ascii="Book Antiqua" w:hAnsi="Book Antiqua"/>
          <w:sz w:val="18"/>
          <w:szCs w:val="18"/>
        </w:rPr>
      </w:pPr>
      <w:r w:rsidRPr="009B0076">
        <w:rPr>
          <w:rStyle w:val="Refdenotaalpie"/>
          <w:rFonts w:ascii="Book Antiqua" w:hAnsi="Book Antiqua"/>
          <w:sz w:val="18"/>
          <w:szCs w:val="18"/>
        </w:rPr>
        <w:footnoteRef/>
      </w:r>
      <w:r w:rsidRPr="009B0076">
        <w:rPr>
          <w:rFonts w:ascii="Book Antiqua" w:hAnsi="Book Antiqua"/>
          <w:sz w:val="18"/>
          <w:szCs w:val="18"/>
        </w:rPr>
        <w:t xml:space="preserve"> Artículo 121 n°11 del D.F.L n°1 que fija texto refundido, coordinado y sistematizado del decreto ley n° 2.763, de 1979 y de las leyes n° 18.933 y n° 18.469.</w:t>
      </w:r>
    </w:p>
  </w:footnote>
  <w:footnote w:id="3">
    <w:p w14:paraId="55667E57" w14:textId="77777777" w:rsidR="00D811F2" w:rsidRPr="009B0076" w:rsidRDefault="00D811F2" w:rsidP="00D811F2">
      <w:pPr>
        <w:pStyle w:val="Textonotapie"/>
        <w:rPr>
          <w:rFonts w:ascii="Book Antiqua" w:hAnsi="Book Antiqua"/>
          <w:sz w:val="18"/>
          <w:szCs w:val="18"/>
        </w:rPr>
      </w:pPr>
      <w:r w:rsidRPr="009B0076">
        <w:rPr>
          <w:rStyle w:val="Refdenotaalpie"/>
          <w:rFonts w:ascii="Book Antiqua" w:hAnsi="Book Antiqua"/>
          <w:sz w:val="18"/>
          <w:szCs w:val="18"/>
        </w:rPr>
        <w:footnoteRef/>
      </w:r>
      <w:r w:rsidRPr="009B0076">
        <w:rPr>
          <w:rFonts w:ascii="Book Antiqua" w:hAnsi="Book Antiqua"/>
          <w:sz w:val="18"/>
          <w:szCs w:val="18"/>
        </w:rPr>
        <w:t xml:space="preserve"> </w:t>
      </w:r>
      <w:r w:rsidRPr="009B0076">
        <w:rPr>
          <w:rFonts w:ascii="Book Antiqua" w:hAnsi="Book Antiqua" w:cs="Times New Roman"/>
          <w:sz w:val="18"/>
          <w:szCs w:val="18"/>
        </w:rPr>
        <w:t xml:space="preserve">Resolución exenta IP N° 2264, con fecha 25 de julio de 2019. Disponible en: </w:t>
      </w:r>
      <w:hyperlink r:id="rId2" w:history="1">
        <w:r w:rsidRPr="009B0076">
          <w:rPr>
            <w:rStyle w:val="Hipervnculo"/>
            <w:rFonts w:ascii="Book Antiqua" w:hAnsi="Book Antiqua" w:cs="Times New Roman"/>
            <w:sz w:val="18"/>
            <w:szCs w:val="18"/>
          </w:rPr>
          <w:t>http://www.supersalud.gob.cl/normativa/668/articles-18511_recurso_1.pdf</w:t>
        </w:r>
      </w:hyperlink>
      <w:r w:rsidRPr="009B0076">
        <w:rPr>
          <w:rFonts w:ascii="Book Antiqua" w:hAnsi="Book Antiqua" w:cs="Times New Roman"/>
          <w:sz w:val="18"/>
          <w:szCs w:val="18"/>
        </w:rPr>
        <w:t xml:space="preserve">  </w:t>
      </w:r>
    </w:p>
  </w:footnote>
  <w:footnote w:id="4">
    <w:p w14:paraId="5809B043" w14:textId="77777777" w:rsidR="00D811F2" w:rsidRPr="009B0076" w:rsidRDefault="00D811F2" w:rsidP="00D811F2">
      <w:pPr>
        <w:pStyle w:val="Textonotapie"/>
        <w:rPr>
          <w:rFonts w:ascii="Book Antiqua" w:hAnsi="Book Antiqua" w:cs="Times New Roman"/>
          <w:sz w:val="18"/>
          <w:szCs w:val="18"/>
        </w:rPr>
      </w:pPr>
      <w:r w:rsidRPr="009B0076">
        <w:rPr>
          <w:rStyle w:val="Refdenotaalpie"/>
          <w:rFonts w:ascii="Book Antiqua" w:hAnsi="Book Antiqua"/>
          <w:sz w:val="18"/>
          <w:szCs w:val="18"/>
        </w:rPr>
        <w:footnoteRef/>
      </w:r>
      <w:r w:rsidRPr="009B0076">
        <w:rPr>
          <w:rFonts w:ascii="Book Antiqua" w:hAnsi="Book Antiqua"/>
          <w:sz w:val="18"/>
          <w:szCs w:val="18"/>
        </w:rPr>
        <w:t xml:space="preserve"> </w:t>
      </w:r>
      <w:r w:rsidRPr="009B0076">
        <w:rPr>
          <w:rFonts w:ascii="Book Antiqua" w:hAnsi="Book Antiqua" w:cs="Times New Roman"/>
          <w:sz w:val="18"/>
          <w:szCs w:val="18"/>
        </w:rPr>
        <w:t xml:space="preserve">Listado de multas e infracciones a los prestadores de salud públicos y privados. Disponible en: </w:t>
      </w:r>
      <w:hyperlink r:id="rId3" w:history="1">
        <w:r w:rsidRPr="009B0076">
          <w:rPr>
            <w:rStyle w:val="Hipervnculo"/>
            <w:rFonts w:ascii="Book Antiqua" w:hAnsi="Book Antiqua" w:cs="Times New Roman"/>
            <w:sz w:val="18"/>
            <w:szCs w:val="18"/>
          </w:rPr>
          <w:t>http://www.supersalud.gob.cl/normativa/668/w3-propertyvalue-5113.html</w:t>
        </w:r>
      </w:hyperlink>
      <w:r w:rsidRPr="009B0076">
        <w:rPr>
          <w:rFonts w:ascii="Book Antiqua" w:hAnsi="Book Antiqua" w:cs="Times New Roman"/>
          <w:sz w:val="18"/>
          <w:szCs w:val="18"/>
        </w:rPr>
        <w:t xml:space="preserve"> </w:t>
      </w:r>
    </w:p>
  </w:footnote>
  <w:footnote w:id="5">
    <w:p w14:paraId="148BB7EB" w14:textId="1020C78E" w:rsidR="009B0076" w:rsidRDefault="009B0076">
      <w:pPr>
        <w:pStyle w:val="Textonotapie"/>
      </w:pPr>
      <w:r w:rsidRPr="009B0076">
        <w:rPr>
          <w:rStyle w:val="Refdenotaalpie"/>
          <w:rFonts w:ascii="Book Antiqua" w:hAnsi="Book Antiqua"/>
          <w:sz w:val="18"/>
          <w:szCs w:val="18"/>
        </w:rPr>
        <w:footnoteRef/>
      </w:r>
      <w:r w:rsidRPr="009B0076">
        <w:rPr>
          <w:rFonts w:ascii="Book Antiqua" w:hAnsi="Book Antiqua"/>
          <w:sz w:val="18"/>
          <w:szCs w:val="18"/>
        </w:rPr>
        <w:t xml:space="preserve"> </w:t>
      </w:r>
      <w:hyperlink r:id="rId4" w:history="1">
        <w:r w:rsidRPr="009B0076">
          <w:rPr>
            <w:rStyle w:val="Hipervnculo"/>
            <w:rFonts w:ascii="Book Antiqua" w:hAnsi="Book Antiqua"/>
            <w:sz w:val="18"/>
            <w:szCs w:val="18"/>
          </w:rPr>
          <w:t>https://www.latercera.com/la-tercera-pm/noticia/multas-a-clinicas-por-exigir-cheque-en-garantia-o-dinero-en-efectivo-alcanzan-record-con-1244-millones-en-2020/H7BP5YCRY5B7PKN4F2LLCQRZLE/</w:t>
        </w:r>
      </w:hyperlink>
      <w:r>
        <w:t xml:space="preserve"> </w:t>
      </w:r>
    </w:p>
  </w:footnote>
  <w:footnote w:id="6">
    <w:p w14:paraId="06BBE052" w14:textId="77777777" w:rsidR="00D811F2" w:rsidRPr="00841426" w:rsidRDefault="00D811F2" w:rsidP="00D811F2">
      <w:pPr>
        <w:pStyle w:val="Textonotapie"/>
        <w:rPr>
          <w:rFonts w:ascii="Times New Roman" w:hAnsi="Times New Roman" w:cs="Times New Roman"/>
          <w:sz w:val="18"/>
          <w:szCs w:val="18"/>
        </w:rPr>
      </w:pPr>
      <w:r>
        <w:rPr>
          <w:rStyle w:val="Refdenotaalpie"/>
        </w:rPr>
        <w:footnoteRef/>
      </w:r>
      <w:r>
        <w:t xml:space="preserve"> </w:t>
      </w:r>
      <w:r w:rsidRPr="00841426">
        <w:rPr>
          <w:rFonts w:ascii="Times New Roman" w:hAnsi="Times New Roman" w:cs="Times New Roman"/>
          <w:sz w:val="18"/>
          <w:szCs w:val="18"/>
        </w:rPr>
        <w:t>Constitución de la Organización Mundial de la Salud</w:t>
      </w:r>
    </w:p>
  </w:footnote>
  <w:footnote w:id="7">
    <w:p w14:paraId="7099656E" w14:textId="77777777" w:rsidR="00D811F2" w:rsidRPr="00841426" w:rsidRDefault="00D811F2" w:rsidP="00D811F2">
      <w:pPr>
        <w:pStyle w:val="Textonotapie"/>
        <w:rPr>
          <w:rFonts w:ascii="Times New Roman" w:hAnsi="Times New Roman" w:cs="Times New Roman"/>
        </w:rPr>
      </w:pPr>
      <w:r w:rsidRPr="00841426">
        <w:rPr>
          <w:rStyle w:val="Refdenotaalpie"/>
          <w:sz w:val="18"/>
          <w:szCs w:val="18"/>
        </w:rPr>
        <w:footnoteRef/>
      </w:r>
      <w:r w:rsidRPr="00841426">
        <w:rPr>
          <w:sz w:val="18"/>
          <w:szCs w:val="18"/>
        </w:rPr>
        <w:t xml:space="preserve"> </w:t>
      </w:r>
      <w:r w:rsidRPr="00841426">
        <w:rPr>
          <w:rFonts w:ascii="Times New Roman" w:hAnsi="Times New Roman" w:cs="Times New Roman"/>
          <w:sz w:val="18"/>
          <w:szCs w:val="18"/>
        </w:rPr>
        <w:t>Ibid.</w:t>
      </w:r>
      <w:r>
        <w:rPr>
          <w:rFonts w:ascii="Times New Roman" w:hAnsi="Times New Roman" w:cs="Times New Roman"/>
        </w:rPr>
        <w:t xml:space="preserve"> </w:t>
      </w:r>
    </w:p>
  </w:footnote>
  <w:footnote w:id="8">
    <w:p w14:paraId="47D51D47" w14:textId="77777777" w:rsidR="00D811F2" w:rsidRPr="007F46E1" w:rsidRDefault="00D811F2" w:rsidP="00D811F2">
      <w:pPr>
        <w:pStyle w:val="Textonotapie"/>
        <w:rPr>
          <w:rFonts w:ascii="Times New Roman" w:hAnsi="Times New Roman" w:cs="Times New Roman"/>
          <w:sz w:val="18"/>
          <w:szCs w:val="18"/>
        </w:rPr>
      </w:pPr>
      <w:r>
        <w:rPr>
          <w:rStyle w:val="Refdenotaalpie"/>
        </w:rPr>
        <w:footnoteRef/>
      </w:r>
      <w:r>
        <w:t xml:space="preserve"> </w:t>
      </w:r>
      <w:r>
        <w:rPr>
          <w:rFonts w:ascii="Times New Roman" w:hAnsi="Times New Roman" w:cs="Times New Roman"/>
          <w:sz w:val="18"/>
          <w:szCs w:val="18"/>
        </w:rPr>
        <w:t xml:space="preserve">Constitución de la Organización Mundial de la Salud. Principios. </w:t>
      </w:r>
    </w:p>
  </w:footnote>
  <w:footnote w:id="9">
    <w:p w14:paraId="55D1116C" w14:textId="77777777" w:rsidR="00D811F2" w:rsidRPr="00D42403" w:rsidRDefault="00D811F2" w:rsidP="00D811F2">
      <w:pPr>
        <w:pStyle w:val="Textonotapie"/>
        <w:rPr>
          <w:rFonts w:ascii="Times New Roman" w:hAnsi="Times New Roman" w:cs="Times New Roman"/>
          <w:sz w:val="18"/>
          <w:szCs w:val="18"/>
        </w:rPr>
      </w:pPr>
      <w:r>
        <w:rPr>
          <w:rStyle w:val="Refdenotaalpie"/>
        </w:rPr>
        <w:footnoteRef/>
      </w:r>
      <w:r>
        <w:t xml:space="preserve"> </w:t>
      </w:r>
      <w:r>
        <w:rPr>
          <w:rFonts w:ascii="Times New Roman" w:hAnsi="Times New Roman" w:cs="Times New Roman"/>
          <w:sz w:val="18"/>
          <w:szCs w:val="18"/>
        </w:rPr>
        <w:t xml:space="preserve">Veinticinco preguntas y respuestas de Salud y Derechos Humanos. Disponible en: </w:t>
      </w:r>
      <w:hyperlink r:id="rId5" w:history="1">
        <w:r w:rsidRPr="00B57F63">
          <w:rPr>
            <w:rStyle w:val="Hipervnculo"/>
            <w:rFonts w:ascii="Times New Roman" w:hAnsi="Times New Roman" w:cs="Times New Roman"/>
            <w:sz w:val="18"/>
            <w:szCs w:val="18"/>
          </w:rPr>
          <w:t>https://www.who.int/hhr/activities/Q&amp;AfinalversionSpanish.pdf</w:t>
        </w:r>
      </w:hyperlink>
      <w:r>
        <w:rPr>
          <w:rFonts w:ascii="Times New Roman" w:hAnsi="Times New Roman" w:cs="Times New Roman"/>
          <w:sz w:val="18"/>
          <w:szCs w:val="18"/>
        </w:rPr>
        <w:t xml:space="preserve"> </w:t>
      </w:r>
    </w:p>
  </w:footnote>
  <w:footnote w:id="10">
    <w:p w14:paraId="509633E6" w14:textId="77777777" w:rsidR="00D811F2" w:rsidRPr="002336B4" w:rsidRDefault="00D811F2" w:rsidP="00D811F2">
      <w:pPr>
        <w:pStyle w:val="Textonotapie"/>
        <w:rPr>
          <w:rFonts w:ascii="Times New Roman" w:hAnsi="Times New Roman" w:cs="Times New Roman"/>
          <w:sz w:val="18"/>
          <w:szCs w:val="18"/>
        </w:rPr>
      </w:pPr>
      <w:r>
        <w:rPr>
          <w:rStyle w:val="Refdenotaalpie"/>
        </w:rPr>
        <w:footnoteRef/>
      </w:r>
      <w:r>
        <w:t xml:space="preserve"> </w:t>
      </w:r>
      <w:r>
        <w:rPr>
          <w:rFonts w:ascii="Times New Roman" w:hAnsi="Times New Roman" w:cs="Times New Roman"/>
          <w:sz w:val="18"/>
          <w:szCs w:val="18"/>
        </w:rPr>
        <w:t xml:space="preserve">Pacto Internacional de Derechos Económicos, Sociales y Culturales. Disponible en: </w:t>
      </w:r>
      <w:hyperlink r:id="rId6" w:history="1">
        <w:r w:rsidRPr="00B57F63">
          <w:rPr>
            <w:rStyle w:val="Hipervnculo"/>
            <w:rFonts w:ascii="Times New Roman" w:hAnsi="Times New Roman" w:cs="Times New Roman"/>
            <w:sz w:val="18"/>
            <w:szCs w:val="18"/>
          </w:rPr>
          <w:t>https://www.ohchr.org/SP/ProfessionalInterest/Pages/CESCR.aspx</w:t>
        </w:r>
      </w:hyperlink>
      <w:r>
        <w:rPr>
          <w:rFonts w:ascii="Times New Roman" w:hAnsi="Times New Roman" w:cs="Times New Roman"/>
          <w:sz w:val="18"/>
          <w:szCs w:val="18"/>
        </w:rPr>
        <w:t xml:space="preserve"> </w:t>
      </w:r>
    </w:p>
  </w:footnote>
  <w:footnote w:id="11">
    <w:p w14:paraId="3AE409F7" w14:textId="77777777" w:rsidR="00D811F2" w:rsidRPr="009D071C" w:rsidRDefault="00D811F2" w:rsidP="00D811F2">
      <w:pPr>
        <w:pStyle w:val="Textonotapie"/>
        <w:rPr>
          <w:rFonts w:ascii="Times New Roman" w:hAnsi="Times New Roman" w:cs="Times New Roman"/>
          <w:sz w:val="18"/>
          <w:szCs w:val="18"/>
        </w:rPr>
      </w:pPr>
      <w:r>
        <w:rPr>
          <w:rStyle w:val="Refdenotaalpie"/>
        </w:rPr>
        <w:footnoteRef/>
      </w:r>
      <w:r>
        <w:t xml:space="preserve"> </w:t>
      </w:r>
      <w:r>
        <w:rPr>
          <w:rFonts w:ascii="Times New Roman" w:hAnsi="Times New Roman" w:cs="Times New Roman"/>
        </w:rPr>
        <w:t>Capítulo III: Derechos y Deberes Constitucionales - A</w:t>
      </w:r>
      <w:r>
        <w:rPr>
          <w:rFonts w:ascii="Times New Roman" w:hAnsi="Times New Roman" w:cs="Times New Roman"/>
          <w:sz w:val="18"/>
          <w:szCs w:val="18"/>
        </w:rPr>
        <w:t xml:space="preserve">rtículo 19, n°9: El derecho a la protección de Salud.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FB6"/>
    <w:rsid w:val="0007707D"/>
    <w:rsid w:val="00101ED6"/>
    <w:rsid w:val="00244CA3"/>
    <w:rsid w:val="00272260"/>
    <w:rsid w:val="00280FB6"/>
    <w:rsid w:val="0028690C"/>
    <w:rsid w:val="003F4AEE"/>
    <w:rsid w:val="005319AD"/>
    <w:rsid w:val="005D1A89"/>
    <w:rsid w:val="00631A93"/>
    <w:rsid w:val="006C3C24"/>
    <w:rsid w:val="00736117"/>
    <w:rsid w:val="00736D36"/>
    <w:rsid w:val="00800CB3"/>
    <w:rsid w:val="0087133F"/>
    <w:rsid w:val="009522ED"/>
    <w:rsid w:val="009B0076"/>
    <w:rsid w:val="00B602BC"/>
    <w:rsid w:val="00BF546F"/>
    <w:rsid w:val="00C7530C"/>
    <w:rsid w:val="00C80E90"/>
    <w:rsid w:val="00D4198A"/>
    <w:rsid w:val="00D811F2"/>
    <w:rsid w:val="00DF3CF8"/>
    <w:rsid w:val="00E27E3F"/>
    <w:rsid w:val="00FC5D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24AEA"/>
  <w15:chartTrackingRefBased/>
  <w15:docId w15:val="{7C72A07B-82F5-4263-A43C-4B9CDCF09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811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811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811F2"/>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D811F2"/>
    <w:rPr>
      <w:rFonts w:asciiTheme="majorHAnsi" w:eastAsiaTheme="majorEastAsia" w:hAnsiTheme="majorHAnsi" w:cstheme="majorBidi"/>
      <w:color w:val="2F5496" w:themeColor="accent1" w:themeShade="BF"/>
      <w:sz w:val="26"/>
      <w:szCs w:val="26"/>
    </w:rPr>
  </w:style>
  <w:style w:type="paragraph" w:styleId="Ttulo">
    <w:name w:val="Title"/>
    <w:basedOn w:val="Normal"/>
    <w:next w:val="Normal"/>
    <w:link w:val="TtuloCar"/>
    <w:uiPriority w:val="10"/>
    <w:qFormat/>
    <w:rsid w:val="00D811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811F2"/>
    <w:rPr>
      <w:rFonts w:asciiTheme="majorHAnsi" w:eastAsiaTheme="majorEastAsia" w:hAnsiTheme="majorHAnsi" w:cstheme="majorBidi"/>
      <w:spacing w:val="-10"/>
      <w:kern w:val="28"/>
      <w:sz w:val="56"/>
      <w:szCs w:val="56"/>
    </w:rPr>
  </w:style>
  <w:style w:type="paragraph" w:styleId="Textonotapie">
    <w:name w:val="footnote text"/>
    <w:basedOn w:val="Normal"/>
    <w:link w:val="TextonotapieCar"/>
    <w:uiPriority w:val="99"/>
    <w:semiHidden/>
    <w:unhideWhenUsed/>
    <w:rsid w:val="00D811F2"/>
    <w:pPr>
      <w:spacing w:after="0" w:line="240" w:lineRule="auto"/>
    </w:pPr>
    <w:rPr>
      <w:rFonts w:ascii="Arial" w:hAnsi="Arial" w:cs="Arial"/>
      <w:color w:val="000000" w:themeColor="text1"/>
      <w:sz w:val="20"/>
      <w:szCs w:val="20"/>
    </w:rPr>
  </w:style>
  <w:style w:type="character" w:customStyle="1" w:styleId="TextonotapieCar">
    <w:name w:val="Texto nota pie Car"/>
    <w:basedOn w:val="Fuentedeprrafopredeter"/>
    <w:link w:val="Textonotapie"/>
    <w:uiPriority w:val="99"/>
    <w:semiHidden/>
    <w:rsid w:val="00D811F2"/>
    <w:rPr>
      <w:rFonts w:ascii="Arial" w:hAnsi="Arial" w:cs="Arial"/>
      <w:color w:val="000000" w:themeColor="text1"/>
      <w:sz w:val="20"/>
      <w:szCs w:val="20"/>
    </w:rPr>
  </w:style>
  <w:style w:type="character" w:styleId="Refdenotaalpie">
    <w:name w:val="footnote reference"/>
    <w:basedOn w:val="Fuentedeprrafopredeter"/>
    <w:uiPriority w:val="99"/>
    <w:semiHidden/>
    <w:unhideWhenUsed/>
    <w:rsid w:val="00D811F2"/>
    <w:rPr>
      <w:vertAlign w:val="superscript"/>
    </w:rPr>
  </w:style>
  <w:style w:type="character" w:styleId="Hipervnculo">
    <w:name w:val="Hyperlink"/>
    <w:basedOn w:val="Fuentedeprrafopredeter"/>
    <w:uiPriority w:val="99"/>
    <w:unhideWhenUsed/>
    <w:rsid w:val="00D811F2"/>
    <w:rPr>
      <w:color w:val="0563C1" w:themeColor="hyperlink"/>
      <w:u w:val="single"/>
    </w:rPr>
  </w:style>
  <w:style w:type="character" w:customStyle="1" w:styleId="UnresolvedMention">
    <w:name w:val="Unresolved Mention"/>
    <w:basedOn w:val="Fuentedeprrafopredeter"/>
    <w:uiPriority w:val="99"/>
    <w:semiHidden/>
    <w:unhideWhenUsed/>
    <w:rsid w:val="009B0076"/>
    <w:rPr>
      <w:color w:val="605E5C"/>
      <w:shd w:val="clear" w:color="auto" w:fill="E1DFDD"/>
    </w:rPr>
  </w:style>
  <w:style w:type="character" w:customStyle="1" w:styleId="text">
    <w:name w:val="text"/>
    <w:basedOn w:val="Fuentedeprrafopredeter"/>
    <w:rsid w:val="00FC5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96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supersalud.gob.cl/normativa/668/w3-propertyvalue-5113.html" TargetMode="External"/><Relationship Id="rId2" Type="http://schemas.openxmlformats.org/officeDocument/2006/relationships/hyperlink" Target="http://www.supersalud.gob.cl/normativa/668/articles-18511_recurso_1.pdf" TargetMode="External"/><Relationship Id="rId1" Type="http://schemas.openxmlformats.org/officeDocument/2006/relationships/hyperlink" Target="https://www.bcn.cl/leyfacil/conozca-sus-derechos/recurso_nuevo/?serie=Derechos%20en%20salud" TargetMode="External"/><Relationship Id="rId6" Type="http://schemas.openxmlformats.org/officeDocument/2006/relationships/hyperlink" Target="https://www.ohchr.org/SP/ProfessionalInterest/Pages/CESCR.aspx" TargetMode="External"/><Relationship Id="rId5" Type="http://schemas.openxmlformats.org/officeDocument/2006/relationships/hyperlink" Target="https://www.who.int/hhr/activities/Q&amp;AfinalversionSpanish.pdf" TargetMode="External"/><Relationship Id="rId4" Type="http://schemas.openxmlformats.org/officeDocument/2006/relationships/hyperlink" Target="https://www.latercera.com/la-tercera-pm/noticia/multas-a-clinicas-por-exigir-cheque-en-garantia-o-dinero-en-efectivo-alcanzan-record-con-1244-millones-en-2020/H7BP5YCRY5B7PKN4F2LLCQRZL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4763D-FC3C-4860-ABC0-DD31502C1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2037</Words>
  <Characters>11204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fullerton</dc:creator>
  <cp:keywords/>
  <dc:description/>
  <cp:lastModifiedBy>Maria Jesus</cp:lastModifiedBy>
  <cp:revision>2</cp:revision>
  <dcterms:created xsi:type="dcterms:W3CDTF">2021-04-14T02:30:00Z</dcterms:created>
  <dcterms:modified xsi:type="dcterms:W3CDTF">2021-04-14T02:30:00Z</dcterms:modified>
</cp:coreProperties>
</file>