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66B7" w14:textId="77777777" w:rsidR="00FB590B" w:rsidRPr="00FB590B" w:rsidRDefault="00FB590B" w:rsidP="00FB590B">
      <w:pPr>
        <w:spacing w:after="0" w:line="276" w:lineRule="auto"/>
        <w:jc w:val="both"/>
        <w:rPr>
          <w:rStyle w:val="text"/>
          <w:rFonts w:ascii="Times New Roman" w:hAnsi="Times New Roman" w:cs="Times New Roman"/>
          <w:b/>
          <w:bCs/>
          <w:sz w:val="24"/>
          <w:szCs w:val="24"/>
          <w:lang w:val="es-ES_tradnl"/>
        </w:rPr>
      </w:pPr>
      <w:bookmarkStart w:id="0" w:name="_GoBack"/>
      <w:bookmarkEnd w:id="0"/>
    </w:p>
    <w:p w14:paraId="3A4E494F" w14:textId="533D0645" w:rsidR="00FB590B" w:rsidRDefault="00FB590B" w:rsidP="00FB590B">
      <w:pPr>
        <w:spacing w:after="0" w:line="276" w:lineRule="auto"/>
        <w:jc w:val="right"/>
        <w:rPr>
          <w:rStyle w:val="text"/>
          <w:rFonts w:ascii="Times New Roman" w:hAnsi="Times New Roman" w:cs="Times New Roman"/>
          <w:b/>
          <w:bCs/>
          <w:sz w:val="24"/>
          <w:szCs w:val="24"/>
          <w:lang w:val="es-ES_tradnl"/>
        </w:rPr>
      </w:pPr>
      <w:r w:rsidRPr="00FB590B">
        <w:rPr>
          <w:rStyle w:val="text"/>
          <w:rFonts w:ascii="Times New Roman" w:hAnsi="Times New Roman" w:cs="Times New Roman"/>
          <w:b/>
          <w:bCs/>
          <w:sz w:val="24"/>
          <w:szCs w:val="24"/>
          <w:lang w:val="es-ES_tradnl"/>
        </w:rPr>
        <w:t>Boletín N° 14.161-11</w:t>
      </w:r>
    </w:p>
    <w:p w14:paraId="67265DDB" w14:textId="77777777" w:rsidR="00FB590B" w:rsidRPr="00FB590B" w:rsidRDefault="00FB590B" w:rsidP="00FB590B">
      <w:pPr>
        <w:spacing w:after="0" w:line="276" w:lineRule="auto"/>
        <w:jc w:val="right"/>
        <w:rPr>
          <w:rStyle w:val="text"/>
          <w:rFonts w:ascii="Times New Roman" w:hAnsi="Times New Roman" w:cs="Times New Roman"/>
          <w:b/>
          <w:bCs/>
          <w:sz w:val="24"/>
          <w:szCs w:val="24"/>
          <w:lang w:val="es-ES_tradnl"/>
        </w:rPr>
      </w:pPr>
    </w:p>
    <w:p w14:paraId="7636C563" w14:textId="239E83A4" w:rsidR="00FB590B" w:rsidRDefault="00FB590B" w:rsidP="00FB590B">
      <w:pPr>
        <w:spacing w:after="0" w:line="276" w:lineRule="auto"/>
        <w:jc w:val="both"/>
        <w:rPr>
          <w:rStyle w:val="text"/>
          <w:rFonts w:ascii="Times New Roman" w:hAnsi="Times New Roman" w:cs="Times New Roman"/>
          <w:b/>
          <w:bCs/>
          <w:sz w:val="24"/>
          <w:szCs w:val="24"/>
          <w:lang w:val="es-ES_tradnl"/>
        </w:rPr>
      </w:pPr>
      <w:r>
        <w:rPr>
          <w:rStyle w:val="text"/>
          <w:rFonts w:ascii="Times New Roman" w:hAnsi="Times New Roman" w:cs="Times New Roman"/>
          <w:b/>
          <w:bCs/>
          <w:sz w:val="24"/>
          <w:szCs w:val="24"/>
          <w:lang w:val="es-ES_tradnl"/>
        </w:rPr>
        <w:t>P</w:t>
      </w:r>
      <w:r w:rsidRPr="00FB590B">
        <w:rPr>
          <w:rStyle w:val="text"/>
          <w:rFonts w:ascii="Times New Roman" w:hAnsi="Times New Roman" w:cs="Times New Roman"/>
          <w:b/>
          <w:bCs/>
          <w:sz w:val="24"/>
          <w:szCs w:val="24"/>
          <w:lang w:val="es-ES_tradnl"/>
        </w:rPr>
        <w:t>royecto de ley</w:t>
      </w:r>
      <w:r>
        <w:rPr>
          <w:rStyle w:val="text"/>
          <w:rFonts w:ascii="Times New Roman" w:hAnsi="Times New Roman" w:cs="Times New Roman"/>
          <w:b/>
          <w:bCs/>
          <w:sz w:val="24"/>
          <w:szCs w:val="24"/>
          <w:lang w:val="es-ES_tradnl"/>
        </w:rPr>
        <w:t>,</w:t>
      </w:r>
      <w:r w:rsidRPr="00FB590B">
        <w:rPr>
          <w:rStyle w:val="text"/>
          <w:rFonts w:ascii="Times New Roman" w:hAnsi="Times New Roman" w:cs="Times New Roman"/>
          <w:b/>
          <w:bCs/>
          <w:sz w:val="24"/>
          <w:szCs w:val="24"/>
          <w:lang w:val="es-ES_tradnl"/>
        </w:rPr>
        <w:t xml:space="preserve"> </w:t>
      </w:r>
      <w:r>
        <w:rPr>
          <w:rStyle w:val="text"/>
          <w:rFonts w:ascii="Times New Roman" w:hAnsi="Times New Roman" w:cs="Times New Roman"/>
          <w:b/>
          <w:bCs/>
          <w:sz w:val="24"/>
          <w:szCs w:val="24"/>
          <w:lang w:val="es-ES_tradnl"/>
        </w:rPr>
        <w:t>d</w:t>
      </w:r>
      <w:r w:rsidRPr="00FB590B">
        <w:rPr>
          <w:rStyle w:val="text"/>
          <w:rFonts w:ascii="Times New Roman" w:hAnsi="Times New Roman" w:cs="Times New Roman"/>
          <w:b/>
          <w:bCs/>
          <w:sz w:val="24"/>
          <w:szCs w:val="24"/>
          <w:lang w:val="es-ES_tradnl"/>
        </w:rPr>
        <w:t xml:space="preserve">e los Honorables Senadores señor </w:t>
      </w:r>
      <w:proofErr w:type="spellStart"/>
      <w:r w:rsidRPr="00FB590B">
        <w:rPr>
          <w:rStyle w:val="text"/>
          <w:rFonts w:ascii="Times New Roman" w:hAnsi="Times New Roman" w:cs="Times New Roman"/>
          <w:b/>
          <w:bCs/>
          <w:sz w:val="24"/>
          <w:szCs w:val="24"/>
          <w:lang w:val="es-ES_tradnl"/>
        </w:rPr>
        <w:t>Girardi</w:t>
      </w:r>
      <w:proofErr w:type="spellEnd"/>
      <w:r w:rsidRPr="00FB590B">
        <w:rPr>
          <w:rStyle w:val="text"/>
          <w:rFonts w:ascii="Times New Roman" w:hAnsi="Times New Roman" w:cs="Times New Roman"/>
          <w:b/>
          <w:bCs/>
          <w:sz w:val="24"/>
          <w:szCs w:val="24"/>
          <w:lang w:val="es-ES_tradnl"/>
        </w:rPr>
        <w:t xml:space="preserve">, señora </w:t>
      </w:r>
      <w:proofErr w:type="spellStart"/>
      <w:r w:rsidRPr="00FB590B">
        <w:rPr>
          <w:rStyle w:val="text"/>
          <w:rFonts w:ascii="Times New Roman" w:hAnsi="Times New Roman" w:cs="Times New Roman"/>
          <w:b/>
          <w:bCs/>
          <w:sz w:val="24"/>
          <w:szCs w:val="24"/>
          <w:lang w:val="es-ES_tradnl"/>
        </w:rPr>
        <w:t>Goic</w:t>
      </w:r>
      <w:proofErr w:type="spellEnd"/>
      <w:r w:rsidRPr="00FB590B">
        <w:rPr>
          <w:rStyle w:val="text"/>
          <w:rFonts w:ascii="Times New Roman" w:hAnsi="Times New Roman" w:cs="Times New Roman"/>
          <w:b/>
          <w:bCs/>
          <w:sz w:val="24"/>
          <w:szCs w:val="24"/>
          <w:lang w:val="es-ES_tradnl"/>
        </w:rPr>
        <w:t xml:space="preserve">, y señores </w:t>
      </w:r>
      <w:proofErr w:type="spellStart"/>
      <w:r w:rsidRPr="00FB590B">
        <w:rPr>
          <w:rStyle w:val="text"/>
          <w:rFonts w:ascii="Times New Roman" w:hAnsi="Times New Roman" w:cs="Times New Roman"/>
          <w:b/>
          <w:bCs/>
          <w:sz w:val="24"/>
          <w:szCs w:val="24"/>
          <w:lang w:val="es-ES_tradnl"/>
        </w:rPr>
        <w:t>Chahuán</w:t>
      </w:r>
      <w:proofErr w:type="spellEnd"/>
      <w:r w:rsidRPr="00FB590B">
        <w:rPr>
          <w:rStyle w:val="text"/>
          <w:rFonts w:ascii="Times New Roman" w:hAnsi="Times New Roman" w:cs="Times New Roman"/>
          <w:b/>
          <w:bCs/>
          <w:sz w:val="24"/>
          <w:szCs w:val="24"/>
          <w:lang w:val="es-ES_tradnl"/>
        </w:rPr>
        <w:t xml:space="preserve"> y Quinteros, que establece la venta de anticonceptivos sin receta médica en el caso de decretarse una alerta sanitaria con ocasión de una epidemia o pandemia</w:t>
      </w:r>
      <w:r>
        <w:rPr>
          <w:rStyle w:val="text"/>
          <w:rFonts w:ascii="Times New Roman" w:hAnsi="Times New Roman" w:cs="Times New Roman"/>
          <w:b/>
          <w:bCs/>
          <w:sz w:val="24"/>
          <w:szCs w:val="24"/>
          <w:lang w:val="es-ES_tradnl"/>
        </w:rPr>
        <w:t>.</w:t>
      </w:r>
    </w:p>
    <w:p w14:paraId="7DB248D5" w14:textId="77777777" w:rsidR="00FB590B" w:rsidRPr="00FB590B" w:rsidRDefault="00FB590B" w:rsidP="00FB590B">
      <w:pPr>
        <w:spacing w:line="240" w:lineRule="auto"/>
        <w:jc w:val="both"/>
        <w:rPr>
          <w:rFonts w:ascii="Times New Roman" w:hAnsi="Times New Roman" w:cs="Times New Roman"/>
          <w:b/>
          <w:bCs/>
          <w:sz w:val="28"/>
          <w:szCs w:val="28"/>
        </w:rPr>
      </w:pPr>
      <w:r w:rsidRPr="00FB590B">
        <w:rPr>
          <w:rStyle w:val="text"/>
          <w:rFonts w:ascii="Times New Roman" w:hAnsi="Times New Roman" w:cs="Times New Roman"/>
          <w:b/>
          <w:bCs/>
          <w:sz w:val="24"/>
          <w:szCs w:val="24"/>
          <w:lang w:val="es-ES_tradnl"/>
        </w:rPr>
        <w:t xml:space="preserve"> </w:t>
      </w:r>
    </w:p>
    <w:p w14:paraId="7D169312" w14:textId="7B0B5B16" w:rsidR="007B33A0" w:rsidRPr="00FB590B" w:rsidRDefault="007B33A0" w:rsidP="00627A87">
      <w:pPr>
        <w:spacing w:line="360" w:lineRule="auto"/>
        <w:jc w:val="both"/>
        <w:rPr>
          <w:rFonts w:ascii="Times New Roman" w:hAnsi="Times New Roman" w:cs="Times New Roman"/>
          <w:b/>
          <w:bCs/>
          <w:sz w:val="24"/>
          <w:szCs w:val="24"/>
        </w:rPr>
      </w:pPr>
      <w:r w:rsidRPr="00FB590B">
        <w:rPr>
          <w:rFonts w:ascii="Book Antiqua" w:hAnsi="Book Antiqua"/>
          <w:b/>
          <w:bCs/>
        </w:rPr>
        <w:t>Antecedentes</w:t>
      </w:r>
    </w:p>
    <w:p w14:paraId="7FAA261F" w14:textId="0DBF4068" w:rsidR="009679F6" w:rsidRPr="00FB590B" w:rsidRDefault="002E23CE" w:rsidP="00627A87">
      <w:pPr>
        <w:spacing w:line="360" w:lineRule="auto"/>
        <w:ind w:firstLine="708"/>
        <w:jc w:val="both"/>
        <w:rPr>
          <w:rFonts w:ascii="Book Antiqua" w:hAnsi="Book Antiqua"/>
        </w:rPr>
      </w:pPr>
      <w:r w:rsidRPr="00FB590B">
        <w:rPr>
          <w:rFonts w:ascii="Book Antiqua" w:hAnsi="Book Antiqua"/>
        </w:rPr>
        <w:t xml:space="preserve">Todas las personas tienen derecho a ejercer </w:t>
      </w:r>
      <w:r w:rsidR="009679F6" w:rsidRPr="00FB590B">
        <w:rPr>
          <w:rFonts w:ascii="Book Antiqua" w:hAnsi="Book Antiqua"/>
        </w:rPr>
        <w:t>el libre control sobre su sexualidad y reproducción, sin violencia ni coacción, así se han entendido los</w:t>
      </w:r>
      <w:r w:rsidRPr="00FB590B">
        <w:rPr>
          <w:rFonts w:ascii="Book Antiqua" w:hAnsi="Book Antiqua"/>
        </w:rPr>
        <w:t xml:space="preserve"> derechos sexuales </w:t>
      </w:r>
      <w:r w:rsidR="009679F6" w:rsidRPr="00FB590B">
        <w:rPr>
          <w:rFonts w:ascii="Book Antiqua" w:hAnsi="Book Antiqua"/>
        </w:rPr>
        <w:t xml:space="preserve">como </w:t>
      </w:r>
      <w:r w:rsidRPr="00FB590B">
        <w:rPr>
          <w:rFonts w:ascii="Book Antiqua" w:hAnsi="Book Antiqua"/>
        </w:rPr>
        <w:t xml:space="preserve">el derecho a decidir y vivir libremente </w:t>
      </w:r>
      <w:r w:rsidR="009679F6" w:rsidRPr="00FB590B">
        <w:rPr>
          <w:rFonts w:ascii="Book Antiqua" w:hAnsi="Book Antiqua"/>
        </w:rPr>
        <w:t>la</w:t>
      </w:r>
      <w:r w:rsidRPr="00FB590B">
        <w:rPr>
          <w:rFonts w:ascii="Book Antiqua" w:hAnsi="Book Antiqua"/>
        </w:rPr>
        <w:t xml:space="preserve"> vida sexual y </w:t>
      </w:r>
      <w:r w:rsidR="009679F6" w:rsidRPr="00FB590B">
        <w:rPr>
          <w:rFonts w:ascii="Book Antiqua" w:hAnsi="Book Antiqua"/>
        </w:rPr>
        <w:t xml:space="preserve">la </w:t>
      </w:r>
      <w:r w:rsidRPr="00FB590B">
        <w:rPr>
          <w:rFonts w:ascii="Book Antiqua" w:hAnsi="Book Antiqua"/>
        </w:rPr>
        <w:t>sexualidad</w:t>
      </w:r>
      <w:r w:rsidR="009679F6" w:rsidRPr="00FB590B">
        <w:rPr>
          <w:rFonts w:ascii="Book Antiqua" w:hAnsi="Book Antiqua"/>
        </w:rPr>
        <w:t xml:space="preserve">, correlativamente </w:t>
      </w:r>
      <w:r w:rsidRPr="00FB590B">
        <w:rPr>
          <w:rFonts w:ascii="Book Antiqua" w:hAnsi="Book Antiqua"/>
        </w:rPr>
        <w:t>siendo la salud un derecho humano fundamental, la salud sexual también lo debe</w:t>
      </w:r>
      <w:r w:rsidR="009679F6" w:rsidRPr="00FB590B">
        <w:rPr>
          <w:rFonts w:ascii="Book Antiqua" w:hAnsi="Book Antiqua"/>
        </w:rPr>
        <w:t xml:space="preserve">, por ejemplo: </w:t>
      </w:r>
      <w:r w:rsidRPr="00FB590B">
        <w:rPr>
          <w:rFonts w:ascii="Book Antiqua" w:hAnsi="Book Antiqua"/>
        </w:rPr>
        <w:t xml:space="preserve">derecho a decidir con quién tener relaciones sexuales, decidir si </w:t>
      </w:r>
      <w:r w:rsidR="009679F6" w:rsidRPr="00FB590B">
        <w:rPr>
          <w:rFonts w:ascii="Book Antiqua" w:hAnsi="Book Antiqua"/>
        </w:rPr>
        <w:t>se es</w:t>
      </w:r>
      <w:r w:rsidRPr="00FB590B">
        <w:rPr>
          <w:rFonts w:ascii="Book Antiqua" w:hAnsi="Book Antiqua"/>
        </w:rPr>
        <w:t xml:space="preserve"> sexualmente activo/a o no, vivir libre de violencia sexual</w:t>
      </w:r>
      <w:r w:rsidR="009679F6" w:rsidRPr="00FB590B">
        <w:rPr>
          <w:rFonts w:ascii="Book Antiqua" w:hAnsi="Book Antiqua"/>
        </w:rPr>
        <w:t xml:space="preserve">, </w:t>
      </w:r>
      <w:r w:rsidRPr="00FB590B">
        <w:rPr>
          <w:rFonts w:ascii="Book Antiqua" w:hAnsi="Book Antiqua"/>
        </w:rPr>
        <w:t>tener acceso a atención de salud sexual, entre otros</w:t>
      </w:r>
      <w:r w:rsidR="009679F6" w:rsidRPr="00FB590B">
        <w:rPr>
          <w:rFonts w:ascii="Book Antiqua" w:hAnsi="Book Antiqua"/>
        </w:rPr>
        <w:t xml:space="preserve">. (PRODEMU, 2020). </w:t>
      </w:r>
    </w:p>
    <w:p w14:paraId="09FA7B0F" w14:textId="77777777" w:rsidR="00B15044" w:rsidRPr="00FB590B" w:rsidRDefault="009679F6" w:rsidP="00627A87">
      <w:pPr>
        <w:spacing w:line="360" w:lineRule="auto"/>
        <w:ind w:firstLine="708"/>
        <w:jc w:val="both"/>
        <w:rPr>
          <w:rFonts w:ascii="Book Antiqua" w:hAnsi="Book Antiqua"/>
        </w:rPr>
      </w:pPr>
      <w:r w:rsidRPr="00FB590B">
        <w:rPr>
          <w:rFonts w:ascii="Book Antiqua" w:hAnsi="Book Antiqua"/>
        </w:rPr>
        <w:t>Por su parte, l</w:t>
      </w:r>
      <w:r w:rsidR="002E23CE" w:rsidRPr="00FB590B">
        <w:rPr>
          <w:rFonts w:ascii="Book Antiqua" w:hAnsi="Book Antiqua"/>
        </w:rPr>
        <w:t>os derechos reproductivos son derechos que permiten decidir y vivir libremente la vida reproductiva y acceder a la atención de salud reproductiva</w:t>
      </w:r>
      <w:r w:rsidRPr="00FB590B">
        <w:rPr>
          <w:rFonts w:ascii="Book Antiqua" w:hAnsi="Book Antiqua"/>
        </w:rPr>
        <w:t xml:space="preserve">, algunos ejemplos que de ello se derivan son: </w:t>
      </w:r>
      <w:r w:rsidR="002E23CE" w:rsidRPr="00FB590B">
        <w:rPr>
          <w:rFonts w:ascii="Book Antiqua" w:hAnsi="Book Antiqua"/>
        </w:rPr>
        <w:t>derecho a decidir si tener hijos o no, decidir el número de hijos, atención obstétrica y acceso a métodos anticonceptivos en caso de requerirlos.</w:t>
      </w:r>
      <w:r w:rsidRPr="00FB590B">
        <w:rPr>
          <w:rFonts w:ascii="Book Antiqua" w:hAnsi="Book Antiqua"/>
        </w:rPr>
        <w:t xml:space="preserve"> (PRODEMU, 2020)</w:t>
      </w:r>
    </w:p>
    <w:p w14:paraId="2D5CCC88" w14:textId="362F7C4C" w:rsidR="002E23CE" w:rsidRPr="00FB590B" w:rsidRDefault="00B15044" w:rsidP="00627A87">
      <w:pPr>
        <w:spacing w:line="360" w:lineRule="auto"/>
        <w:ind w:firstLine="708"/>
        <w:jc w:val="both"/>
        <w:rPr>
          <w:rFonts w:ascii="Book Antiqua" w:hAnsi="Book Antiqua"/>
        </w:rPr>
      </w:pPr>
      <w:r w:rsidRPr="00FB590B">
        <w:rPr>
          <w:rFonts w:ascii="Book Antiqua" w:hAnsi="Book Antiqua"/>
        </w:rPr>
        <w:t>Así l</w:t>
      </w:r>
      <w:r w:rsidR="002E23CE" w:rsidRPr="00FB590B">
        <w:rPr>
          <w:rFonts w:ascii="Book Antiqua" w:hAnsi="Book Antiqua"/>
        </w:rPr>
        <w:t xml:space="preserve">a salud sexual y reproductiva de </w:t>
      </w:r>
      <w:r w:rsidRPr="00FB590B">
        <w:rPr>
          <w:rFonts w:ascii="Book Antiqua" w:hAnsi="Book Antiqua"/>
        </w:rPr>
        <w:t>las personas</w:t>
      </w:r>
      <w:r w:rsidR="002E23CE" w:rsidRPr="00FB590B">
        <w:rPr>
          <w:rFonts w:ascii="Book Antiqua" w:hAnsi="Book Antiqua"/>
        </w:rPr>
        <w:t xml:space="preserve"> está relacionada con múltiples derechos humanos</w:t>
      </w:r>
      <w:r w:rsidRPr="00FB590B">
        <w:rPr>
          <w:rFonts w:ascii="Book Antiqua" w:hAnsi="Book Antiqua"/>
        </w:rPr>
        <w:t xml:space="preserve"> y se entienden de manera integral</w:t>
      </w:r>
      <w:r w:rsidR="002E23CE" w:rsidRPr="00FB590B">
        <w:rPr>
          <w:rFonts w:ascii="Book Antiqua" w:hAnsi="Book Antiqua"/>
        </w:rPr>
        <w:t xml:space="preserve">, incluido el derecho a la vida, el derecho a la salud, al derecho a no ser torturado, el derecho a la privacidad, el derecho a la educación y la prohibición de la discriminación. Así, estos derechos se pueden materializar en diversas cuestiones, como lo es tomar decisiones libres e informadas sobre </w:t>
      </w:r>
      <w:r w:rsidRPr="00FB590B">
        <w:rPr>
          <w:rFonts w:ascii="Book Antiqua" w:hAnsi="Book Antiqua"/>
        </w:rPr>
        <w:t>la</w:t>
      </w:r>
      <w:r w:rsidR="002E23CE" w:rsidRPr="00FB590B">
        <w:rPr>
          <w:rFonts w:ascii="Book Antiqua" w:hAnsi="Book Antiqua"/>
        </w:rPr>
        <w:t xml:space="preserve"> vida sexual y reproductiva, teniendo acceso a la información y educación necesarias; </w:t>
      </w:r>
      <w:r w:rsidRPr="00FB590B">
        <w:rPr>
          <w:rFonts w:ascii="Book Antiqua" w:hAnsi="Book Antiqua"/>
        </w:rPr>
        <w:t>d</w:t>
      </w:r>
      <w:r w:rsidR="002E23CE" w:rsidRPr="00FB590B">
        <w:rPr>
          <w:rFonts w:ascii="Book Antiqua" w:hAnsi="Book Antiqua"/>
        </w:rPr>
        <w:t xml:space="preserve">ecidir libre y responsablemente el número de hijos, cuándo, con quien y con qué frecuencia tenerlos y tener acceso a los métodos anticonceptivos necesarios para esto; </w:t>
      </w:r>
      <w:r w:rsidRPr="00FB590B">
        <w:rPr>
          <w:rFonts w:ascii="Book Antiqua" w:hAnsi="Book Antiqua"/>
        </w:rPr>
        <w:t>s</w:t>
      </w:r>
      <w:r w:rsidR="002E23CE" w:rsidRPr="00FB590B">
        <w:rPr>
          <w:rFonts w:ascii="Book Antiqua" w:hAnsi="Book Antiqua"/>
        </w:rPr>
        <w:t>er libres de discriminación, coacción o violencia en sus decisiones y su vida sexual; etc.</w:t>
      </w:r>
    </w:p>
    <w:p w14:paraId="7E8A8BAD" w14:textId="77777777" w:rsidR="00B15044" w:rsidRPr="00FB590B" w:rsidRDefault="00B15044" w:rsidP="00627A87">
      <w:pPr>
        <w:spacing w:line="360" w:lineRule="auto"/>
        <w:ind w:firstLine="708"/>
        <w:jc w:val="both"/>
        <w:rPr>
          <w:rFonts w:ascii="Book Antiqua" w:hAnsi="Book Antiqua"/>
        </w:rPr>
      </w:pPr>
      <w:r w:rsidRPr="00FB590B">
        <w:rPr>
          <w:rFonts w:ascii="Book Antiqua" w:hAnsi="Book Antiqua"/>
        </w:rPr>
        <w:t xml:space="preserve">Por ello es que diversos tratados internacionales que han sido firmados y ratificados por Chile, así como pronunciamientos de distintos organismos internacionales, instan al </w:t>
      </w:r>
      <w:r w:rsidRPr="00FB590B">
        <w:rPr>
          <w:rFonts w:ascii="Book Antiqua" w:hAnsi="Book Antiqua"/>
        </w:rPr>
        <w:lastRenderedPageBreak/>
        <w:t xml:space="preserve">reconocimiento e incorporación de los derechos sexuales y reproductivos en las legislaciones nacionales. </w:t>
      </w:r>
    </w:p>
    <w:p w14:paraId="5C1F5286" w14:textId="67688A86" w:rsidR="002E23CE" w:rsidRPr="00FB590B" w:rsidRDefault="009F0504" w:rsidP="00627A87">
      <w:pPr>
        <w:spacing w:line="360" w:lineRule="auto"/>
        <w:ind w:firstLine="708"/>
        <w:jc w:val="both"/>
        <w:rPr>
          <w:rFonts w:ascii="Book Antiqua" w:hAnsi="Book Antiqua"/>
        </w:rPr>
      </w:pPr>
      <w:r w:rsidRPr="00FB590B">
        <w:rPr>
          <w:rFonts w:ascii="Book Antiqua" w:hAnsi="Book Antiqua"/>
        </w:rPr>
        <w:t>E</w:t>
      </w:r>
      <w:r w:rsidR="002E23CE" w:rsidRPr="00FB590B">
        <w:rPr>
          <w:rFonts w:ascii="Book Antiqua" w:hAnsi="Book Antiqua"/>
        </w:rPr>
        <w:t>l Comité de Derechos Económicos, Sociales y Culturales y el Comité para la Eliminación de la Discriminación contra la Mujer (CEDAW) han indicado que el derecho a la mujer a la salud incluye su salud sexual y reproductiva. Por lo que los Estados tiene la obligación de proteger, respetar y cumplir los derechos relacionados con la salud sexual y reproductiva de la mujer.</w:t>
      </w:r>
    </w:p>
    <w:p w14:paraId="38ADC5B5" w14:textId="77777777" w:rsidR="002E23CE" w:rsidRPr="00FB590B" w:rsidRDefault="002E23CE" w:rsidP="00627A87">
      <w:pPr>
        <w:spacing w:line="360" w:lineRule="auto"/>
        <w:ind w:firstLine="708"/>
        <w:jc w:val="both"/>
        <w:rPr>
          <w:rFonts w:ascii="Book Antiqua" w:hAnsi="Book Antiqua"/>
        </w:rPr>
      </w:pPr>
      <w:r w:rsidRPr="00FB590B">
        <w:rPr>
          <w:rFonts w:ascii="Book Antiqua" w:hAnsi="Book Antiqua"/>
        </w:rPr>
        <w:t>La Recomendación General 24 del Comité de la CEDAW recomienda que los Estados den prioridad a la “prevención de embarazos no deseados a través de la planificación familiar y la educación sexual”.</w:t>
      </w:r>
    </w:p>
    <w:p w14:paraId="7D868139" w14:textId="77777777" w:rsidR="002E23CE" w:rsidRPr="00FB590B" w:rsidRDefault="002E23CE" w:rsidP="00627A87">
      <w:pPr>
        <w:spacing w:line="360" w:lineRule="auto"/>
        <w:ind w:firstLine="708"/>
        <w:jc w:val="both"/>
        <w:rPr>
          <w:rFonts w:ascii="Book Antiqua" w:hAnsi="Book Antiqua"/>
        </w:rPr>
      </w:pPr>
      <w:r w:rsidRPr="00FB590B">
        <w:rPr>
          <w:rFonts w:ascii="Book Antiqua" w:hAnsi="Book Antiqua"/>
        </w:rPr>
        <w:t>En tanto, la plataforma de Acción de Beijing establece que: “los derechos humanos de las mujeres incluyen su derecho a tener control y decidir libre y responsablemente sobre asuntos relacionados con su sexualidad, incluida la salud sexual y reproductiva, libres de coerción, discriminación y violencia”.</w:t>
      </w:r>
    </w:p>
    <w:p w14:paraId="2C186B0F" w14:textId="5E8A934A" w:rsidR="002E23CE" w:rsidRPr="00FB590B" w:rsidRDefault="009F0504" w:rsidP="00627A87">
      <w:pPr>
        <w:spacing w:line="360" w:lineRule="auto"/>
        <w:ind w:firstLine="708"/>
        <w:jc w:val="both"/>
        <w:rPr>
          <w:rFonts w:ascii="Book Antiqua" w:hAnsi="Book Antiqua"/>
        </w:rPr>
      </w:pPr>
      <w:r w:rsidRPr="00FB590B">
        <w:rPr>
          <w:rFonts w:ascii="Book Antiqua" w:hAnsi="Book Antiqua"/>
        </w:rPr>
        <w:t>En el mismo sentido, e</w:t>
      </w:r>
      <w:r w:rsidR="002E23CE" w:rsidRPr="00FB590B">
        <w:rPr>
          <w:rFonts w:ascii="Book Antiqua" w:hAnsi="Book Antiqua"/>
        </w:rPr>
        <w:t xml:space="preserve">l Relator Especial sobre el derecho de toda persona al disfrute del más alto nivel posible de salud física y mental señaló que las mujeres tienen derecho a servicios, bienes e instalaciones de salud reproductiva que: </w:t>
      </w:r>
    </w:p>
    <w:p w14:paraId="3FCFE1F6" w14:textId="77777777" w:rsidR="002E23CE" w:rsidRPr="00FB590B" w:rsidRDefault="002E23CE" w:rsidP="00627A87">
      <w:pPr>
        <w:spacing w:line="360" w:lineRule="auto"/>
        <w:jc w:val="both"/>
        <w:rPr>
          <w:rFonts w:ascii="Book Antiqua" w:hAnsi="Book Antiqua"/>
        </w:rPr>
      </w:pPr>
      <w:r w:rsidRPr="00FB590B">
        <w:rPr>
          <w:rFonts w:ascii="Book Antiqua" w:hAnsi="Book Antiqua"/>
        </w:rPr>
        <w:t xml:space="preserve">a) estén disponibles en cantidades suficientes; </w:t>
      </w:r>
    </w:p>
    <w:p w14:paraId="251C6719" w14:textId="77777777" w:rsidR="002E23CE" w:rsidRPr="00FB590B" w:rsidRDefault="002E23CE" w:rsidP="00627A87">
      <w:pPr>
        <w:spacing w:line="360" w:lineRule="auto"/>
        <w:jc w:val="both"/>
        <w:rPr>
          <w:rFonts w:ascii="Book Antiqua" w:hAnsi="Book Antiqua"/>
        </w:rPr>
      </w:pPr>
      <w:r w:rsidRPr="00FB590B">
        <w:rPr>
          <w:rFonts w:ascii="Book Antiqua" w:hAnsi="Book Antiqua"/>
        </w:rPr>
        <w:t xml:space="preserve">b) accesible física y económicamente; </w:t>
      </w:r>
    </w:p>
    <w:p w14:paraId="4DABDD8F" w14:textId="77777777" w:rsidR="002E23CE" w:rsidRPr="00FB590B" w:rsidRDefault="002E23CE" w:rsidP="00627A87">
      <w:pPr>
        <w:spacing w:line="360" w:lineRule="auto"/>
        <w:jc w:val="both"/>
        <w:rPr>
          <w:rFonts w:ascii="Book Antiqua" w:hAnsi="Book Antiqua"/>
        </w:rPr>
      </w:pPr>
      <w:r w:rsidRPr="00FB590B">
        <w:rPr>
          <w:rFonts w:ascii="Book Antiqua" w:hAnsi="Book Antiqua"/>
        </w:rPr>
        <w:t xml:space="preserve">c) accesible sin discriminación; y </w:t>
      </w:r>
    </w:p>
    <w:p w14:paraId="555F889F" w14:textId="60D1B668" w:rsidR="002E23CE" w:rsidRPr="00FB590B" w:rsidRDefault="002E23CE" w:rsidP="00627A87">
      <w:pPr>
        <w:spacing w:line="360" w:lineRule="auto"/>
        <w:jc w:val="both"/>
        <w:rPr>
          <w:rFonts w:ascii="Book Antiqua" w:hAnsi="Book Antiqua"/>
        </w:rPr>
      </w:pPr>
      <w:r w:rsidRPr="00FB590B">
        <w:rPr>
          <w:rFonts w:ascii="Book Antiqua" w:hAnsi="Book Antiqua"/>
        </w:rPr>
        <w:t xml:space="preserve">d) de buena calidad. Agregando en cuanto a la responsabilidad estatal y de las empresas, que el Estado tiene obligación jurídica de garantizar que se disponga de medicamentos de buena calidad en toda su jurisdicción, mientras </w:t>
      </w:r>
      <w:r w:rsidR="009F0504" w:rsidRPr="00FB590B">
        <w:rPr>
          <w:rFonts w:ascii="Book Antiqua" w:hAnsi="Book Antiqua"/>
        </w:rPr>
        <w:t>que,</w:t>
      </w:r>
      <w:r w:rsidRPr="00FB590B">
        <w:rPr>
          <w:rFonts w:ascii="Book Antiqua" w:hAnsi="Book Antiqua"/>
        </w:rPr>
        <w:t xml:space="preserve"> en el caso de las empresas farmacéuticas, existe un consenso en cuanto a las responsabilidades jurídicas y éticas que mantienen en relación a los derechos humanos.</w:t>
      </w:r>
    </w:p>
    <w:p w14:paraId="4D091527" w14:textId="61D431FF" w:rsidR="002E23CE" w:rsidRPr="00FB590B" w:rsidRDefault="002E23CE" w:rsidP="00627A87">
      <w:pPr>
        <w:spacing w:line="360" w:lineRule="auto"/>
        <w:ind w:firstLine="708"/>
        <w:jc w:val="both"/>
        <w:rPr>
          <w:rFonts w:ascii="Book Antiqua" w:hAnsi="Book Antiqua"/>
        </w:rPr>
      </w:pPr>
      <w:r w:rsidRPr="00FB590B">
        <w:rPr>
          <w:rFonts w:ascii="Book Antiqua" w:hAnsi="Book Antiqua"/>
        </w:rPr>
        <w:t xml:space="preserve">En Chile, la Fundación para la Promoción y Desarrollo de la Mujer (PRODEMU), establece que la sexualidad de las personas es libre, ya que cada persona tiene el derecho a elegir cómo vivirla, de acuerdo a sus creencias y opciones, por </w:t>
      </w:r>
      <w:r w:rsidR="009F0504" w:rsidRPr="00FB590B">
        <w:rPr>
          <w:rFonts w:ascii="Book Antiqua" w:hAnsi="Book Antiqua"/>
        </w:rPr>
        <w:t>tanto,</w:t>
      </w:r>
      <w:r w:rsidRPr="00FB590B">
        <w:rPr>
          <w:rFonts w:ascii="Book Antiqua" w:hAnsi="Book Antiqua"/>
        </w:rPr>
        <w:t xml:space="preserve"> también se vive libre </w:t>
      </w:r>
      <w:r w:rsidRPr="00FB590B">
        <w:rPr>
          <w:rFonts w:ascii="Book Antiqua" w:hAnsi="Book Antiqua"/>
        </w:rPr>
        <w:lastRenderedPageBreak/>
        <w:t>de violencia, además es diversa, ya que expresa y vive de acuerdo a convicciones personales y eso siempre debe ser respetado.</w:t>
      </w:r>
    </w:p>
    <w:p w14:paraId="707D4764" w14:textId="77777777" w:rsidR="002E23CE" w:rsidRPr="00FB590B" w:rsidRDefault="002E23CE" w:rsidP="00627A87">
      <w:pPr>
        <w:spacing w:line="360" w:lineRule="auto"/>
        <w:jc w:val="both"/>
        <w:rPr>
          <w:rFonts w:ascii="Book Antiqua" w:hAnsi="Book Antiqua"/>
        </w:rPr>
      </w:pPr>
      <w:r w:rsidRPr="00FB590B">
        <w:rPr>
          <w:rFonts w:ascii="Book Antiqua" w:hAnsi="Book Antiqua"/>
        </w:rPr>
        <w:t xml:space="preserve">Dentro de los derechos sexuales que establece PRODEMU se encuentra: </w:t>
      </w:r>
    </w:p>
    <w:p w14:paraId="1128B972" w14:textId="77777777" w:rsidR="002E23CE" w:rsidRPr="00FB590B" w:rsidRDefault="002E23CE" w:rsidP="00627A87">
      <w:pPr>
        <w:spacing w:line="360" w:lineRule="auto"/>
        <w:jc w:val="both"/>
        <w:rPr>
          <w:rFonts w:ascii="Book Antiqua" w:hAnsi="Book Antiqua"/>
        </w:rPr>
      </w:pPr>
      <w:r w:rsidRPr="00FB590B">
        <w:rPr>
          <w:rFonts w:ascii="Book Antiqua" w:hAnsi="Book Antiqua"/>
        </w:rPr>
        <w:t xml:space="preserve">a) Tomar decisiones sobre salud, cuerpo, vida sexual e identidad, sin temor a sufrir discriminación. </w:t>
      </w:r>
    </w:p>
    <w:p w14:paraId="625F1677" w14:textId="77777777" w:rsidR="002E23CE" w:rsidRPr="00FB590B" w:rsidRDefault="002E23CE" w:rsidP="00627A87">
      <w:pPr>
        <w:spacing w:line="360" w:lineRule="auto"/>
        <w:jc w:val="both"/>
        <w:rPr>
          <w:rFonts w:ascii="Book Antiqua" w:hAnsi="Book Antiqua"/>
        </w:rPr>
      </w:pPr>
      <w:r w:rsidRPr="00FB590B">
        <w:rPr>
          <w:rFonts w:ascii="Book Antiqua" w:hAnsi="Book Antiqua"/>
        </w:rPr>
        <w:t xml:space="preserve">b) Pedir y recibir información sobre sexualidad, reproducción y acceso a servicios de salud relacionados con ellas, así como también a métodos anticonceptivos. </w:t>
      </w:r>
    </w:p>
    <w:p w14:paraId="74EDBB14" w14:textId="77777777" w:rsidR="002E23CE" w:rsidRPr="00FB590B" w:rsidRDefault="002E23CE" w:rsidP="00627A87">
      <w:pPr>
        <w:spacing w:line="360" w:lineRule="auto"/>
        <w:jc w:val="both"/>
        <w:rPr>
          <w:rFonts w:ascii="Book Antiqua" w:hAnsi="Book Antiqua"/>
        </w:rPr>
      </w:pPr>
      <w:r w:rsidRPr="00FB590B">
        <w:rPr>
          <w:rFonts w:ascii="Book Antiqua" w:hAnsi="Book Antiqua"/>
        </w:rPr>
        <w:t>c) Decidir si tener hijos/as, cuándo, cuántos y con quién.</w:t>
      </w:r>
    </w:p>
    <w:p w14:paraId="5F2EE507" w14:textId="77777777" w:rsidR="002E23CE" w:rsidRPr="00FB590B" w:rsidRDefault="002E23CE" w:rsidP="00627A87">
      <w:pPr>
        <w:spacing w:line="360" w:lineRule="auto"/>
        <w:jc w:val="both"/>
        <w:rPr>
          <w:rFonts w:ascii="Book Antiqua" w:hAnsi="Book Antiqua"/>
        </w:rPr>
      </w:pPr>
      <w:r w:rsidRPr="00FB590B">
        <w:rPr>
          <w:rFonts w:ascii="Book Antiqua" w:hAnsi="Book Antiqua"/>
        </w:rPr>
        <w:t>d)Elegir nuestra pareja íntima, si casarnos y cuándo.</w:t>
      </w:r>
    </w:p>
    <w:p w14:paraId="251513A3" w14:textId="50530B7A" w:rsidR="002E23CE" w:rsidRPr="00FB590B" w:rsidRDefault="002E23CE" w:rsidP="00627A87">
      <w:pPr>
        <w:spacing w:line="360" w:lineRule="auto"/>
        <w:ind w:firstLine="708"/>
        <w:jc w:val="both"/>
        <w:rPr>
          <w:rFonts w:ascii="Book Antiqua" w:hAnsi="Book Antiqua"/>
        </w:rPr>
      </w:pPr>
      <w:r w:rsidRPr="00FB590B">
        <w:rPr>
          <w:rFonts w:ascii="Book Antiqua" w:hAnsi="Book Antiqua"/>
        </w:rPr>
        <w:t xml:space="preserve">Además, se establece el derecho a acceder a métodos anticonceptivos. así, toda persona tiene derecho a elegir libremente si usar o no métodos anticonceptivos y poder acceder a ellos, sin importar sus creencias o situación económica. </w:t>
      </w:r>
    </w:p>
    <w:p w14:paraId="10F930AC" w14:textId="3BFCBAFF" w:rsidR="009F0504" w:rsidRPr="00FB590B" w:rsidRDefault="009F0504" w:rsidP="00627A87">
      <w:pPr>
        <w:spacing w:line="360" w:lineRule="auto"/>
        <w:ind w:firstLine="708"/>
        <w:jc w:val="both"/>
        <w:rPr>
          <w:rFonts w:ascii="Book Antiqua" w:hAnsi="Book Antiqua"/>
        </w:rPr>
      </w:pPr>
      <w:r w:rsidRPr="00FB590B">
        <w:rPr>
          <w:rFonts w:ascii="Book Antiqua" w:hAnsi="Book Antiqua"/>
        </w:rPr>
        <w:t xml:space="preserve">Respecto de esto último, ha causado inquietud en la población, más aún durante el periodo de pandemia que se vive, el hecho de que algunas farmacias estén exigiendo receta médica para la dispensación de anticonceptivos, pues obligaría a las personas a solicitar, a lo menos mensualmente como ocurre con algunos métodos, a solicitar ante un profesional de la salud habilitado para recetarlas, encareciendo el costo de la anticoncepción u otros tratamientos que se llevan a cabo con este tipo de medicamentos. </w:t>
      </w:r>
    </w:p>
    <w:p w14:paraId="1002C1F2" w14:textId="710AC5FD" w:rsidR="00DA2DF4" w:rsidRPr="00FB590B" w:rsidRDefault="00DA2DF4" w:rsidP="00627A87">
      <w:pPr>
        <w:spacing w:line="360" w:lineRule="auto"/>
        <w:ind w:firstLine="708"/>
        <w:jc w:val="both"/>
        <w:rPr>
          <w:rFonts w:ascii="Book Antiqua" w:hAnsi="Book Antiqua"/>
        </w:rPr>
      </w:pPr>
      <w:r w:rsidRPr="00FB590B">
        <w:rPr>
          <w:rFonts w:ascii="Book Antiqua" w:hAnsi="Book Antiqua"/>
        </w:rPr>
        <w:t xml:space="preserve">Así se dio a conocer a través de las redes sociales, donde cientos de personas denunciaban a las farmacias quienes indicaban que era el Instituto de Salud Pública quien exigía la receta para su venta, tanto presencial como en online, dificultando el acceso a los anticonceptivos, puesto que, siendo las mujeres las mayores consumidoras, toman o utilizan algún método con periodicidad sin cambios en el tiempo. </w:t>
      </w:r>
    </w:p>
    <w:p w14:paraId="7706AD1C" w14:textId="36BB1386" w:rsidR="00627A87" w:rsidRPr="00FB590B" w:rsidRDefault="00627A87" w:rsidP="00627A87">
      <w:pPr>
        <w:spacing w:line="360" w:lineRule="auto"/>
        <w:ind w:firstLine="708"/>
        <w:jc w:val="both"/>
        <w:rPr>
          <w:rFonts w:ascii="Book Antiqua" w:hAnsi="Book Antiqua"/>
        </w:rPr>
      </w:pPr>
      <w:r w:rsidRPr="00FB590B">
        <w:rPr>
          <w:rFonts w:ascii="Book Antiqua" w:hAnsi="Book Antiqua"/>
        </w:rPr>
        <w:t xml:space="preserve">Así se explicita en las siguientes imágenes para compra online del anticonceptivo </w:t>
      </w:r>
      <w:proofErr w:type="spellStart"/>
      <w:r w:rsidRPr="00FB590B">
        <w:rPr>
          <w:rFonts w:ascii="Book Antiqua" w:hAnsi="Book Antiqua"/>
        </w:rPr>
        <w:t>Ciclomex</w:t>
      </w:r>
      <w:proofErr w:type="spellEnd"/>
      <w:r w:rsidRPr="00FB590B">
        <w:rPr>
          <w:rFonts w:ascii="Book Antiqua" w:hAnsi="Book Antiqua"/>
        </w:rPr>
        <w:t xml:space="preserve"> 20, a modo de ejemplo:</w:t>
      </w:r>
    </w:p>
    <w:p w14:paraId="705EAED5" w14:textId="77777777" w:rsidR="00627A87" w:rsidRPr="00FB590B" w:rsidRDefault="00627A87" w:rsidP="00627A87">
      <w:pPr>
        <w:spacing w:line="360" w:lineRule="auto"/>
        <w:ind w:firstLine="708"/>
        <w:jc w:val="both"/>
        <w:rPr>
          <w:rFonts w:ascii="Book Antiqua" w:hAnsi="Book Antiqua"/>
        </w:rPr>
      </w:pPr>
    </w:p>
    <w:p w14:paraId="162659D8" w14:textId="77777777" w:rsidR="00627A87" w:rsidRPr="00FB590B" w:rsidRDefault="00627A87" w:rsidP="00627A87">
      <w:pPr>
        <w:spacing w:line="360" w:lineRule="auto"/>
        <w:ind w:firstLine="708"/>
        <w:jc w:val="both"/>
        <w:rPr>
          <w:rFonts w:ascii="Book Antiqua" w:hAnsi="Book Antiqua"/>
        </w:rPr>
      </w:pPr>
      <w:r w:rsidRPr="00FB590B">
        <w:rPr>
          <w:rFonts w:ascii="Book Antiqua" w:hAnsi="Book Antiqua"/>
          <w:noProof/>
          <w:lang w:eastAsia="es-CL"/>
        </w:rPr>
        <w:lastRenderedPageBreak/>
        <w:drawing>
          <wp:inline distT="0" distB="0" distL="0" distR="0" wp14:anchorId="2C600DE4" wp14:editId="5A54CE0E">
            <wp:extent cx="5541753" cy="253746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3964" cy="2547630"/>
                    </a:xfrm>
                    <a:prstGeom prst="rect">
                      <a:avLst/>
                    </a:prstGeom>
                    <a:noFill/>
                    <a:ln>
                      <a:noFill/>
                    </a:ln>
                  </pic:spPr>
                </pic:pic>
              </a:graphicData>
            </a:graphic>
          </wp:inline>
        </w:drawing>
      </w:r>
    </w:p>
    <w:p w14:paraId="48038B46" w14:textId="58EF53D9" w:rsidR="00627A87" w:rsidRPr="00FB590B" w:rsidRDefault="00627A87" w:rsidP="00627A87">
      <w:pPr>
        <w:spacing w:line="360" w:lineRule="auto"/>
        <w:ind w:firstLine="708"/>
        <w:jc w:val="both"/>
        <w:rPr>
          <w:rFonts w:ascii="Book Antiqua" w:hAnsi="Book Antiqua"/>
        </w:rPr>
      </w:pPr>
    </w:p>
    <w:p w14:paraId="455A7F62" w14:textId="7070987A" w:rsidR="00627A87" w:rsidRPr="00FB590B" w:rsidRDefault="00627A87" w:rsidP="00627A87">
      <w:pPr>
        <w:spacing w:line="360" w:lineRule="auto"/>
        <w:jc w:val="both"/>
        <w:rPr>
          <w:rFonts w:ascii="Book Antiqua" w:hAnsi="Book Antiqua"/>
        </w:rPr>
      </w:pPr>
      <w:r w:rsidRPr="00FB590B">
        <w:rPr>
          <w:rFonts w:ascii="Book Antiqua" w:hAnsi="Book Antiqua"/>
          <w:noProof/>
          <w:lang w:eastAsia="es-CL"/>
        </w:rPr>
        <w:drawing>
          <wp:anchor distT="0" distB="0" distL="114300" distR="114300" simplePos="0" relativeHeight="251658240" behindDoc="0" locked="0" layoutInCell="1" allowOverlap="1" wp14:anchorId="2661D2EB" wp14:editId="68027438">
            <wp:simplePos x="0" y="0"/>
            <wp:positionH relativeFrom="column">
              <wp:posOffset>474345</wp:posOffset>
            </wp:positionH>
            <wp:positionV relativeFrom="paragraph">
              <wp:posOffset>19050</wp:posOffset>
            </wp:positionV>
            <wp:extent cx="5171440" cy="2438400"/>
            <wp:effectExtent l="0" t="0" r="0" b="0"/>
            <wp:wrapThrough wrapText="bothSides">
              <wp:wrapPolygon edited="0">
                <wp:start x="0" y="0"/>
                <wp:lineTo x="0" y="21431"/>
                <wp:lineTo x="21483" y="21431"/>
                <wp:lineTo x="2148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144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BFF925" w14:textId="77777777" w:rsidR="00627A87" w:rsidRPr="00FB590B" w:rsidRDefault="00627A87" w:rsidP="00627A87">
      <w:pPr>
        <w:spacing w:line="360" w:lineRule="auto"/>
        <w:ind w:firstLine="708"/>
        <w:jc w:val="both"/>
        <w:rPr>
          <w:rFonts w:ascii="Book Antiqua" w:hAnsi="Book Antiqua"/>
        </w:rPr>
      </w:pPr>
    </w:p>
    <w:p w14:paraId="6A3CA872" w14:textId="5631C8D2" w:rsidR="004D5206" w:rsidRPr="00FB590B" w:rsidRDefault="004D5206" w:rsidP="00627A87">
      <w:pPr>
        <w:spacing w:line="360" w:lineRule="auto"/>
        <w:ind w:firstLine="708"/>
        <w:jc w:val="both"/>
        <w:rPr>
          <w:rFonts w:ascii="Book Antiqua" w:hAnsi="Book Antiqua"/>
        </w:rPr>
      </w:pPr>
      <w:r w:rsidRPr="00FB590B">
        <w:rPr>
          <w:rFonts w:ascii="Book Antiqua" w:hAnsi="Book Antiqua"/>
        </w:rPr>
        <w:t xml:space="preserve">La ley n° 20.418 que fija las normas sobre información, orientación y prestaciones en materia de regulación de la fertilidad establece en su artículo 4 que: </w:t>
      </w:r>
      <w:r w:rsidR="00075851" w:rsidRPr="00FB590B">
        <w:rPr>
          <w:rFonts w:ascii="Book Antiqua" w:hAnsi="Book Antiqua"/>
        </w:rPr>
        <w:t>“</w:t>
      </w:r>
      <w:r w:rsidRPr="00FB590B">
        <w:rPr>
          <w:rFonts w:ascii="Book Antiqua" w:hAnsi="Book Antiqua"/>
        </w:rPr>
        <w:t xml:space="preserve">Los órganos de la Administración del Estado con competencia en la materia, adoptarán las medidas apropiadas para garantizar el ejercicio de los derechos establecidos en esta ley. Para ello deberán elaborar planes que señalen las acciones respectivas. </w:t>
      </w:r>
    </w:p>
    <w:p w14:paraId="253724D0" w14:textId="1B560DB6" w:rsidR="004D5206" w:rsidRPr="00FB590B" w:rsidRDefault="004D5206" w:rsidP="00627A87">
      <w:pPr>
        <w:spacing w:line="360" w:lineRule="auto"/>
        <w:jc w:val="both"/>
        <w:rPr>
          <w:rFonts w:ascii="Book Antiqua" w:hAnsi="Book Antiqua"/>
        </w:rPr>
      </w:pPr>
      <w:r w:rsidRPr="00FB590B">
        <w:rPr>
          <w:rFonts w:ascii="Book Antiqua" w:hAnsi="Book Antiqua"/>
        </w:rPr>
        <w:t xml:space="preserve">Asimismo, los órganos de la Administración con competencia en la materia pondrán a disposición de la población los métodos anticonceptivos, que cuenten con la debida autorización, tanto hormonales como no hormonales, tales como métodos anticonceptivos </w:t>
      </w:r>
      <w:r w:rsidRPr="00FB590B">
        <w:rPr>
          <w:rFonts w:ascii="Book Antiqua" w:hAnsi="Book Antiqua"/>
        </w:rPr>
        <w:lastRenderedPageBreak/>
        <w:t xml:space="preserve">combinados de estrógeno y progestágeno, métodos anticonceptivos hormonales de emergencia y los métodos de anticoncepción no hormonal, naturales y artificiales”. </w:t>
      </w:r>
    </w:p>
    <w:p w14:paraId="402B9D0F" w14:textId="77777777" w:rsidR="00DA2DF4" w:rsidRPr="00FB590B" w:rsidRDefault="00167BAE" w:rsidP="00627A87">
      <w:pPr>
        <w:spacing w:line="360" w:lineRule="auto"/>
        <w:ind w:firstLine="708"/>
        <w:jc w:val="both"/>
        <w:rPr>
          <w:rFonts w:ascii="Book Antiqua" w:hAnsi="Book Antiqua"/>
        </w:rPr>
      </w:pPr>
      <w:r w:rsidRPr="00FB590B">
        <w:rPr>
          <w:rFonts w:ascii="Book Antiqua" w:hAnsi="Book Antiqua"/>
        </w:rPr>
        <w:t>Sin embargo, y a pesar de la normativa existente, el Instituto de Salud Pública en declaración emitida con fecha 05 de abril de 2021, expresa que no ha emitido ninguna normativa diferente a lo ya existente en el Código Sanitario y que las condiciones de venta se rigen de acuerdo a su Registro Sanitario</w:t>
      </w:r>
      <w:r w:rsidR="002E23CE" w:rsidRPr="00FB590B">
        <w:rPr>
          <w:rFonts w:ascii="Book Antiqua" w:hAnsi="Book Antiqua"/>
        </w:rPr>
        <w:t xml:space="preserve"> y que para facilitar el acceso de acuerdo a la ley n° 21.267 ahora se permite la adquisición de medicamentos a través de recetas emitidas digitalmente. </w:t>
      </w:r>
    </w:p>
    <w:p w14:paraId="269C98AB" w14:textId="109BE27C" w:rsidR="00DA2DF4" w:rsidRPr="00FB590B" w:rsidRDefault="00DA2DF4" w:rsidP="00627A87">
      <w:pPr>
        <w:spacing w:line="360" w:lineRule="auto"/>
        <w:ind w:firstLine="708"/>
        <w:jc w:val="both"/>
        <w:rPr>
          <w:rFonts w:ascii="Book Antiqua" w:hAnsi="Book Antiqua"/>
        </w:rPr>
      </w:pPr>
      <w:r w:rsidRPr="00FB590B">
        <w:rPr>
          <w:rFonts w:ascii="Book Antiqua" w:hAnsi="Book Antiqua"/>
        </w:rPr>
        <w:t xml:space="preserve">No obstante, se requiere que los anticonceptivos sean </w:t>
      </w:r>
      <w:r w:rsidR="007B33A0" w:rsidRPr="00FB590B">
        <w:rPr>
          <w:rFonts w:ascii="Book Antiqua" w:hAnsi="Book Antiqua"/>
        </w:rPr>
        <w:t>dispensados</w:t>
      </w:r>
      <w:r w:rsidRPr="00FB590B">
        <w:rPr>
          <w:rFonts w:ascii="Book Antiqua" w:hAnsi="Book Antiqua"/>
        </w:rPr>
        <w:t xml:space="preserve"> sin la necesidad de presentar receta médica,</w:t>
      </w:r>
      <w:r w:rsidR="007B33A0" w:rsidRPr="00FB590B">
        <w:rPr>
          <w:rFonts w:ascii="Book Antiqua" w:hAnsi="Book Antiqua"/>
        </w:rPr>
        <w:t xml:space="preserve"> a lo menos durante periodos de alerta sanitaria que se produzcan con ocasión de una epidemia o pandemia, </w:t>
      </w:r>
      <w:r w:rsidRPr="00FB590B">
        <w:rPr>
          <w:rFonts w:ascii="Book Antiqua" w:hAnsi="Book Antiqua"/>
        </w:rPr>
        <w:t xml:space="preserve">facilitando el acceso a quienes lo requieran, eliminando las barreras, más aún que la venta presencial y la asistencia a un centro de salud para adquirir la receta correspondiente, se hace aún más dificultoso durante la crisis sanitaria del COVID-19. </w:t>
      </w:r>
    </w:p>
    <w:p w14:paraId="7E313169" w14:textId="18B68AA2" w:rsidR="00CB590E" w:rsidRPr="00FB590B" w:rsidRDefault="007B33A0" w:rsidP="00627A87">
      <w:pPr>
        <w:spacing w:line="360" w:lineRule="auto"/>
        <w:ind w:firstLine="708"/>
        <w:jc w:val="both"/>
        <w:rPr>
          <w:rFonts w:ascii="Book Antiqua" w:hAnsi="Book Antiqua"/>
        </w:rPr>
      </w:pPr>
      <w:r w:rsidRPr="00FB590B">
        <w:rPr>
          <w:rFonts w:ascii="Book Antiqua" w:hAnsi="Book Antiqua"/>
        </w:rPr>
        <w:t>Por los antecedentes antes expuestos es que vengo en presentar el siguiente proyecto de ley:</w:t>
      </w:r>
    </w:p>
    <w:p w14:paraId="6A9BAB59" w14:textId="6F8A3729" w:rsidR="007B33A0" w:rsidRPr="00FB590B" w:rsidRDefault="00DA2DF4" w:rsidP="00FB590B">
      <w:pPr>
        <w:spacing w:line="360" w:lineRule="auto"/>
        <w:rPr>
          <w:rFonts w:ascii="Book Antiqua" w:hAnsi="Book Antiqua"/>
          <w:b/>
          <w:bCs/>
        </w:rPr>
      </w:pPr>
      <w:r w:rsidRPr="00FB590B">
        <w:rPr>
          <w:rFonts w:ascii="Book Antiqua" w:hAnsi="Book Antiqua"/>
          <w:b/>
          <w:bCs/>
        </w:rPr>
        <w:t>PROYECTO DE LEY</w:t>
      </w:r>
    </w:p>
    <w:p w14:paraId="1F5CF2EF" w14:textId="77777777" w:rsidR="007B33A0" w:rsidRPr="00FB590B" w:rsidRDefault="007B33A0" w:rsidP="00627A87">
      <w:pPr>
        <w:spacing w:line="360" w:lineRule="auto"/>
        <w:jc w:val="both"/>
        <w:rPr>
          <w:rFonts w:ascii="Book Antiqua" w:hAnsi="Book Antiqua"/>
          <w:lang w:val="es-MX"/>
        </w:rPr>
      </w:pPr>
      <w:r w:rsidRPr="00FB590B">
        <w:rPr>
          <w:rFonts w:ascii="Book Antiqua" w:hAnsi="Book Antiqua"/>
          <w:lang w:val="es-MX"/>
        </w:rPr>
        <w:t>Modificase el Decreto con Fuerza de Ley n° 725 Código Sanitario de la siguiente manera:</w:t>
      </w:r>
    </w:p>
    <w:p w14:paraId="30F02290" w14:textId="4BE07891" w:rsidR="00EB2255" w:rsidRPr="00FB590B" w:rsidRDefault="00EB2255" w:rsidP="00627A87">
      <w:pPr>
        <w:spacing w:line="360" w:lineRule="auto"/>
        <w:jc w:val="both"/>
        <w:rPr>
          <w:rFonts w:ascii="Book Antiqua" w:hAnsi="Book Antiqua"/>
          <w:lang w:val="es-MX"/>
        </w:rPr>
      </w:pPr>
      <w:r w:rsidRPr="00FB590B">
        <w:rPr>
          <w:rFonts w:ascii="Book Antiqua" w:hAnsi="Book Antiqua"/>
          <w:lang w:val="es-MX"/>
        </w:rPr>
        <w:t>Agrégase un nuevo inciso segundo al artículo 100 pasando el actual a ser tercero y así sucesivamente, del siguiente tenor:</w:t>
      </w:r>
    </w:p>
    <w:p w14:paraId="34356819" w14:textId="0ADB6124" w:rsidR="007B33A0" w:rsidRPr="00FB590B" w:rsidRDefault="00EB2255" w:rsidP="00627A87">
      <w:pPr>
        <w:spacing w:line="360" w:lineRule="auto"/>
        <w:jc w:val="both"/>
        <w:rPr>
          <w:rFonts w:ascii="Book Antiqua" w:hAnsi="Book Antiqua"/>
          <w:lang w:val="es-MX"/>
        </w:rPr>
      </w:pPr>
      <w:r w:rsidRPr="00FB590B">
        <w:rPr>
          <w:rFonts w:ascii="Book Antiqua" w:hAnsi="Book Antiqua"/>
          <w:lang w:val="es-MX"/>
        </w:rPr>
        <w:t>“En las circunstancias previstas en el artículo 36 de este Código y hasta los seis meses posteriores a la fecha de su término, cuando los respectivos registros sanitarios no establezcan condición de venta directa, los medicamentos anticonceptivos y demás productos farmacéuticos que determine la autoridad sanitaria, podrán venderse al público sin exhibición de la correspondiente receta.</w:t>
      </w:r>
      <w:r w:rsidR="00627A87" w:rsidRPr="00FB590B">
        <w:rPr>
          <w:rFonts w:ascii="Book Antiqua" w:hAnsi="Book Antiqua"/>
          <w:lang w:val="es-MX"/>
        </w:rPr>
        <w:t>”</w:t>
      </w:r>
    </w:p>
    <w:p w14:paraId="78E58298" w14:textId="17CFEED7" w:rsidR="00A530B2" w:rsidRPr="00FB590B" w:rsidRDefault="00A530B2" w:rsidP="00627A87">
      <w:pPr>
        <w:spacing w:line="360" w:lineRule="auto"/>
        <w:jc w:val="both"/>
        <w:rPr>
          <w:rFonts w:ascii="Book Antiqua" w:hAnsi="Book Antiqua"/>
          <w:lang w:val="es-MX"/>
        </w:rPr>
      </w:pPr>
    </w:p>
    <w:p w14:paraId="3EF3725E" w14:textId="76448E8F" w:rsidR="002E23CE" w:rsidRPr="00FB590B" w:rsidRDefault="00A530B2" w:rsidP="00FB590B">
      <w:pPr>
        <w:spacing w:line="360" w:lineRule="auto"/>
        <w:jc w:val="both"/>
        <w:rPr>
          <w:rFonts w:ascii="Book Antiqua" w:hAnsi="Book Antiqua"/>
          <w:lang w:val="es-MX"/>
        </w:rPr>
      </w:pPr>
      <w:r w:rsidRPr="00FB590B">
        <w:rPr>
          <w:rFonts w:ascii="Book Antiqua" w:hAnsi="Book Antiqua"/>
          <w:lang w:val="es-MX"/>
        </w:rPr>
        <w:t xml:space="preserve">ARTICULO TRANSITORIO: “Terminadas las circunstancias previstas en el artículo 36 del Código Sanitario, en su caso el decreto de alerta sanitaria con ocasión de una epidemia o </w:t>
      </w:r>
      <w:r w:rsidRPr="00FB590B">
        <w:rPr>
          <w:rFonts w:ascii="Book Antiqua" w:hAnsi="Book Antiqua"/>
          <w:lang w:val="es-MX"/>
        </w:rPr>
        <w:lastRenderedPageBreak/>
        <w:t>pandemia, el Ministerio de Salud reglamentará la venta de los medicamentos anticonceptivos sin exhibición de receta médica</w:t>
      </w:r>
      <w:r w:rsidR="003C0AAF" w:rsidRPr="00FB590B">
        <w:rPr>
          <w:rFonts w:ascii="Book Antiqua" w:hAnsi="Book Antiqua"/>
          <w:lang w:val="es-MX"/>
        </w:rPr>
        <w:t>, cuando el o la requirente ya tenga una prescripción médica indicada</w:t>
      </w:r>
      <w:r w:rsidR="003E3675" w:rsidRPr="00FB590B">
        <w:rPr>
          <w:rFonts w:ascii="Book Antiqua" w:hAnsi="Book Antiqua"/>
          <w:lang w:val="es-MX"/>
        </w:rPr>
        <w:t>.”</w:t>
      </w:r>
    </w:p>
    <w:sectPr w:rsidR="002E23CE" w:rsidRPr="00FB59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FF"/>
    <w:rsid w:val="00007AFF"/>
    <w:rsid w:val="00075851"/>
    <w:rsid w:val="00167BAE"/>
    <w:rsid w:val="002229E2"/>
    <w:rsid w:val="00272C44"/>
    <w:rsid w:val="002E23CE"/>
    <w:rsid w:val="003C0AAF"/>
    <w:rsid w:val="003E3675"/>
    <w:rsid w:val="00462C2E"/>
    <w:rsid w:val="004D5206"/>
    <w:rsid w:val="00627A87"/>
    <w:rsid w:val="007B33A0"/>
    <w:rsid w:val="009679F6"/>
    <w:rsid w:val="009F0504"/>
    <w:rsid w:val="00A530B2"/>
    <w:rsid w:val="00B15044"/>
    <w:rsid w:val="00B30C90"/>
    <w:rsid w:val="00CB590E"/>
    <w:rsid w:val="00DA2DF4"/>
    <w:rsid w:val="00EB2255"/>
    <w:rsid w:val="00FB590B"/>
    <w:rsid w:val="00FD34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F19C"/>
  <w15:chartTrackingRefBased/>
  <w15:docId w15:val="{07621E2B-C120-4D18-87A5-31DC7FC8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FB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fullerton</dc:creator>
  <cp:keywords/>
  <dc:description/>
  <cp:lastModifiedBy>Maria Jesus</cp:lastModifiedBy>
  <cp:revision>2</cp:revision>
  <dcterms:created xsi:type="dcterms:W3CDTF">2021-04-14T02:36:00Z</dcterms:created>
  <dcterms:modified xsi:type="dcterms:W3CDTF">2021-04-14T02:36:00Z</dcterms:modified>
</cp:coreProperties>
</file>