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114A9" w14:textId="77777777" w:rsidR="002B3DAC" w:rsidRPr="002B3DAC" w:rsidRDefault="002B3DAC" w:rsidP="002B3DAC">
      <w:pPr>
        <w:spacing w:after="0" w:line="240" w:lineRule="auto"/>
        <w:jc w:val="right"/>
        <w:rPr>
          <w:rFonts w:ascii="Times New Roman" w:eastAsia="Times New Roman" w:hAnsi="Times New Roman"/>
          <w:b/>
          <w:bCs/>
          <w:sz w:val="24"/>
          <w:szCs w:val="24"/>
          <w:lang w:eastAsia="es-ES_tradnl"/>
        </w:rPr>
      </w:pPr>
      <w:r w:rsidRPr="002B3DAC">
        <w:rPr>
          <w:rFonts w:ascii="Times New Roman" w:eastAsia="Times New Roman" w:hAnsi="Times New Roman"/>
          <w:b/>
          <w:bCs/>
          <w:color w:val="000000"/>
          <w:sz w:val="24"/>
          <w:szCs w:val="24"/>
          <w:lang w:eastAsia="es-ES_tradnl"/>
        </w:rPr>
        <w:t>Boletín N° 14.591-07</w:t>
      </w:r>
    </w:p>
    <w:p w14:paraId="4618CBD1" w14:textId="77777777" w:rsidR="002B3DAC" w:rsidRPr="002B3DAC" w:rsidRDefault="002B3DAC" w:rsidP="002B3DAC">
      <w:pPr>
        <w:spacing w:after="0" w:line="240" w:lineRule="auto"/>
        <w:jc w:val="both"/>
        <w:rPr>
          <w:rFonts w:ascii="Times New Roman" w:eastAsia="Times New Roman" w:hAnsi="Times New Roman"/>
          <w:b/>
          <w:bCs/>
          <w:color w:val="000000"/>
          <w:sz w:val="24"/>
          <w:szCs w:val="24"/>
          <w:lang w:eastAsia="es-ES_tradnl"/>
        </w:rPr>
      </w:pPr>
    </w:p>
    <w:p w14:paraId="42300F53" w14:textId="77777777" w:rsidR="002B3DAC" w:rsidRPr="002B3DAC" w:rsidRDefault="002B3DAC" w:rsidP="002B3DAC">
      <w:pPr>
        <w:spacing w:after="0" w:line="240" w:lineRule="auto"/>
        <w:jc w:val="both"/>
        <w:rPr>
          <w:rFonts w:ascii="Times New Roman" w:eastAsia="Times New Roman" w:hAnsi="Times New Roman"/>
          <w:b/>
          <w:bCs/>
          <w:color w:val="000000"/>
          <w:sz w:val="24"/>
          <w:szCs w:val="24"/>
          <w:lang w:eastAsia="es-ES_tradnl"/>
        </w:rPr>
      </w:pPr>
      <w:r w:rsidRPr="002B3DAC">
        <w:rPr>
          <w:rFonts w:ascii="Times New Roman" w:eastAsia="Times New Roman" w:hAnsi="Times New Roman"/>
          <w:b/>
          <w:bCs/>
          <w:color w:val="000000"/>
          <w:sz w:val="24"/>
          <w:szCs w:val="24"/>
          <w:lang w:eastAsia="es-ES_tradnl"/>
        </w:rPr>
        <w:t>Proyecto de ley, iniciado en moción de los Honorables Senadores señora Rincón y señores Araya, De Urresti, Huenchumilla y Latorre, que modifica el Código Procesal Penal para incorporar criterios en la determinación de la prisión preventiva.</w:t>
      </w:r>
    </w:p>
    <w:p w14:paraId="5646C21E" w14:textId="77777777" w:rsidR="002B3DAC" w:rsidRPr="002B3DAC" w:rsidRDefault="002B3DAC" w:rsidP="002B3DAC">
      <w:pPr>
        <w:spacing w:after="0" w:line="240" w:lineRule="auto"/>
        <w:jc w:val="both"/>
        <w:rPr>
          <w:rFonts w:ascii="Times New Roman" w:eastAsia="Times New Roman" w:hAnsi="Times New Roman"/>
          <w:b/>
          <w:bCs/>
          <w:color w:val="000000"/>
          <w:sz w:val="24"/>
          <w:szCs w:val="24"/>
          <w:lang w:eastAsia="es-ES_tradnl"/>
        </w:rPr>
      </w:pPr>
    </w:p>
    <w:p w14:paraId="78443869" w14:textId="77777777" w:rsidR="00843858" w:rsidRPr="002B3DAC" w:rsidRDefault="00843858" w:rsidP="001C2888">
      <w:pPr>
        <w:shd w:val="clear" w:color="auto" w:fill="FFFFFF"/>
        <w:spacing w:after="0" w:line="240" w:lineRule="auto"/>
        <w:rPr>
          <w:rFonts w:ascii="Times New Roman" w:hAnsi="Times New Roman"/>
          <w:sz w:val="24"/>
          <w:szCs w:val="24"/>
        </w:rPr>
      </w:pPr>
    </w:p>
    <w:p w14:paraId="6C35111F" w14:textId="77777777" w:rsidR="001C2888" w:rsidRPr="002B3DAC" w:rsidRDefault="001038DD" w:rsidP="001C2888">
      <w:pPr>
        <w:shd w:val="clear" w:color="auto" w:fill="FFFFFF"/>
        <w:spacing w:after="0" w:line="240" w:lineRule="auto"/>
        <w:rPr>
          <w:rFonts w:ascii="Times New Roman" w:hAnsi="Times New Roman"/>
          <w:sz w:val="24"/>
          <w:szCs w:val="24"/>
        </w:rPr>
      </w:pPr>
      <w:r w:rsidRPr="002B3DAC">
        <w:rPr>
          <w:rFonts w:ascii="Times New Roman" w:hAnsi="Times New Roman"/>
          <w:sz w:val="24"/>
          <w:szCs w:val="24"/>
        </w:rPr>
        <w:t>FUNDAMENTOS POLÍTICOS</w:t>
      </w:r>
      <w:r w:rsidR="00744962" w:rsidRPr="002B3DAC">
        <w:rPr>
          <w:rFonts w:ascii="Times New Roman" w:hAnsi="Times New Roman"/>
          <w:sz w:val="24"/>
          <w:szCs w:val="24"/>
        </w:rPr>
        <w:t>.</w:t>
      </w:r>
    </w:p>
    <w:p w14:paraId="4ADED191" w14:textId="77777777" w:rsidR="00744962" w:rsidRPr="002B3DAC" w:rsidRDefault="00744962" w:rsidP="001C2888">
      <w:pPr>
        <w:shd w:val="clear" w:color="auto" w:fill="FFFFFF"/>
        <w:spacing w:after="0" w:line="240" w:lineRule="auto"/>
        <w:rPr>
          <w:rFonts w:ascii="Times New Roman" w:hAnsi="Times New Roman"/>
          <w:sz w:val="24"/>
          <w:szCs w:val="24"/>
          <w:u w:val="single"/>
        </w:rPr>
      </w:pPr>
    </w:p>
    <w:p w14:paraId="611A7287" w14:textId="77777777" w:rsidR="001C2888" w:rsidRPr="002B3DAC" w:rsidRDefault="001C2888" w:rsidP="001C2888">
      <w:pPr>
        <w:shd w:val="clear" w:color="auto" w:fill="FFFFFF"/>
        <w:spacing w:after="0" w:line="240" w:lineRule="auto"/>
        <w:jc w:val="both"/>
        <w:textAlignment w:val="baseline"/>
        <w:rPr>
          <w:rFonts w:ascii="Times New Roman" w:eastAsia="Times New Roman" w:hAnsi="Times New Roman"/>
          <w:color w:val="000000"/>
          <w:sz w:val="24"/>
          <w:szCs w:val="24"/>
          <w:lang w:eastAsia="es-CL"/>
        </w:rPr>
      </w:pPr>
      <w:r w:rsidRPr="002B3DAC">
        <w:rPr>
          <w:rFonts w:ascii="Times New Roman" w:eastAsia="Times New Roman" w:hAnsi="Times New Roman"/>
          <w:color w:val="000000"/>
          <w:sz w:val="24"/>
          <w:szCs w:val="24"/>
          <w:lang w:eastAsia="es-CL"/>
        </w:rPr>
        <w:t xml:space="preserve">La prisión preventiva ha merecido profundos debates en la doctrina, principalmente por la forma en que ha sido utilizada en los países latinoamericanos, identificándola como el modo de reacción penal del sistema de administración de Justicia Criminal por excelencia, convirtiéndose en un mecanismo de control social utilizado en forma constante sin tener en cuenta criterios de proporcionalidad o racionalidad, siendo la regla la prisión preventiva y la excepción la libertad en abierta contradicción con los postulados constitucionales. </w:t>
      </w:r>
    </w:p>
    <w:p w14:paraId="4EA8907D" w14:textId="77777777" w:rsidR="001C2888" w:rsidRPr="002B3DAC" w:rsidRDefault="001C2888" w:rsidP="001C2888">
      <w:pPr>
        <w:shd w:val="clear" w:color="auto" w:fill="FFFFFF"/>
        <w:spacing w:after="0" w:line="240" w:lineRule="auto"/>
        <w:jc w:val="both"/>
        <w:textAlignment w:val="baseline"/>
        <w:rPr>
          <w:rFonts w:ascii="Times New Roman" w:eastAsia="Times New Roman" w:hAnsi="Times New Roman"/>
          <w:color w:val="000000"/>
          <w:sz w:val="24"/>
          <w:szCs w:val="24"/>
          <w:lang w:eastAsia="es-CL"/>
        </w:rPr>
      </w:pPr>
    </w:p>
    <w:p w14:paraId="33BBF762" w14:textId="77777777" w:rsidR="001C2888" w:rsidRPr="002B3DAC" w:rsidRDefault="001C2888" w:rsidP="002B3DAC">
      <w:pPr>
        <w:shd w:val="clear" w:color="auto" w:fill="FFFFFF"/>
        <w:spacing w:after="0" w:line="240" w:lineRule="auto"/>
        <w:jc w:val="both"/>
        <w:textAlignment w:val="baseline"/>
        <w:rPr>
          <w:rFonts w:ascii="Times New Roman" w:eastAsia="Times New Roman" w:hAnsi="Times New Roman"/>
          <w:color w:val="000000"/>
          <w:sz w:val="24"/>
          <w:szCs w:val="24"/>
          <w:lang w:eastAsia="es-CL"/>
        </w:rPr>
      </w:pPr>
      <w:r w:rsidRPr="002B3DAC">
        <w:rPr>
          <w:rFonts w:ascii="Times New Roman" w:eastAsia="Times New Roman" w:hAnsi="Times New Roman"/>
          <w:color w:val="000000"/>
          <w:sz w:val="24"/>
          <w:szCs w:val="24"/>
          <w:lang w:eastAsia="es-CL"/>
        </w:rPr>
        <w:t>La prisión preventiva es una de las más graves intromisiones que puede ejercer el poder penal del Estado en la esfera de la libertad del individuo, sin que medie todavía una sentencia penal firme que la justifique. En consecuencia, sólo puede estar justificada en la medida que resulte absolutamente imprescindible para la defensa de los bienes jurídicos fundamentales y en la medida en que no haya otros mecanismos menos radicales para conseguirla, por lo que no debe prolongarse más de lo necesario.</w:t>
      </w:r>
    </w:p>
    <w:p w14:paraId="4D0E3AA0" w14:textId="77777777" w:rsidR="001C2888" w:rsidRPr="002B3DAC" w:rsidRDefault="001C2888" w:rsidP="001C2888">
      <w:pPr>
        <w:shd w:val="clear" w:color="auto" w:fill="FFFFFF"/>
        <w:spacing w:after="0" w:line="240" w:lineRule="auto"/>
        <w:textAlignment w:val="baseline"/>
        <w:rPr>
          <w:rFonts w:ascii="Times New Roman" w:eastAsia="Times New Roman" w:hAnsi="Times New Roman"/>
          <w:color w:val="000000"/>
          <w:sz w:val="24"/>
          <w:szCs w:val="24"/>
          <w:lang w:eastAsia="es-CL"/>
        </w:rPr>
      </w:pPr>
    </w:p>
    <w:p w14:paraId="35EBE5AA" w14:textId="77777777" w:rsidR="001C2888" w:rsidRPr="002B3DAC" w:rsidRDefault="001C2888" w:rsidP="001C2888">
      <w:pPr>
        <w:shd w:val="clear" w:color="auto" w:fill="FFFFFF"/>
        <w:spacing w:after="0" w:line="240" w:lineRule="auto"/>
        <w:jc w:val="both"/>
        <w:textAlignment w:val="baseline"/>
        <w:rPr>
          <w:rFonts w:ascii="Times New Roman" w:eastAsia="Times New Roman" w:hAnsi="Times New Roman"/>
          <w:color w:val="000000"/>
          <w:sz w:val="24"/>
          <w:szCs w:val="24"/>
          <w:lang w:eastAsia="es-CL"/>
        </w:rPr>
      </w:pPr>
      <w:r w:rsidRPr="002B3DAC">
        <w:rPr>
          <w:rFonts w:ascii="Times New Roman" w:eastAsia="Times New Roman" w:hAnsi="Times New Roman"/>
          <w:color w:val="000000"/>
          <w:sz w:val="24"/>
          <w:szCs w:val="24"/>
          <w:lang w:eastAsia="es-CL"/>
        </w:rPr>
        <w:t>Desde ningún punto de vista puede atribuirse a la prisión preventiva la función de anticipar la pena, ni desde el punto de vista punitivo, ni desde la perspectiva intimidatoria o ejemplar. Esto es evidente porque sólo partiendo de la presunción de culpabilidad del imputado, se puede justificar su reclusión con fines de intimidación o de ejemplo</w:t>
      </w:r>
      <w:r w:rsidR="00C87DA2" w:rsidRPr="002B3DAC">
        <w:rPr>
          <w:rFonts w:ascii="Times New Roman" w:eastAsia="Times New Roman" w:hAnsi="Times New Roman"/>
          <w:color w:val="000000"/>
          <w:sz w:val="24"/>
          <w:szCs w:val="24"/>
          <w:lang w:eastAsia="es-CL"/>
        </w:rPr>
        <w:t xml:space="preserve"> </w:t>
      </w:r>
      <w:r w:rsidR="00964E8C" w:rsidRPr="002B3DAC">
        <w:rPr>
          <w:rFonts w:ascii="Times New Roman" w:eastAsia="Times New Roman" w:hAnsi="Times New Roman"/>
          <w:color w:val="000000"/>
          <w:sz w:val="24"/>
          <w:szCs w:val="24"/>
          <w:lang w:eastAsia="es-CL"/>
        </w:rPr>
        <w:t xml:space="preserve">, </w:t>
      </w:r>
      <w:r w:rsidR="00152F1F" w:rsidRPr="002B3DAC">
        <w:rPr>
          <w:rFonts w:ascii="Times New Roman" w:eastAsia="Times New Roman" w:hAnsi="Times New Roman"/>
          <w:color w:val="000000"/>
          <w:sz w:val="24"/>
          <w:szCs w:val="24"/>
          <w:lang w:eastAsia="es-CL"/>
        </w:rPr>
        <w:t>es decir, de</w:t>
      </w:r>
      <w:r w:rsidR="00964E8C" w:rsidRPr="002B3DAC">
        <w:rPr>
          <w:rFonts w:ascii="Times New Roman" w:eastAsia="Times New Roman" w:hAnsi="Times New Roman"/>
          <w:color w:val="000000"/>
          <w:sz w:val="24"/>
          <w:szCs w:val="24"/>
          <w:lang w:eastAsia="es-CL"/>
        </w:rPr>
        <w:t xml:space="preserve"> </w:t>
      </w:r>
      <w:r w:rsidR="00C87DA2" w:rsidRPr="002B3DAC">
        <w:rPr>
          <w:rFonts w:ascii="Times New Roman" w:eastAsia="Times New Roman" w:hAnsi="Times New Roman"/>
          <w:sz w:val="24"/>
          <w:szCs w:val="24"/>
          <w:lang w:eastAsia="es-CL"/>
        </w:rPr>
        <w:t>prevención general</w:t>
      </w:r>
      <w:r w:rsidRPr="002B3DAC">
        <w:rPr>
          <w:rFonts w:ascii="Times New Roman" w:eastAsia="Times New Roman" w:hAnsi="Times New Roman"/>
          <w:color w:val="000000"/>
          <w:sz w:val="24"/>
          <w:szCs w:val="24"/>
          <w:lang w:eastAsia="es-CL"/>
        </w:rPr>
        <w:t xml:space="preserve">. </w:t>
      </w:r>
    </w:p>
    <w:p w14:paraId="35D686EC" w14:textId="77777777" w:rsidR="001C2888" w:rsidRPr="002B3DAC" w:rsidRDefault="001C2888" w:rsidP="001C2888">
      <w:pPr>
        <w:shd w:val="clear" w:color="auto" w:fill="FFFFFF"/>
        <w:spacing w:after="0" w:line="240" w:lineRule="auto"/>
        <w:textAlignment w:val="baseline"/>
        <w:rPr>
          <w:rFonts w:ascii="Times New Roman" w:eastAsia="Times New Roman" w:hAnsi="Times New Roman"/>
          <w:color w:val="000000"/>
          <w:sz w:val="24"/>
          <w:szCs w:val="24"/>
          <w:lang w:eastAsia="es-CL"/>
        </w:rPr>
      </w:pPr>
    </w:p>
    <w:p w14:paraId="0202CF40" w14:textId="77777777" w:rsidR="001C2888" w:rsidRPr="002B3DAC" w:rsidRDefault="001C2888" w:rsidP="001C2888">
      <w:pPr>
        <w:shd w:val="clear" w:color="auto" w:fill="FFFFFF"/>
        <w:spacing w:after="0" w:line="240" w:lineRule="auto"/>
        <w:jc w:val="both"/>
        <w:textAlignment w:val="baseline"/>
        <w:rPr>
          <w:rFonts w:ascii="Times New Roman" w:eastAsia="Times New Roman" w:hAnsi="Times New Roman"/>
          <w:color w:val="000000"/>
          <w:sz w:val="24"/>
          <w:szCs w:val="24"/>
          <w:lang w:eastAsia="es-CL"/>
        </w:rPr>
      </w:pPr>
      <w:r w:rsidRPr="002B3DAC">
        <w:rPr>
          <w:rFonts w:ascii="Times New Roman" w:eastAsia="Times New Roman" w:hAnsi="Times New Roman"/>
          <w:color w:val="000000"/>
          <w:sz w:val="24"/>
          <w:szCs w:val="24"/>
          <w:lang w:eastAsia="es-CL"/>
        </w:rPr>
        <w:t xml:space="preserve">Tampoco puede atribuirse a la prisión preventiva un fin de prevención especial, a los efectos de evitar la comisión de otros delitos por la persona a la que se le priva su libertad, porque dicha concepción conlleva una presunción de culpabilidad, entendiéndose la privación de libertad como un remedio frente a la temida peligrosidad del imputado, </w:t>
      </w:r>
      <w:r w:rsidR="009D7D8C" w:rsidRPr="002B3DAC">
        <w:rPr>
          <w:rFonts w:ascii="Times New Roman" w:eastAsia="Times New Roman" w:hAnsi="Times New Roman"/>
          <w:color w:val="000000"/>
          <w:sz w:val="24"/>
          <w:szCs w:val="24"/>
          <w:lang w:eastAsia="es-CL"/>
        </w:rPr>
        <w:t xml:space="preserve"> en circunstancias </w:t>
      </w:r>
      <w:r w:rsidRPr="002B3DAC">
        <w:rPr>
          <w:rFonts w:ascii="Times New Roman" w:eastAsia="Times New Roman" w:hAnsi="Times New Roman"/>
          <w:color w:val="000000"/>
          <w:sz w:val="24"/>
          <w:szCs w:val="24"/>
          <w:lang w:eastAsia="es-CL"/>
        </w:rPr>
        <w:t>que dicha peligrosidad sólo puede ser valorada cuando se tenga la certeza de que es culpable y así se establezca en la sentencia definitiva. Por las mismas razones, no es defendible la tesis de que la prisión preventiva deba cumplir la función de calmar la alarma social que haya podido producir el hecho delictivo, cuando aún no se haya determinado quien es el responsable.</w:t>
      </w:r>
    </w:p>
    <w:p w14:paraId="40D5709D" w14:textId="77777777" w:rsidR="001C2888" w:rsidRPr="002B3DAC" w:rsidRDefault="001C2888" w:rsidP="001C2888">
      <w:pPr>
        <w:shd w:val="clear" w:color="auto" w:fill="FFFFFF"/>
        <w:spacing w:after="0" w:line="240" w:lineRule="auto"/>
        <w:jc w:val="both"/>
        <w:textAlignment w:val="baseline"/>
        <w:rPr>
          <w:rFonts w:ascii="Times New Roman" w:eastAsia="Times New Roman" w:hAnsi="Times New Roman"/>
          <w:color w:val="000000"/>
          <w:sz w:val="24"/>
          <w:szCs w:val="24"/>
          <w:lang w:eastAsia="es-CL"/>
        </w:rPr>
      </w:pPr>
    </w:p>
    <w:p w14:paraId="574E10E0" w14:textId="77777777" w:rsidR="001C2888" w:rsidRPr="002B3DAC" w:rsidRDefault="001C2888" w:rsidP="001C2888">
      <w:pPr>
        <w:shd w:val="clear" w:color="auto" w:fill="FFFFFF"/>
        <w:spacing w:after="300" w:line="240" w:lineRule="auto"/>
        <w:jc w:val="both"/>
        <w:textAlignment w:val="baseline"/>
        <w:rPr>
          <w:rFonts w:ascii="Times New Roman" w:eastAsia="Times New Roman" w:hAnsi="Times New Roman"/>
          <w:color w:val="000000"/>
          <w:sz w:val="24"/>
          <w:szCs w:val="24"/>
          <w:lang w:eastAsia="es-CL"/>
        </w:rPr>
      </w:pPr>
      <w:r w:rsidRPr="002B3DAC">
        <w:rPr>
          <w:rFonts w:ascii="Times New Roman" w:eastAsia="Times New Roman" w:hAnsi="Times New Roman"/>
          <w:color w:val="000000"/>
          <w:sz w:val="24"/>
          <w:szCs w:val="24"/>
          <w:lang w:eastAsia="es-CL"/>
        </w:rPr>
        <w:t>Sin embargo, es lo que ha estado sucediendo desde que el modelo penal garantista que fundado en el pleno respecto a los derechos y libertades fundamentales de las personas motivó la reforma de los procesos penales en toda Latinoamérica, comenzó a ser superado por el modelo penal de la seguridad ciudadana, que tiene interés en socavar subprincipios tales como el monopolio estatal del ius puniendi, otorgando un protagonismo creciente a las demandas de las víctimas, el principio de humanidad o proporcionalidad de las penas, o el aseguramiento de su componente resocializador.</w:t>
      </w:r>
      <w:r w:rsidRPr="002B3DAC">
        <w:rPr>
          <w:rStyle w:val="Refdenotaalpie"/>
          <w:rFonts w:ascii="Times New Roman" w:eastAsia="Times New Roman" w:hAnsi="Times New Roman"/>
          <w:color w:val="000000"/>
          <w:sz w:val="24"/>
          <w:szCs w:val="24"/>
          <w:lang w:eastAsia="es-CL"/>
        </w:rPr>
        <w:footnoteReference w:id="2"/>
      </w:r>
      <w:r w:rsidRPr="002B3DAC">
        <w:rPr>
          <w:rFonts w:ascii="Times New Roman" w:eastAsia="Times New Roman" w:hAnsi="Times New Roman"/>
          <w:color w:val="000000"/>
          <w:sz w:val="24"/>
          <w:szCs w:val="24"/>
          <w:lang w:eastAsia="es-CL"/>
        </w:rPr>
        <w:t xml:space="preserve"> El modelo penal de la seguridad ciudadana, a su vez, se inscribe en el “</w:t>
      </w:r>
      <w:proofErr w:type="spellStart"/>
      <w:r w:rsidRPr="002B3DAC">
        <w:rPr>
          <w:rFonts w:ascii="Times New Roman" w:eastAsia="Times New Roman" w:hAnsi="Times New Roman"/>
          <w:color w:val="000000"/>
          <w:sz w:val="24"/>
          <w:szCs w:val="24"/>
          <w:lang w:eastAsia="es-CL"/>
        </w:rPr>
        <w:t>neopunitivismo</w:t>
      </w:r>
      <w:proofErr w:type="spellEnd"/>
      <w:r w:rsidRPr="002B3DAC">
        <w:rPr>
          <w:rFonts w:ascii="Times New Roman" w:eastAsia="Times New Roman" w:hAnsi="Times New Roman"/>
          <w:color w:val="000000"/>
          <w:sz w:val="24"/>
          <w:szCs w:val="24"/>
          <w:lang w:eastAsia="es-CL"/>
        </w:rPr>
        <w:t xml:space="preserve">”, o fenómeno de expansión e intensificación de la legislación y aplicación del derecho penal, que implica el abandono de la tradicional idea de que es un derecho “de última ratio”, para pasar a conformar un elemento clave y central de la </w:t>
      </w:r>
      <w:r w:rsidRPr="002B3DAC">
        <w:rPr>
          <w:rFonts w:ascii="Times New Roman" w:eastAsia="Times New Roman" w:hAnsi="Times New Roman"/>
          <w:color w:val="000000"/>
          <w:sz w:val="24"/>
          <w:szCs w:val="24"/>
          <w:lang w:eastAsia="es-CL"/>
        </w:rPr>
        <w:lastRenderedPageBreak/>
        <w:t>política social en general y de la gestión de gobierno</w:t>
      </w:r>
      <w:r w:rsidRPr="002B3DAC">
        <w:rPr>
          <w:rStyle w:val="Refdenotaalpie"/>
          <w:rFonts w:ascii="Times New Roman" w:eastAsia="Times New Roman" w:hAnsi="Times New Roman"/>
          <w:color w:val="000000"/>
          <w:sz w:val="24"/>
          <w:szCs w:val="24"/>
          <w:lang w:eastAsia="es-CL"/>
        </w:rPr>
        <w:footnoteReference w:id="3"/>
      </w:r>
      <w:r w:rsidRPr="002B3DAC">
        <w:rPr>
          <w:rFonts w:ascii="Times New Roman" w:eastAsia="Times New Roman" w:hAnsi="Times New Roman"/>
          <w:color w:val="000000"/>
          <w:sz w:val="24"/>
          <w:szCs w:val="24"/>
          <w:lang w:eastAsia="es-CL"/>
        </w:rPr>
        <w:t>. Por ello, Daniel Pastor, define el modelo penal de la seguridad ciudadana como “una corriente político-criminal que se caracteriza por la renovación de la creencia mesiánica de que el poder punitivo puede y debe llegar a todos los rincones de la vida social (…)”, y tiene como rasgo distintivo que engloba sus componentes, una “marcada deshumanización y un recrudecimiento sancionador creciente (…)una legislación y una ampliación judicial del Derecho que tiende al intervencionismo y a la restricción de no pocas de las garantías político-criminales clásicas”</w:t>
      </w:r>
      <w:r w:rsidRPr="002B3DAC">
        <w:rPr>
          <w:rStyle w:val="Refdenotaalpie"/>
          <w:rFonts w:ascii="Times New Roman" w:eastAsia="Times New Roman" w:hAnsi="Times New Roman"/>
          <w:color w:val="000000"/>
          <w:sz w:val="24"/>
          <w:szCs w:val="24"/>
          <w:lang w:eastAsia="es-CL"/>
        </w:rPr>
        <w:footnoteReference w:id="4"/>
      </w:r>
      <w:r w:rsidRPr="002B3DAC">
        <w:rPr>
          <w:rFonts w:ascii="Times New Roman" w:eastAsia="Times New Roman" w:hAnsi="Times New Roman"/>
          <w:color w:val="000000"/>
          <w:sz w:val="24"/>
          <w:szCs w:val="24"/>
          <w:lang w:eastAsia="es-CL"/>
        </w:rPr>
        <w:t xml:space="preserve">. Los ejemplos paradigmáticos de medidas que evidencian el </w:t>
      </w:r>
      <w:proofErr w:type="spellStart"/>
      <w:r w:rsidRPr="002B3DAC">
        <w:rPr>
          <w:rFonts w:ascii="Times New Roman" w:eastAsia="Times New Roman" w:hAnsi="Times New Roman"/>
          <w:color w:val="000000"/>
          <w:sz w:val="24"/>
          <w:szCs w:val="24"/>
          <w:lang w:eastAsia="es-CL"/>
        </w:rPr>
        <w:t>neopunitivismo</w:t>
      </w:r>
      <w:proofErr w:type="spellEnd"/>
      <w:r w:rsidRPr="002B3DAC">
        <w:rPr>
          <w:rFonts w:ascii="Times New Roman" w:eastAsia="Times New Roman" w:hAnsi="Times New Roman"/>
          <w:color w:val="000000"/>
          <w:sz w:val="24"/>
          <w:szCs w:val="24"/>
          <w:lang w:eastAsia="es-CL"/>
        </w:rPr>
        <w:t xml:space="preserve"> son el aumento de las escalas penales, la tipificación creciente de nuevos delitos, el recurso cada vez mayor a la prisión -tanto en calidad de pena como de medida “preventiva”-, la pérdida y desinversión en recursos tendientes a la resocialización, la baja en la edad de imputabilidad, etc. </w:t>
      </w:r>
    </w:p>
    <w:p w14:paraId="68EA4A0C" w14:textId="77777777" w:rsidR="001C2888" w:rsidRPr="002B3DAC" w:rsidRDefault="001C2888" w:rsidP="001C2888">
      <w:pPr>
        <w:shd w:val="clear" w:color="auto" w:fill="FFFFFF"/>
        <w:spacing w:after="0" w:line="240" w:lineRule="auto"/>
        <w:jc w:val="both"/>
        <w:textAlignment w:val="baseline"/>
        <w:rPr>
          <w:rFonts w:ascii="Times New Roman" w:hAnsi="Times New Roman"/>
          <w:sz w:val="24"/>
          <w:szCs w:val="24"/>
        </w:rPr>
      </w:pPr>
      <w:r w:rsidRPr="002B3DAC">
        <w:rPr>
          <w:rFonts w:ascii="Times New Roman" w:eastAsia="Times New Roman" w:hAnsi="Times New Roman"/>
          <w:color w:val="000000"/>
          <w:sz w:val="24"/>
          <w:szCs w:val="24"/>
          <w:lang w:eastAsia="es-CL"/>
        </w:rPr>
        <w:t>Ahora bien, este “giro” penal no obedece a una determinada realidad empírica concerniente al fenómeno de la delincuencia, sino que es el fruto de una determinada idea en el campo de lo político, es una forma de hacer política y de gobernar un Estado</w:t>
      </w:r>
      <w:r w:rsidRPr="002B3DAC">
        <w:rPr>
          <w:rStyle w:val="Refdenotaalpie"/>
          <w:rFonts w:ascii="Times New Roman" w:eastAsia="Times New Roman" w:hAnsi="Times New Roman"/>
          <w:color w:val="000000"/>
          <w:sz w:val="24"/>
          <w:szCs w:val="24"/>
          <w:lang w:eastAsia="es-CL"/>
        </w:rPr>
        <w:t xml:space="preserve"> </w:t>
      </w:r>
      <w:r w:rsidRPr="002B3DAC">
        <w:rPr>
          <w:rStyle w:val="Refdenotaalpie"/>
          <w:rFonts w:ascii="Times New Roman" w:eastAsia="Times New Roman" w:hAnsi="Times New Roman"/>
          <w:color w:val="000000"/>
          <w:sz w:val="24"/>
          <w:szCs w:val="24"/>
          <w:lang w:eastAsia="es-CL"/>
        </w:rPr>
        <w:footnoteReference w:id="5"/>
      </w:r>
      <w:r w:rsidRPr="002B3DAC">
        <w:rPr>
          <w:rFonts w:ascii="Times New Roman" w:eastAsia="Times New Roman" w:hAnsi="Times New Roman"/>
          <w:color w:val="000000"/>
          <w:sz w:val="24"/>
          <w:szCs w:val="24"/>
          <w:lang w:eastAsia="es-CL"/>
        </w:rPr>
        <w:t xml:space="preserve">. Tampoco es una mera política criminal; trasciende este ámbito porque conlleva la penalización de la sociedad. Es de hecho es </w:t>
      </w:r>
      <w:r w:rsidRPr="002B3DAC">
        <w:rPr>
          <w:rFonts w:ascii="Times New Roman" w:hAnsi="Times New Roman"/>
          <w:sz w:val="24"/>
          <w:szCs w:val="24"/>
        </w:rPr>
        <w:t>una de las principales medidas de seguridad que adopta el llamado “derecho penal del enemigo”.</w:t>
      </w:r>
      <w:r w:rsidRPr="002B3DAC">
        <w:rPr>
          <w:rStyle w:val="Refdenotaalpie"/>
          <w:rFonts w:ascii="Times New Roman" w:hAnsi="Times New Roman"/>
          <w:sz w:val="24"/>
          <w:szCs w:val="24"/>
        </w:rPr>
        <w:footnoteReference w:id="6"/>
      </w:r>
      <w:r w:rsidRPr="002B3DAC">
        <w:rPr>
          <w:rFonts w:ascii="Times New Roman" w:hAnsi="Times New Roman"/>
          <w:sz w:val="24"/>
          <w:szCs w:val="24"/>
        </w:rPr>
        <w:t>A su vez, éste es una consecuencia de la imposición hegemónica del sistema neoliberal y su expansión es producto del fenómeno de la globalización.</w:t>
      </w:r>
    </w:p>
    <w:p w14:paraId="7F27A50B" w14:textId="77777777" w:rsidR="001C2888" w:rsidRPr="002B3DAC" w:rsidRDefault="001C2888" w:rsidP="001C2888">
      <w:pPr>
        <w:shd w:val="clear" w:color="auto" w:fill="FFFFFF"/>
        <w:spacing w:after="0" w:line="240" w:lineRule="auto"/>
        <w:jc w:val="both"/>
        <w:textAlignment w:val="baseline"/>
        <w:rPr>
          <w:rFonts w:ascii="Times New Roman" w:eastAsia="Times New Roman" w:hAnsi="Times New Roman"/>
          <w:color w:val="000000"/>
          <w:sz w:val="24"/>
          <w:szCs w:val="24"/>
          <w:lang w:eastAsia="es-CL"/>
        </w:rPr>
      </w:pPr>
    </w:p>
    <w:p w14:paraId="2EF38C69" w14:textId="77777777" w:rsidR="001C2888" w:rsidRPr="002B3DAC" w:rsidRDefault="001C2888" w:rsidP="001C2888">
      <w:pPr>
        <w:shd w:val="clear" w:color="auto" w:fill="FFFFFF"/>
        <w:spacing w:after="0" w:line="240" w:lineRule="auto"/>
        <w:jc w:val="both"/>
        <w:textAlignment w:val="baseline"/>
        <w:rPr>
          <w:rFonts w:ascii="Times New Roman" w:eastAsia="Times New Roman" w:hAnsi="Times New Roman"/>
          <w:color w:val="000000"/>
          <w:sz w:val="24"/>
          <w:szCs w:val="24"/>
          <w:lang w:eastAsia="es-CL"/>
        </w:rPr>
      </w:pPr>
      <w:r w:rsidRPr="002B3DAC">
        <w:rPr>
          <w:rFonts w:ascii="Times New Roman" w:eastAsia="Times New Roman" w:hAnsi="Times New Roman"/>
          <w:color w:val="000000"/>
          <w:sz w:val="24"/>
          <w:szCs w:val="24"/>
          <w:lang w:eastAsia="es-CL"/>
        </w:rPr>
        <w:t xml:space="preserve">El derecho penal del enemigo es “la creación normativa de exclusión y de exacerbado </w:t>
      </w:r>
      <w:proofErr w:type="spellStart"/>
      <w:r w:rsidRPr="002B3DAC">
        <w:rPr>
          <w:rFonts w:ascii="Times New Roman" w:eastAsia="Times New Roman" w:hAnsi="Times New Roman"/>
          <w:color w:val="000000"/>
          <w:sz w:val="24"/>
          <w:szCs w:val="24"/>
          <w:lang w:eastAsia="es-CL"/>
        </w:rPr>
        <w:t>punitivismo</w:t>
      </w:r>
      <w:proofErr w:type="spellEnd"/>
      <w:r w:rsidRPr="002B3DAC">
        <w:rPr>
          <w:rFonts w:ascii="Times New Roman" w:eastAsia="Times New Roman" w:hAnsi="Times New Roman"/>
          <w:color w:val="000000"/>
          <w:sz w:val="24"/>
          <w:szCs w:val="24"/>
          <w:lang w:eastAsia="es-CL"/>
        </w:rPr>
        <w:t xml:space="preserve"> que realiza el Estado, que reúne al conjunto de normas penales que apuntan a criminalizar no a un hecho, sino al autor de un hecho -considerado como “no-persona”. Es el derecho que sanciona la peligrosidad de los sujetos a los que apunta y que por tanto tiene como fin proteger la seguridad de sus ciudadanos y por sobre todo, proteger la seguridad de la conservación y expansión del sistema que le da sentido, esto es, el sistema neoliberal, a costa de las garantías y derechos fundamentales que son inherentes al hombre por su sola condición de tal”</w:t>
      </w:r>
      <w:r w:rsidRPr="002B3DAC">
        <w:rPr>
          <w:rStyle w:val="Refdenotaalpie"/>
          <w:rFonts w:ascii="Times New Roman" w:eastAsia="Times New Roman" w:hAnsi="Times New Roman"/>
          <w:color w:val="000000"/>
          <w:sz w:val="24"/>
          <w:szCs w:val="24"/>
          <w:lang w:eastAsia="es-CL"/>
        </w:rPr>
        <w:footnoteReference w:id="7"/>
      </w:r>
      <w:r w:rsidRPr="002B3DAC">
        <w:rPr>
          <w:rFonts w:ascii="Times New Roman" w:eastAsia="Times New Roman" w:hAnsi="Times New Roman"/>
          <w:color w:val="000000"/>
          <w:sz w:val="24"/>
          <w:szCs w:val="24"/>
          <w:lang w:eastAsia="es-CL"/>
        </w:rPr>
        <w:t>.</w:t>
      </w:r>
    </w:p>
    <w:p w14:paraId="505E63E5" w14:textId="77777777" w:rsidR="00254D32" w:rsidRPr="002B3DAC" w:rsidRDefault="00254D32" w:rsidP="001C2888">
      <w:pPr>
        <w:shd w:val="clear" w:color="auto" w:fill="FFFFFF"/>
        <w:spacing w:after="0" w:line="240" w:lineRule="auto"/>
        <w:jc w:val="both"/>
        <w:textAlignment w:val="baseline"/>
        <w:rPr>
          <w:rFonts w:ascii="Times New Roman" w:eastAsia="Times New Roman" w:hAnsi="Times New Roman"/>
          <w:color w:val="000000"/>
          <w:sz w:val="24"/>
          <w:szCs w:val="24"/>
          <w:lang w:eastAsia="es-CL"/>
        </w:rPr>
      </w:pPr>
    </w:p>
    <w:p w14:paraId="502B3A88" w14:textId="77777777" w:rsidR="001C2888" w:rsidRPr="002B3DAC" w:rsidRDefault="001C2888" w:rsidP="001C2888">
      <w:pPr>
        <w:shd w:val="clear" w:color="auto" w:fill="FFFFFF"/>
        <w:spacing w:after="0" w:line="240" w:lineRule="auto"/>
        <w:jc w:val="both"/>
        <w:textAlignment w:val="baseline"/>
        <w:rPr>
          <w:rFonts w:ascii="Times New Roman" w:eastAsia="Times New Roman" w:hAnsi="Times New Roman"/>
          <w:color w:val="000000"/>
          <w:sz w:val="24"/>
          <w:szCs w:val="24"/>
          <w:lang w:eastAsia="es-CL"/>
        </w:rPr>
      </w:pPr>
      <w:r w:rsidRPr="002B3DAC">
        <w:rPr>
          <w:rFonts w:ascii="Times New Roman" w:eastAsia="Times New Roman" w:hAnsi="Times New Roman"/>
          <w:color w:val="000000"/>
          <w:sz w:val="24"/>
          <w:szCs w:val="24"/>
          <w:lang w:eastAsia="es-CL"/>
        </w:rPr>
        <w:t>La sociedad en la que se desarrolla y aplica este tipo de derecho penal propicia la existencia de un Estado de emergencia permanente. “Cualquiera que genere un conflicto social o que tenga algún tipo de reivindicación social será considerado enemigo porque la ideología y principios que imperan son los que impone el neoliberalismo y son excluyentes”</w:t>
      </w:r>
      <w:r w:rsidRPr="002B3DAC">
        <w:rPr>
          <w:rStyle w:val="Refdenotaalpie"/>
          <w:rFonts w:ascii="Times New Roman" w:eastAsia="Times New Roman" w:hAnsi="Times New Roman"/>
          <w:color w:val="000000"/>
          <w:sz w:val="24"/>
          <w:szCs w:val="24"/>
          <w:lang w:eastAsia="es-CL"/>
        </w:rPr>
        <w:footnoteReference w:id="8"/>
      </w:r>
      <w:r w:rsidRPr="002B3DAC">
        <w:rPr>
          <w:rFonts w:ascii="Times New Roman" w:eastAsia="Times New Roman" w:hAnsi="Times New Roman"/>
          <w:color w:val="000000"/>
          <w:sz w:val="24"/>
          <w:szCs w:val="24"/>
          <w:lang w:eastAsia="es-CL"/>
        </w:rPr>
        <w:t>. De ahí la criminalización exacerbada de la violencia social.</w:t>
      </w:r>
      <w:r w:rsidR="0074654D" w:rsidRPr="002B3DAC">
        <w:rPr>
          <w:rFonts w:ascii="Times New Roman" w:eastAsia="Times New Roman" w:hAnsi="Times New Roman"/>
          <w:color w:val="000000"/>
          <w:sz w:val="24"/>
          <w:szCs w:val="24"/>
          <w:lang w:eastAsia="es-CL"/>
        </w:rPr>
        <w:t xml:space="preserve"> </w:t>
      </w:r>
      <w:r w:rsidRPr="002B3DAC">
        <w:rPr>
          <w:rFonts w:ascii="Times New Roman" w:eastAsia="Times New Roman" w:hAnsi="Times New Roman"/>
          <w:color w:val="000000"/>
          <w:sz w:val="24"/>
          <w:szCs w:val="24"/>
          <w:lang w:eastAsia="es-CL"/>
        </w:rPr>
        <w:t>Ello es parte de crear un ambiente de inseguridad, riesgo y peligro social, político, económico o cultural. A partir de esos supuestos, “existe una abierta vulnerabilidad de los derechos humanos respecto de las necesidades de expansión del neoliberalismo”</w:t>
      </w:r>
      <w:r w:rsidRPr="002B3DAC">
        <w:rPr>
          <w:rStyle w:val="Refdenotaalpie"/>
          <w:rFonts w:ascii="Times New Roman" w:eastAsia="Times New Roman" w:hAnsi="Times New Roman"/>
          <w:color w:val="000000"/>
          <w:sz w:val="24"/>
          <w:szCs w:val="24"/>
          <w:lang w:eastAsia="es-CL"/>
        </w:rPr>
        <w:footnoteReference w:id="9"/>
      </w:r>
      <w:r w:rsidRPr="002B3DAC">
        <w:rPr>
          <w:rFonts w:ascii="Times New Roman" w:eastAsia="Times New Roman" w:hAnsi="Times New Roman"/>
          <w:color w:val="000000"/>
          <w:sz w:val="24"/>
          <w:szCs w:val="24"/>
          <w:lang w:eastAsia="es-CL"/>
        </w:rPr>
        <w:t>.</w:t>
      </w:r>
    </w:p>
    <w:p w14:paraId="2571544A" w14:textId="77777777" w:rsidR="001C2888" w:rsidRPr="002B3DAC" w:rsidRDefault="001C2888" w:rsidP="001C2888">
      <w:pPr>
        <w:shd w:val="clear" w:color="auto" w:fill="FFFFFF"/>
        <w:spacing w:after="0" w:line="240" w:lineRule="auto"/>
        <w:jc w:val="both"/>
        <w:textAlignment w:val="baseline"/>
        <w:rPr>
          <w:rFonts w:ascii="Times New Roman" w:eastAsia="Times New Roman" w:hAnsi="Times New Roman"/>
          <w:color w:val="000000"/>
          <w:sz w:val="24"/>
          <w:szCs w:val="24"/>
          <w:lang w:eastAsia="es-CL"/>
        </w:rPr>
      </w:pPr>
    </w:p>
    <w:p w14:paraId="07BB6F68" w14:textId="77777777" w:rsidR="001C2888" w:rsidRPr="002B3DAC" w:rsidRDefault="001C2888" w:rsidP="001C2888">
      <w:pPr>
        <w:shd w:val="clear" w:color="auto" w:fill="FFFFFF"/>
        <w:spacing w:after="0" w:line="240" w:lineRule="auto"/>
        <w:jc w:val="both"/>
        <w:textAlignment w:val="baseline"/>
        <w:rPr>
          <w:rFonts w:ascii="Times New Roman" w:eastAsia="Times New Roman" w:hAnsi="Times New Roman"/>
          <w:color w:val="000000"/>
          <w:sz w:val="24"/>
          <w:szCs w:val="24"/>
          <w:lang w:eastAsia="es-CL"/>
        </w:rPr>
      </w:pPr>
      <w:r w:rsidRPr="002B3DAC">
        <w:rPr>
          <w:rFonts w:ascii="Times New Roman" w:eastAsia="Times New Roman" w:hAnsi="Times New Roman"/>
          <w:color w:val="000000"/>
          <w:sz w:val="24"/>
          <w:szCs w:val="24"/>
          <w:lang w:eastAsia="es-CL"/>
        </w:rPr>
        <w:lastRenderedPageBreak/>
        <w:t>En esta forma de gobernar, destaca Díez Ripollés, “la búsqueda y lucha contra las causas sociológicas que determinan la delincuencia, resulta dejada de lado. La sociedad no admite, o restringe notablemente, sus responsabilidades en la génesis y abordaje de la delincuencia asumiendo que ésta tiene su explicación en la libre voluntad del delincuente y no en carencias sociales que puedan condicionar su comportamiento”, consolidando enfoques volitivos sobre los estructurales. De este modo, a la sociedad -y a los gobiernos-“se le exime de ocuparse de las privaciones sociales que con su funcionamiento ha hecho aparecer en ciertos individuos o sectores sociales, y al individuo se le deja sólo con su personalidad y forma de vida, que aparecen descontextualizadas y pasan a ser únicas recipiendarias de los reproches sociales”.</w:t>
      </w:r>
      <w:r w:rsidRPr="002B3DAC">
        <w:rPr>
          <w:rStyle w:val="Refdenotaalpie"/>
          <w:rFonts w:ascii="Times New Roman" w:eastAsia="Times New Roman" w:hAnsi="Times New Roman"/>
          <w:color w:val="000000"/>
          <w:sz w:val="24"/>
          <w:szCs w:val="24"/>
          <w:lang w:eastAsia="es-CL"/>
        </w:rPr>
        <w:footnoteReference w:id="10"/>
      </w:r>
      <w:r w:rsidRPr="002B3DAC">
        <w:rPr>
          <w:rFonts w:ascii="Times New Roman" w:eastAsia="Times New Roman" w:hAnsi="Times New Roman"/>
          <w:color w:val="000000"/>
          <w:sz w:val="24"/>
          <w:szCs w:val="24"/>
          <w:lang w:eastAsia="es-CL"/>
        </w:rPr>
        <w:t xml:space="preserve"> Desde ahí se instala la distinción entre “ciudadanos” e “individuos”, que es, a la vez, “causa y efecto de una creciente insolidaridad social”. “El recurso cada vez más amplio y frecuente a la pena de prisión – la transformación de la prisión preventiva como regla general y no como la excepción- es su manifestación más directa”</w:t>
      </w:r>
      <w:r w:rsidRPr="002B3DAC">
        <w:rPr>
          <w:rStyle w:val="Refdenotaalpie"/>
          <w:rFonts w:ascii="Times New Roman" w:eastAsia="Times New Roman" w:hAnsi="Times New Roman"/>
          <w:color w:val="000000"/>
          <w:sz w:val="24"/>
          <w:szCs w:val="24"/>
          <w:lang w:eastAsia="es-CL"/>
        </w:rPr>
        <w:footnoteReference w:id="11"/>
      </w:r>
      <w:r w:rsidRPr="002B3DAC">
        <w:rPr>
          <w:rFonts w:ascii="Times New Roman" w:eastAsia="Times New Roman" w:hAnsi="Times New Roman"/>
          <w:color w:val="000000"/>
          <w:sz w:val="24"/>
          <w:szCs w:val="24"/>
          <w:lang w:eastAsia="es-CL"/>
        </w:rPr>
        <w:t xml:space="preserve">. </w:t>
      </w:r>
    </w:p>
    <w:p w14:paraId="3CAD9810" w14:textId="77777777" w:rsidR="00BE621A" w:rsidRPr="002B3DAC" w:rsidRDefault="00BE621A">
      <w:pPr>
        <w:rPr>
          <w:rFonts w:ascii="Times New Roman" w:hAnsi="Times New Roman"/>
          <w:sz w:val="24"/>
          <w:szCs w:val="24"/>
          <w:u w:val="single"/>
        </w:rPr>
      </w:pPr>
    </w:p>
    <w:p w14:paraId="6AAF68E3" w14:textId="77777777" w:rsidR="00152F1F" w:rsidRPr="002B3DAC" w:rsidRDefault="00152F1F">
      <w:pPr>
        <w:rPr>
          <w:rFonts w:ascii="Times New Roman" w:hAnsi="Times New Roman"/>
          <w:sz w:val="24"/>
          <w:szCs w:val="24"/>
        </w:rPr>
      </w:pPr>
      <w:r w:rsidRPr="002B3DAC">
        <w:rPr>
          <w:rFonts w:ascii="Times New Roman" w:hAnsi="Times New Roman"/>
          <w:sz w:val="24"/>
          <w:szCs w:val="24"/>
        </w:rPr>
        <w:t>ESTADO DE LA CUESTIÓN EN CHILE</w:t>
      </w:r>
    </w:p>
    <w:p w14:paraId="6657CCD1" w14:textId="77777777" w:rsidR="00152F1F" w:rsidRPr="002B3DAC" w:rsidRDefault="00152F1F" w:rsidP="00152F1F">
      <w:pPr>
        <w:jc w:val="both"/>
        <w:rPr>
          <w:rFonts w:ascii="Times New Roman" w:hAnsi="Times New Roman"/>
          <w:sz w:val="24"/>
          <w:szCs w:val="24"/>
        </w:rPr>
      </w:pPr>
      <w:r w:rsidRPr="002B3DAC">
        <w:rPr>
          <w:rFonts w:ascii="Times New Roman" w:hAnsi="Times New Roman"/>
          <w:sz w:val="24"/>
          <w:szCs w:val="24"/>
        </w:rPr>
        <w:t xml:space="preserve">A veinte años desde la publicación del Código Procesal Penal se hace imperioso realizar análisis críticos profundos y estudios diagnósticos serios respecto de la aplicación práctica del mismo, con el fin de acordar las mejoras reales que el sistema requiere. Recordemos que tal reforma pretendió implementar un modelo de justicia penal compatible con el Estado Democrático de Derecho y coherente con los Tratados Internacionales de Derechos Humanos, asimismo, distribuir las funciones y facultades involucradas en el ejercicio de la potestad penal, con el fin de obtener el esclarecimiento de los hechos punibles investigados y la aplicación de la ley penal al responsable, todo ello a través de un sistema de corte acusatorio, que considere, por una parte, el otorgamiento de facultades investigativas a los órganos estatales de persecución para el logro de sus objetivos; y, por la otra, un conjunto de mecanismos de control jurídico, para garantizar el correcto ejercicio de esas facultades. En definitiva, se buscó que el uso del poder punitivo afecte de un modo racional y equilibrado los derechos fundamentales de las personas, lo que constituye una condición de su legitimidad en la comprensión de un Derecho Procesal Penal constitucionalizado. </w:t>
      </w:r>
    </w:p>
    <w:p w14:paraId="51594D89" w14:textId="77777777" w:rsidR="00152F1F" w:rsidRPr="002B3DAC" w:rsidRDefault="00152F1F" w:rsidP="00152F1F">
      <w:pPr>
        <w:jc w:val="both"/>
        <w:rPr>
          <w:rFonts w:ascii="Times New Roman" w:hAnsi="Times New Roman"/>
          <w:sz w:val="24"/>
          <w:szCs w:val="24"/>
        </w:rPr>
      </w:pPr>
      <w:r w:rsidRPr="002B3DAC">
        <w:rPr>
          <w:rFonts w:ascii="Times New Roman" w:hAnsi="Times New Roman"/>
          <w:sz w:val="24"/>
          <w:szCs w:val="24"/>
        </w:rPr>
        <w:t>Tales cambios eran indispensables, pues el sistema anterior, inquisitivo, era vulnerador del debido proceso, en especial a los derechos de imparcialidad del tribunal, principio de inocencia, libertad personal, derecho de defensa y juzgamiento dentro de un plazo razonable. Conforme al profesor Cerda San Martín, “especialmente relevante era el reproche relativo a la vulneración del principio de inocencia, manifestación de lo cual eran las detenciones realizadas con escasa evidencia, así como el efecto que generaba el sometimiento a proceso, resolución provisional dictada en el sumario que transformaba automáticamente la detención en prisión preventiva, sin necesidad de petición alguna de parte, prolongándose muchas veces durante todo el procedimiento hasta la dictación de la sentencia definitiva”.</w:t>
      </w:r>
      <w:r w:rsidRPr="002B3DAC">
        <w:rPr>
          <w:rStyle w:val="Refdenotaalpie"/>
          <w:rFonts w:ascii="Times New Roman" w:hAnsi="Times New Roman"/>
          <w:sz w:val="24"/>
          <w:szCs w:val="24"/>
        </w:rPr>
        <w:footnoteReference w:id="12"/>
      </w:r>
    </w:p>
    <w:p w14:paraId="6A0051EA" w14:textId="77777777" w:rsidR="00152F1F" w:rsidRPr="002B3DAC" w:rsidRDefault="00152F1F" w:rsidP="00152F1F">
      <w:pPr>
        <w:jc w:val="both"/>
        <w:rPr>
          <w:rFonts w:ascii="Times New Roman" w:hAnsi="Times New Roman"/>
          <w:sz w:val="24"/>
          <w:szCs w:val="24"/>
        </w:rPr>
      </w:pPr>
      <w:r w:rsidRPr="002B3DAC">
        <w:rPr>
          <w:rFonts w:ascii="Times New Roman" w:hAnsi="Times New Roman"/>
          <w:sz w:val="24"/>
          <w:szCs w:val="24"/>
        </w:rPr>
        <w:t xml:space="preserve">Para Cerda San Martín, “el movimiento reformador también tuvo en cuenta otros intereses que podían verse como contrapuestos, a saber, el mejoramiento de la capacidad del sistema penal para contribuir a la seguridad pública y otorgar mayor protección a las víctimas de los delitos. Esta suerte de intereses cruzados, garantías </w:t>
      </w:r>
      <w:r w:rsidRPr="002B3DAC">
        <w:rPr>
          <w:rFonts w:ascii="Times New Roman" w:hAnsi="Times New Roman"/>
          <w:sz w:val="24"/>
          <w:szCs w:val="24"/>
        </w:rPr>
        <w:lastRenderedPageBreak/>
        <w:t>versus eficiencia, atraviesan buena parte de las instituciones procesales concretas contempladas en nuestro Código, de modo que deben tenerse en consideración en todo estudio del modelo de justicia penal chileno”</w:t>
      </w:r>
      <w:r w:rsidRPr="002B3DAC">
        <w:rPr>
          <w:rStyle w:val="Refdenotaalpie"/>
          <w:rFonts w:ascii="Times New Roman" w:hAnsi="Times New Roman"/>
          <w:sz w:val="24"/>
          <w:szCs w:val="24"/>
        </w:rPr>
        <w:footnoteReference w:id="13"/>
      </w:r>
      <w:r w:rsidRPr="002B3DAC">
        <w:rPr>
          <w:rFonts w:ascii="Times New Roman" w:hAnsi="Times New Roman"/>
          <w:sz w:val="24"/>
          <w:szCs w:val="24"/>
        </w:rPr>
        <w:t xml:space="preserve">. </w:t>
      </w:r>
    </w:p>
    <w:p w14:paraId="29537359" w14:textId="77777777" w:rsidR="00152F1F" w:rsidRPr="002B3DAC" w:rsidRDefault="00152F1F" w:rsidP="00152F1F">
      <w:pPr>
        <w:jc w:val="both"/>
        <w:rPr>
          <w:rFonts w:ascii="Times New Roman" w:hAnsi="Times New Roman"/>
          <w:sz w:val="24"/>
          <w:szCs w:val="24"/>
        </w:rPr>
      </w:pPr>
      <w:r w:rsidRPr="002B3DAC">
        <w:rPr>
          <w:rFonts w:ascii="Times New Roman" w:hAnsi="Times New Roman"/>
          <w:sz w:val="24"/>
          <w:szCs w:val="24"/>
        </w:rPr>
        <w:t>El académico es muy claro en señalar que “en un sistema democrático constitucionalizado sólo merece el calificativo de proceso penal aquél en que se respeten las garantías procesales y los derechos y las libertades de los ciudadanos, es decir, aquel que cumple con las exigencias derivadas del principio del debido proceso sustancial. Entonces, cuando en el ejercicio de la potestad punitiva no se cumple dicho estándar no estamos, en realidad, ante un proceso penal, sino ante un acto de autoritarismo antidemocrático, ante una manifestación de arbitrariedad de los poderes públicos. Por lo tanto, la función del proceso penal no puede reducirse exclusivamente a ser un instrumento eficiente de imposición de la pena, sino que debe entenderse, principalmente, como un instrumento de garantía de los derechos y libertades individuales”.</w:t>
      </w:r>
      <w:r w:rsidRPr="002B3DAC">
        <w:rPr>
          <w:rStyle w:val="Refdenotaalpie"/>
          <w:rFonts w:ascii="Times New Roman" w:hAnsi="Times New Roman"/>
          <w:sz w:val="24"/>
          <w:szCs w:val="24"/>
        </w:rPr>
        <w:footnoteReference w:id="14"/>
      </w:r>
    </w:p>
    <w:p w14:paraId="017CE20C" w14:textId="77777777" w:rsidR="00152F1F" w:rsidRPr="002B3DAC" w:rsidRDefault="00152F1F" w:rsidP="00152F1F">
      <w:pPr>
        <w:jc w:val="both"/>
        <w:rPr>
          <w:rFonts w:ascii="Times New Roman" w:hAnsi="Times New Roman"/>
          <w:sz w:val="24"/>
          <w:szCs w:val="24"/>
        </w:rPr>
      </w:pPr>
      <w:r w:rsidRPr="002B3DAC">
        <w:rPr>
          <w:rFonts w:ascii="Times New Roman" w:hAnsi="Times New Roman"/>
          <w:sz w:val="24"/>
          <w:szCs w:val="24"/>
        </w:rPr>
        <w:t>Para el autor,  sin embargo, una vez vigente el nuevo Código Procesal Penal en todo el país en el año 2005, el Estado no realizó un seguimiento profundo, con estudios empíricos confiables, de la aplicación de la nueva normativa, de modo que las múltiples modificaciones legales efectuadas no contaron con un sustento científico. Aún más, en las sucesivas modificaciones que ha sufrido  dicho Código demuestran que el legislador nacional no se encuentra totalmente satisfecho con la labor realizada, invocando por lo general razones de mayor eficiencia en la persecución penal y fortalecimiento de las garantías de las víctimas. Lo anterior , sentencia Cerda San Martín, “ha implicado una disminución del estándar de protección de los derechos del imputado, especialmente en lo que dice relación a su derecho a ser presumido inocente y su manifestación concreta de juzgamiento en libertad”.</w:t>
      </w:r>
      <w:r w:rsidRPr="002B3DAC">
        <w:rPr>
          <w:rStyle w:val="Refdenotaalpie"/>
          <w:rFonts w:ascii="Times New Roman" w:hAnsi="Times New Roman"/>
          <w:sz w:val="24"/>
          <w:szCs w:val="24"/>
        </w:rPr>
        <w:footnoteReference w:id="15"/>
      </w:r>
      <w:r w:rsidRPr="002B3DAC">
        <w:rPr>
          <w:rFonts w:ascii="Times New Roman" w:hAnsi="Times New Roman"/>
          <w:sz w:val="24"/>
          <w:szCs w:val="24"/>
        </w:rPr>
        <w:t xml:space="preserve"> Baste con recordar , las últimas modificaciones introducidas por la Ley N ° 20.931 “Agenda Corta Anti Delincuencia” por medio de la cual se hicieron cambios de carácter sustancial en materia de cautelares, debido a que se modifican en su mayoría los requisitos para que procedan, con una clara tendencia a flexibilizar la aplicación de estas medidas. </w:t>
      </w:r>
    </w:p>
    <w:p w14:paraId="2EF88921" w14:textId="77777777" w:rsidR="00152F1F" w:rsidRPr="002B3DAC" w:rsidRDefault="00152F1F" w:rsidP="00152F1F">
      <w:pPr>
        <w:jc w:val="both"/>
        <w:rPr>
          <w:rFonts w:ascii="Times New Roman" w:hAnsi="Times New Roman"/>
          <w:color w:val="FF0000"/>
          <w:sz w:val="24"/>
          <w:szCs w:val="24"/>
        </w:rPr>
      </w:pPr>
      <w:r w:rsidRPr="002B3DAC">
        <w:rPr>
          <w:rFonts w:ascii="Times New Roman" w:hAnsi="Times New Roman"/>
          <w:sz w:val="24"/>
          <w:szCs w:val="24"/>
        </w:rPr>
        <w:t>Producto de lo anterior, se ve alterada la naturaleza misma de las medidas cautelares considerando el carácter excepcional que ellas tienen. En este sentido se manifestó el ministro de la Excelentísima Corte Suprema Sergio Muñoz en el Informe enviado al Congreso Nacional en el año 2016 durante la tramitación de la ley: “El proyecto de ley en comento contempla modificaciones a la regulación de las medidas cautelares personales que orientan a desnaturalizar su sentido procesal. En efecto, medidas como la detención judicial o la prisión preventiva pierden por completo su cariz excepcional y preventivo, y terminan transformándose en instituciones aplicables por regla general, y en las que el criterio preventivo del juez juega un rol mínimo o nulo”</w:t>
      </w:r>
      <w:r w:rsidRPr="002B3DAC">
        <w:rPr>
          <w:rStyle w:val="Refdenotaalpie"/>
          <w:rFonts w:ascii="Times New Roman" w:hAnsi="Times New Roman"/>
          <w:sz w:val="24"/>
          <w:szCs w:val="24"/>
        </w:rPr>
        <w:footnoteReference w:id="16"/>
      </w:r>
      <w:r w:rsidRPr="002B3DAC">
        <w:rPr>
          <w:rFonts w:ascii="Times New Roman" w:hAnsi="Times New Roman"/>
          <w:sz w:val="24"/>
          <w:szCs w:val="24"/>
        </w:rPr>
        <w:t xml:space="preserve"> </w:t>
      </w:r>
    </w:p>
    <w:p w14:paraId="0FB17542" w14:textId="77777777" w:rsidR="00152F1F" w:rsidRPr="002B3DAC" w:rsidRDefault="00152F1F" w:rsidP="00152F1F">
      <w:pPr>
        <w:jc w:val="both"/>
        <w:rPr>
          <w:rFonts w:ascii="Times New Roman" w:hAnsi="Times New Roman"/>
          <w:sz w:val="24"/>
          <w:szCs w:val="24"/>
        </w:rPr>
      </w:pPr>
      <w:r w:rsidRPr="002B3DAC">
        <w:rPr>
          <w:rFonts w:ascii="Times New Roman" w:hAnsi="Times New Roman"/>
          <w:sz w:val="24"/>
          <w:szCs w:val="24"/>
        </w:rPr>
        <w:t>E</w:t>
      </w:r>
      <w:r w:rsidR="00061102" w:rsidRPr="002B3DAC">
        <w:rPr>
          <w:rFonts w:ascii="Times New Roman" w:hAnsi="Times New Roman"/>
          <w:sz w:val="24"/>
          <w:szCs w:val="24"/>
        </w:rPr>
        <w:t xml:space="preserve">l Informe enviado al Congreso Nacional en el año 2016, analiza también </w:t>
      </w:r>
      <w:r w:rsidRPr="002B3DAC">
        <w:rPr>
          <w:rFonts w:ascii="Times New Roman" w:hAnsi="Times New Roman"/>
          <w:sz w:val="24"/>
          <w:szCs w:val="24"/>
        </w:rPr>
        <w:t xml:space="preserve">el caso de la medida cautelar de detención judicial, </w:t>
      </w:r>
      <w:r w:rsidR="00061102" w:rsidRPr="002B3DAC">
        <w:rPr>
          <w:rFonts w:ascii="Times New Roman" w:hAnsi="Times New Roman"/>
          <w:sz w:val="24"/>
          <w:szCs w:val="24"/>
        </w:rPr>
        <w:t xml:space="preserve">pues la reforma </w:t>
      </w:r>
      <w:r w:rsidRPr="002B3DAC">
        <w:rPr>
          <w:rFonts w:ascii="Times New Roman" w:hAnsi="Times New Roman"/>
          <w:sz w:val="24"/>
          <w:szCs w:val="24"/>
        </w:rPr>
        <w:t xml:space="preserve"> autoriz</w:t>
      </w:r>
      <w:r w:rsidR="00061102" w:rsidRPr="002B3DAC">
        <w:rPr>
          <w:rFonts w:ascii="Times New Roman" w:hAnsi="Times New Roman"/>
          <w:sz w:val="24"/>
          <w:szCs w:val="24"/>
        </w:rPr>
        <w:t>ó</w:t>
      </w:r>
      <w:r w:rsidRPr="002B3DAC">
        <w:rPr>
          <w:rFonts w:ascii="Times New Roman" w:hAnsi="Times New Roman"/>
          <w:sz w:val="24"/>
          <w:szCs w:val="24"/>
        </w:rPr>
        <w:t xml:space="preserve"> su aplicación sin la necesidad de previa notificación judicial para los delitos que tienen asignada pena de crimen</w:t>
      </w:r>
      <w:r w:rsidR="00061102" w:rsidRPr="002B3DAC">
        <w:rPr>
          <w:rFonts w:ascii="Times New Roman" w:hAnsi="Times New Roman"/>
          <w:sz w:val="24"/>
          <w:szCs w:val="24"/>
        </w:rPr>
        <w:t>, razonando que una medida así</w:t>
      </w:r>
      <w:r w:rsidRPr="002B3DAC">
        <w:rPr>
          <w:rFonts w:ascii="Times New Roman" w:hAnsi="Times New Roman"/>
          <w:sz w:val="24"/>
          <w:szCs w:val="24"/>
        </w:rPr>
        <w:t xml:space="preserve"> </w:t>
      </w:r>
      <w:r w:rsidR="00061102" w:rsidRPr="002B3DAC">
        <w:rPr>
          <w:rFonts w:ascii="Times New Roman" w:hAnsi="Times New Roman"/>
          <w:sz w:val="24"/>
          <w:szCs w:val="24"/>
        </w:rPr>
        <w:t>r</w:t>
      </w:r>
      <w:r w:rsidRPr="002B3DAC">
        <w:rPr>
          <w:rFonts w:ascii="Times New Roman" w:hAnsi="Times New Roman"/>
          <w:sz w:val="24"/>
          <w:szCs w:val="24"/>
        </w:rPr>
        <w:t xml:space="preserve">esulta totalmente vulneradora de derechos, </w:t>
      </w:r>
      <w:r w:rsidR="00061102" w:rsidRPr="002B3DAC">
        <w:rPr>
          <w:rFonts w:ascii="Times New Roman" w:hAnsi="Times New Roman"/>
          <w:sz w:val="24"/>
          <w:szCs w:val="24"/>
        </w:rPr>
        <w:t>pues</w:t>
      </w:r>
      <w:r w:rsidRPr="002B3DAC">
        <w:rPr>
          <w:rFonts w:ascii="Times New Roman" w:hAnsi="Times New Roman"/>
          <w:sz w:val="24"/>
          <w:szCs w:val="24"/>
        </w:rPr>
        <w:t xml:space="preserve"> dictar orden de detención en caso de que una imputación tenga pena de crimen incluso no habiendo elementos objetivos que permitiesen presumir que la comparecencia puede verse demorada o dificultada, no cumpliría con la finalidad y </w:t>
      </w:r>
      <w:r w:rsidRPr="002B3DAC">
        <w:rPr>
          <w:rFonts w:ascii="Times New Roman" w:hAnsi="Times New Roman"/>
          <w:sz w:val="24"/>
          <w:szCs w:val="24"/>
        </w:rPr>
        <w:lastRenderedPageBreak/>
        <w:t xml:space="preserve">alcance de toda cautelar que es asegurar los fines del procedimiento y proteger su realización. En suma, esta medida puede llegar a tal nivel de arbitrio que se podría autorizar por la sola consideración subjetiva que se sindique a otra persona como autor de un hecho ilícito que tenga pena de crimen, </w:t>
      </w:r>
      <w:r w:rsidRPr="002B3DAC">
        <w:rPr>
          <w:rFonts w:ascii="Times New Roman" w:hAnsi="Times New Roman"/>
          <w:sz w:val="24"/>
          <w:szCs w:val="24"/>
          <w:u w:val="single"/>
        </w:rPr>
        <w:t>“la posibilidad de decretar la detención judicial del artículo 127 CPP por el sólo hecho que a alguien se le impute haber cometido un crimen, sin consideración a si, existen antecedentes ciertos que justifiquen su detención, o razones para pensar que no concurrirá por su propia voluntad a la realización del juicio</w:t>
      </w:r>
      <w:r w:rsidRPr="002B3DAC">
        <w:rPr>
          <w:rFonts w:ascii="Times New Roman" w:hAnsi="Times New Roman"/>
          <w:sz w:val="24"/>
          <w:szCs w:val="24"/>
        </w:rPr>
        <w:t>.”</w:t>
      </w:r>
    </w:p>
    <w:p w14:paraId="25EC21C8" w14:textId="77777777" w:rsidR="00152F1F" w:rsidRPr="002B3DAC" w:rsidRDefault="00152F1F" w:rsidP="00152F1F">
      <w:pPr>
        <w:jc w:val="both"/>
        <w:rPr>
          <w:rFonts w:ascii="Times New Roman" w:hAnsi="Times New Roman"/>
          <w:sz w:val="24"/>
          <w:szCs w:val="24"/>
        </w:rPr>
      </w:pPr>
      <w:r w:rsidRPr="002B3DAC">
        <w:rPr>
          <w:rFonts w:ascii="Times New Roman" w:hAnsi="Times New Roman"/>
          <w:sz w:val="24"/>
          <w:szCs w:val="24"/>
        </w:rPr>
        <w:t>Otro tanto había acontecido en el segundo informe de nuestro máximo tribunal (Oficio N° 102-2015, de 14 de septiembre de 2015), que había estimado problemática dicha modificación entendiendo que a través de ella se autoriza una medida cautelar sin ninguna consideración a algún peligro grave y calificado de alguna clase, lo que contraría toda la lógica de la concesión de esta tipo de medidas y constituye un retroceso mayúsculo desde la perspectiva del principio de inocencia: nadie debería poder ser detenido sin antecedentes especiales y, exclusivamente, sobre la base de una denuncia o imputación (consideración cuarta). En similar sentido</w:t>
      </w:r>
      <w:r w:rsidR="00061102" w:rsidRPr="002B3DAC">
        <w:rPr>
          <w:rFonts w:ascii="Times New Roman" w:hAnsi="Times New Roman"/>
          <w:sz w:val="24"/>
          <w:szCs w:val="24"/>
        </w:rPr>
        <w:t>,</w:t>
      </w:r>
      <w:r w:rsidRPr="002B3DAC">
        <w:rPr>
          <w:rFonts w:ascii="Times New Roman" w:hAnsi="Times New Roman"/>
          <w:sz w:val="24"/>
          <w:szCs w:val="24"/>
        </w:rPr>
        <w:t xml:space="preserve"> se manifestó </w:t>
      </w:r>
      <w:r w:rsidR="00843858" w:rsidRPr="002B3DAC">
        <w:rPr>
          <w:rFonts w:ascii="Times New Roman" w:hAnsi="Times New Roman"/>
          <w:sz w:val="24"/>
          <w:szCs w:val="24"/>
        </w:rPr>
        <w:t xml:space="preserve">el profesor </w:t>
      </w:r>
      <w:r w:rsidRPr="002B3DAC">
        <w:rPr>
          <w:rFonts w:ascii="Times New Roman" w:hAnsi="Times New Roman"/>
          <w:sz w:val="24"/>
          <w:szCs w:val="24"/>
        </w:rPr>
        <w:t xml:space="preserve">Cerda San Martín, agregando que la circunstancia de atribuirse al imputado un delito con pena abstracta de crimen, debe entenderse como un elemento indicativo y orientador de la necesidad de cautela consistente en que la presencia del imputado a la presencia judicial pudiere verse frustrada, </w:t>
      </w:r>
      <w:r w:rsidR="00843858" w:rsidRPr="002B3DAC">
        <w:rPr>
          <w:rFonts w:ascii="Times New Roman" w:hAnsi="Times New Roman"/>
          <w:sz w:val="24"/>
          <w:szCs w:val="24"/>
        </w:rPr>
        <w:t>“</w:t>
      </w:r>
      <w:r w:rsidRPr="002B3DAC">
        <w:rPr>
          <w:rFonts w:ascii="Times New Roman" w:hAnsi="Times New Roman"/>
          <w:sz w:val="24"/>
          <w:szCs w:val="24"/>
          <w:u w:val="single"/>
        </w:rPr>
        <w:t>debiendo, en todo caso, concurrir información seria y objetiva respecto de la comisión del hecho punible atribuido</w:t>
      </w:r>
      <w:r w:rsidR="00843858" w:rsidRPr="002B3DAC">
        <w:rPr>
          <w:rFonts w:ascii="Times New Roman" w:hAnsi="Times New Roman"/>
          <w:sz w:val="24"/>
          <w:szCs w:val="24"/>
        </w:rPr>
        <w:t>”</w:t>
      </w:r>
      <w:r w:rsidRPr="002B3DAC">
        <w:rPr>
          <w:rStyle w:val="Refdenotaalpie"/>
          <w:rFonts w:ascii="Times New Roman" w:hAnsi="Times New Roman"/>
          <w:sz w:val="24"/>
          <w:szCs w:val="24"/>
        </w:rPr>
        <w:footnoteReference w:id="17"/>
      </w:r>
      <w:r w:rsidRPr="002B3DAC">
        <w:rPr>
          <w:rFonts w:ascii="Times New Roman" w:hAnsi="Times New Roman"/>
          <w:sz w:val="24"/>
          <w:szCs w:val="24"/>
        </w:rPr>
        <w:t xml:space="preserve">. </w:t>
      </w:r>
    </w:p>
    <w:p w14:paraId="6ED8CBB5" w14:textId="77777777" w:rsidR="00152F1F" w:rsidRPr="002B3DAC" w:rsidRDefault="00152F1F" w:rsidP="00152F1F">
      <w:pPr>
        <w:jc w:val="both"/>
        <w:rPr>
          <w:rFonts w:ascii="Times New Roman" w:hAnsi="Times New Roman"/>
          <w:sz w:val="24"/>
          <w:szCs w:val="24"/>
        </w:rPr>
      </w:pPr>
      <w:r w:rsidRPr="002B3DAC">
        <w:rPr>
          <w:rFonts w:ascii="Times New Roman" w:hAnsi="Times New Roman"/>
          <w:sz w:val="24"/>
          <w:szCs w:val="24"/>
        </w:rPr>
        <w:t xml:space="preserve">También existen cambios en materia de prisión preventiva. Entre estos, el caso que de haber orden de detención pendiente en contra del imputado pueda ser razón suficiente para ser considerado por el juez un peligro para la seguridad de la sociedad con el objeto de conceder la más gravosas de las medidas cautelares. Con esta modificación se ratifica la idea del legislador de tipificar los requisitos para conceder este tipo de medidas, despojándola de elementos suficientes para que el juez pueda aplicar algún tipo de razonamiento de situaciones en específico. </w:t>
      </w:r>
      <w:r w:rsidRPr="002B3DAC">
        <w:rPr>
          <w:rFonts w:ascii="Times New Roman" w:hAnsi="Times New Roman"/>
          <w:sz w:val="24"/>
          <w:szCs w:val="24"/>
          <w:u w:val="single"/>
        </w:rPr>
        <w:t>“El mismo criterio parece inspirar la modificación del artículo 140 CPP en el sentido de regular que la mera existencia de órdenes de detención pendientes en calidad de imputado, o la mera existencia de otra medida cautelar personal, constituirá un antecedente suficiente para considerar que la libertad del imputado constituye peligro para la sociedad, y en definitiva decretar su prisión preventiva, de un modo casi abstracto, desvinculado de los hechos que se supone que cometió.</w:t>
      </w:r>
      <w:r w:rsidRPr="002B3DAC">
        <w:rPr>
          <w:rFonts w:ascii="Times New Roman" w:hAnsi="Times New Roman"/>
          <w:sz w:val="24"/>
          <w:szCs w:val="24"/>
        </w:rPr>
        <w:t>”</w:t>
      </w:r>
      <w:r w:rsidRPr="002B3DAC">
        <w:rPr>
          <w:rStyle w:val="Refdenotaalpie"/>
          <w:rFonts w:ascii="Times New Roman" w:hAnsi="Times New Roman"/>
          <w:sz w:val="24"/>
          <w:szCs w:val="24"/>
        </w:rPr>
        <w:footnoteReference w:id="18"/>
      </w:r>
      <w:r w:rsidRPr="002B3DAC">
        <w:rPr>
          <w:rFonts w:ascii="Times New Roman" w:hAnsi="Times New Roman"/>
          <w:sz w:val="24"/>
          <w:szCs w:val="24"/>
        </w:rPr>
        <w:t xml:space="preserve"> Haciendo aplicable de manera absoluta la medida de prisión preventiva en caso de haber orden de detención pendiente, se priva al juez de la posibilidad de discernir para el caso concreto cuando efectivamente exista un peligro para la sociedad, siendo uno de los fines que pretende resguardar esta medida cautelar. </w:t>
      </w:r>
    </w:p>
    <w:p w14:paraId="0E0BE358" w14:textId="77777777" w:rsidR="00152F1F" w:rsidRPr="002B3DAC" w:rsidRDefault="00061102" w:rsidP="00152F1F">
      <w:pPr>
        <w:jc w:val="both"/>
        <w:rPr>
          <w:rFonts w:ascii="Times New Roman" w:hAnsi="Times New Roman"/>
          <w:sz w:val="24"/>
          <w:szCs w:val="24"/>
        </w:rPr>
      </w:pPr>
      <w:r w:rsidRPr="002B3DAC">
        <w:rPr>
          <w:rFonts w:ascii="Times New Roman" w:hAnsi="Times New Roman"/>
          <w:sz w:val="24"/>
          <w:szCs w:val="24"/>
        </w:rPr>
        <w:t xml:space="preserve">Según la opinión de la Corte Suprema, </w:t>
      </w:r>
      <w:r w:rsidR="00152F1F" w:rsidRPr="002B3DAC">
        <w:rPr>
          <w:rFonts w:ascii="Times New Roman" w:hAnsi="Times New Roman"/>
          <w:sz w:val="24"/>
          <w:szCs w:val="24"/>
        </w:rPr>
        <w:t>“</w:t>
      </w:r>
      <w:r w:rsidR="00152F1F" w:rsidRPr="002B3DAC">
        <w:rPr>
          <w:rFonts w:ascii="Times New Roman" w:hAnsi="Times New Roman"/>
          <w:sz w:val="24"/>
          <w:szCs w:val="24"/>
          <w:u w:val="single"/>
        </w:rPr>
        <w:t xml:space="preserve">las modificaciones presentes al control de detención y la prisión preventiva atentan directamente contra la presunción de inocencia al encontrarnos de forma previa con una condena y sin razón suficiente, producto de que se pueden conceder estas medidas en base a la gravedad de la imputación o requisitos taxativos, que no tienen nada que ver con el fondo de la imputación o el riesgo que pueda tener el procedimiento. Los parlamentarios con estas modificaciones básicamente buscan sancionar de manera previa a los imputados. En este mismo sentido apunta la modificación al artículo 149 del Código Procesal Penal en cuanto amplía el catálogo de delitos en los cuales no se hará efectiva la libertad </w:t>
      </w:r>
      <w:r w:rsidR="00152F1F" w:rsidRPr="002B3DAC">
        <w:rPr>
          <w:rFonts w:ascii="Times New Roman" w:hAnsi="Times New Roman"/>
          <w:sz w:val="24"/>
          <w:szCs w:val="24"/>
          <w:u w:val="single"/>
        </w:rPr>
        <w:lastRenderedPageBreak/>
        <w:t>mientras no se encuentre ejecutoriada la resolución que niegue o revoque la prisión preventiva, cambio que solo busca que el imputado se encuentre privado de libertad el mayor tiempo posible a pesar de no existir una condena privativa de libertad, que por el sólo hecho haber un proceso en su contra</w:t>
      </w:r>
      <w:r w:rsidR="00152F1F" w:rsidRPr="002B3DAC">
        <w:rPr>
          <w:rFonts w:ascii="Times New Roman" w:hAnsi="Times New Roman"/>
          <w:sz w:val="24"/>
          <w:szCs w:val="24"/>
        </w:rPr>
        <w:t>”.</w:t>
      </w:r>
    </w:p>
    <w:p w14:paraId="791D5725" w14:textId="77777777" w:rsidR="00152F1F" w:rsidRPr="002B3DAC" w:rsidRDefault="00152F1F">
      <w:pPr>
        <w:rPr>
          <w:rFonts w:ascii="Times New Roman" w:hAnsi="Times New Roman"/>
          <w:sz w:val="24"/>
          <w:szCs w:val="24"/>
        </w:rPr>
      </w:pPr>
    </w:p>
    <w:p w14:paraId="75A51EC6" w14:textId="77777777" w:rsidR="00B910EC" w:rsidRPr="002B3DAC" w:rsidRDefault="001E053B">
      <w:pPr>
        <w:rPr>
          <w:rFonts w:ascii="Times New Roman" w:hAnsi="Times New Roman"/>
          <w:sz w:val="24"/>
          <w:szCs w:val="24"/>
        </w:rPr>
      </w:pPr>
      <w:r w:rsidRPr="002B3DAC">
        <w:rPr>
          <w:rFonts w:ascii="Times New Roman" w:hAnsi="Times New Roman"/>
          <w:sz w:val="24"/>
          <w:szCs w:val="24"/>
        </w:rPr>
        <w:t>FUNDAMENTOS JURÍDICOS</w:t>
      </w:r>
    </w:p>
    <w:p w14:paraId="5A9A8757" w14:textId="77777777" w:rsidR="009C07B0" w:rsidRPr="002B3DAC" w:rsidRDefault="009C07B0">
      <w:pPr>
        <w:rPr>
          <w:rFonts w:ascii="Times New Roman" w:hAnsi="Times New Roman"/>
          <w:sz w:val="24"/>
          <w:szCs w:val="24"/>
          <w:u w:val="single"/>
        </w:rPr>
      </w:pPr>
    </w:p>
    <w:p w14:paraId="754706B8" w14:textId="77777777" w:rsidR="002302D6" w:rsidRPr="002B3DAC" w:rsidRDefault="009C07B0" w:rsidP="00061102">
      <w:pPr>
        <w:pStyle w:val="Prrafodelista"/>
        <w:numPr>
          <w:ilvl w:val="0"/>
          <w:numId w:val="40"/>
        </w:numPr>
        <w:ind w:hanging="720"/>
        <w:rPr>
          <w:rFonts w:ascii="Times New Roman" w:hAnsi="Times New Roman"/>
          <w:sz w:val="24"/>
          <w:szCs w:val="24"/>
        </w:rPr>
      </w:pPr>
      <w:r w:rsidRPr="002B3DAC">
        <w:rPr>
          <w:rFonts w:ascii="Times New Roman" w:hAnsi="Times New Roman"/>
          <w:sz w:val="24"/>
          <w:szCs w:val="24"/>
        </w:rPr>
        <w:t>REGLAS SUPERIORES DEL SISTEMA JURÍDICO</w:t>
      </w:r>
    </w:p>
    <w:p w14:paraId="40D9B32F" w14:textId="77777777" w:rsidR="00843858" w:rsidRPr="002B3DAC" w:rsidRDefault="00843858" w:rsidP="00843858">
      <w:pPr>
        <w:pStyle w:val="Prrafodelista"/>
        <w:rPr>
          <w:rFonts w:ascii="Times New Roman" w:hAnsi="Times New Roman"/>
          <w:sz w:val="24"/>
          <w:szCs w:val="24"/>
        </w:rPr>
      </w:pPr>
    </w:p>
    <w:p w14:paraId="7ABBF31A" w14:textId="77777777" w:rsidR="00843858" w:rsidRPr="002B3DAC" w:rsidRDefault="00843858" w:rsidP="00843858">
      <w:pPr>
        <w:pStyle w:val="Prrafodelista"/>
        <w:ind w:left="0"/>
        <w:jc w:val="both"/>
        <w:rPr>
          <w:rFonts w:ascii="Times New Roman" w:hAnsi="Times New Roman"/>
          <w:sz w:val="24"/>
          <w:szCs w:val="24"/>
        </w:rPr>
      </w:pPr>
      <w:r w:rsidRPr="002B3DAC">
        <w:rPr>
          <w:rFonts w:ascii="Times New Roman" w:hAnsi="Times New Roman"/>
          <w:sz w:val="24"/>
          <w:szCs w:val="24"/>
        </w:rPr>
        <w:t>En un Estado Democrático de Derecho el aparato persecutor debe actuar, durante todo el procedimiento penal, con pleno respeto de los derechos fundamentales de las personas, erigiéndose estos en límites del ejercicio de ese poder punitivo, y los órganos estatales en garantes de los mismos. Ese es el sentido sustancial del derecho a un debido proceso penal y sus garantías legales en un procedimiento y a una investigación racionales y justos, en los términos previstos en el artículo 19 N ° 3, inciso 6°, de la Constitución Política de la República.</w:t>
      </w:r>
    </w:p>
    <w:p w14:paraId="176A3544" w14:textId="77777777" w:rsidR="00843858" w:rsidRPr="002B3DAC" w:rsidRDefault="00843858" w:rsidP="00843858">
      <w:pPr>
        <w:jc w:val="both"/>
        <w:rPr>
          <w:rFonts w:ascii="Times New Roman" w:hAnsi="Times New Roman"/>
          <w:sz w:val="24"/>
          <w:szCs w:val="24"/>
        </w:rPr>
      </w:pPr>
      <w:r w:rsidRPr="002B3DAC">
        <w:rPr>
          <w:rFonts w:ascii="Times New Roman" w:hAnsi="Times New Roman"/>
          <w:sz w:val="24"/>
          <w:szCs w:val="24"/>
        </w:rPr>
        <w:t>En consecuencia, los Fiscales del Ministerio Público y las policías deben ejercer sus facultades legales en los estrictos términos regulados en el amplio sistema de fuentes normativas vigentes, comprensivo de los Tratados Internacionales de Derechos Humanos, la Carta Fundamental y las leyes respectivas, con la menor afectación posible de los derechos de las personas. En el tema específico que nos ocupa, los derechos fundamentales involucrados son el debido proceso, el estado jurídico de inocencia y la libertad personal ambulatoria, cada uno de ellos con su correspondiente contenido de protección y limitaciones o restricciones previstas en el ordenamiento jurídico</w:t>
      </w:r>
      <w:r w:rsidRPr="002B3DAC">
        <w:rPr>
          <w:rStyle w:val="Refdenotaalpie"/>
          <w:rFonts w:ascii="Times New Roman" w:hAnsi="Times New Roman"/>
          <w:sz w:val="24"/>
          <w:szCs w:val="24"/>
        </w:rPr>
        <w:footnoteReference w:id="19"/>
      </w:r>
      <w:r w:rsidRPr="002B3DAC">
        <w:rPr>
          <w:rFonts w:ascii="Times New Roman" w:hAnsi="Times New Roman"/>
          <w:sz w:val="24"/>
          <w:szCs w:val="24"/>
        </w:rPr>
        <w:t xml:space="preserve">. </w:t>
      </w:r>
    </w:p>
    <w:p w14:paraId="608A3F41" w14:textId="77777777" w:rsidR="001038DD" w:rsidRPr="002B3DAC" w:rsidRDefault="001038DD" w:rsidP="001038DD">
      <w:pPr>
        <w:shd w:val="clear" w:color="auto" w:fill="FFFFFF"/>
        <w:spacing w:before="100" w:beforeAutospacing="1" w:after="100" w:afterAutospacing="1" w:line="240" w:lineRule="auto"/>
        <w:jc w:val="both"/>
        <w:rPr>
          <w:rFonts w:ascii="Times New Roman" w:eastAsia="Times New Roman" w:hAnsi="Times New Roman"/>
          <w:color w:val="2E2E2E"/>
          <w:sz w:val="24"/>
          <w:szCs w:val="24"/>
          <w:lang w:eastAsia="es-CL"/>
        </w:rPr>
      </w:pPr>
      <w:r w:rsidRPr="002B3DAC">
        <w:rPr>
          <w:rFonts w:ascii="Times New Roman" w:eastAsia="Times New Roman" w:hAnsi="Times New Roman"/>
          <w:color w:val="2E2E2E"/>
          <w:sz w:val="24"/>
          <w:szCs w:val="24"/>
          <w:lang w:eastAsia="es-CL"/>
        </w:rPr>
        <w:t>En materia de derechos fundamentales de las personas, nuestra constitución en el artículo 5°</w:t>
      </w:r>
      <w:r w:rsidR="008A4FA8" w:rsidRPr="002B3DAC">
        <w:rPr>
          <w:rFonts w:ascii="Times New Roman" w:eastAsia="Times New Roman" w:hAnsi="Times New Roman"/>
          <w:color w:val="2E2E2E"/>
          <w:sz w:val="24"/>
          <w:szCs w:val="24"/>
          <w:lang w:eastAsia="es-CL"/>
        </w:rPr>
        <w:t xml:space="preserve"> </w:t>
      </w:r>
      <w:r w:rsidRPr="002B3DAC">
        <w:rPr>
          <w:rFonts w:ascii="Times New Roman" w:eastAsia="Times New Roman" w:hAnsi="Times New Roman"/>
          <w:color w:val="2E2E2E"/>
          <w:sz w:val="24"/>
          <w:szCs w:val="24"/>
          <w:lang w:eastAsia="es-CL"/>
        </w:rPr>
        <w:t>inciso 2°, establece para todos los órganos del Estado, y como una de las bases de la institucionalidad, el deber de respeto de los derechos esenciales de la persona reconocidos en la Constitución y en los Tratados de Derechos Humanos que se encuentran ratificados y vigentes en el país.</w:t>
      </w:r>
    </w:p>
    <w:p w14:paraId="32A97A61" w14:textId="77777777" w:rsidR="001038DD" w:rsidRPr="002B3DAC" w:rsidRDefault="001038DD" w:rsidP="001038DD">
      <w:pPr>
        <w:shd w:val="clear" w:color="auto" w:fill="FFFFFF"/>
        <w:spacing w:before="100" w:beforeAutospacing="1" w:after="100" w:afterAutospacing="1" w:line="240" w:lineRule="auto"/>
        <w:jc w:val="both"/>
        <w:rPr>
          <w:rFonts w:ascii="Times New Roman" w:hAnsi="Times New Roman"/>
          <w:sz w:val="24"/>
          <w:szCs w:val="24"/>
          <w:shd w:val="clear" w:color="auto" w:fill="FFFFFF"/>
        </w:rPr>
      </w:pPr>
      <w:r w:rsidRPr="002B3DAC">
        <w:rPr>
          <w:rFonts w:ascii="Times New Roman" w:hAnsi="Times New Roman"/>
          <w:sz w:val="24"/>
          <w:szCs w:val="24"/>
        </w:rPr>
        <w:t xml:space="preserve">            La Constitución Política de la República en su artículo 19, numeral 7 asegura a todas las personas </w:t>
      </w:r>
      <w:r w:rsidRPr="002B3DAC">
        <w:rPr>
          <w:rFonts w:ascii="Times New Roman" w:hAnsi="Times New Roman"/>
          <w:color w:val="000000"/>
          <w:sz w:val="24"/>
          <w:szCs w:val="24"/>
          <w:u w:val="single"/>
          <w:shd w:val="clear" w:color="auto" w:fill="FFFFFF"/>
        </w:rPr>
        <w:t>“el derecho a la libertad personal y a la seguridad individual”.</w:t>
      </w:r>
      <w:r w:rsidRPr="002B3DAC">
        <w:rPr>
          <w:rFonts w:ascii="Times New Roman" w:hAnsi="Times New Roman"/>
          <w:color w:val="000000"/>
          <w:sz w:val="24"/>
          <w:szCs w:val="24"/>
          <w:shd w:val="clear" w:color="auto" w:fill="FFFFFF"/>
        </w:rPr>
        <w:t xml:space="preserve"> A su vez, </w:t>
      </w:r>
      <w:r w:rsidRPr="002B3DAC">
        <w:rPr>
          <w:rFonts w:ascii="Times New Roman" w:hAnsi="Times New Roman"/>
          <w:sz w:val="24"/>
          <w:szCs w:val="24"/>
        </w:rPr>
        <w:t xml:space="preserve">el  mismo texto constitucional, en </w:t>
      </w:r>
      <w:r w:rsidRPr="002B3DAC">
        <w:rPr>
          <w:rFonts w:ascii="Times New Roman" w:hAnsi="Times New Roman"/>
          <w:sz w:val="24"/>
          <w:szCs w:val="24"/>
          <w:shd w:val="clear" w:color="auto" w:fill="FFFFFF"/>
        </w:rPr>
        <w:t xml:space="preserve">el </w:t>
      </w:r>
      <w:r w:rsidRPr="002B3DAC">
        <w:rPr>
          <w:rFonts w:ascii="Times New Roman" w:hAnsi="Times New Roman"/>
          <w:sz w:val="24"/>
          <w:szCs w:val="24"/>
        </w:rPr>
        <w:t xml:space="preserve">literal e) del numeral 7°, respecto de las personas a las que se les formalizan cargos penales, y acerca de las cuáles se inicia una investigación penal, señala que </w:t>
      </w:r>
      <w:r w:rsidRPr="002B3DAC">
        <w:rPr>
          <w:rFonts w:ascii="Times New Roman" w:hAnsi="Times New Roman"/>
          <w:sz w:val="24"/>
          <w:szCs w:val="24"/>
          <w:u w:val="single"/>
        </w:rPr>
        <w:t>procede la libertad provisional</w:t>
      </w:r>
      <w:r w:rsidRPr="002B3DAC">
        <w:rPr>
          <w:rFonts w:ascii="Times New Roman" w:hAnsi="Times New Roman"/>
          <w:sz w:val="24"/>
          <w:szCs w:val="24"/>
        </w:rPr>
        <w:t>, “a menos que la detención o la prisión preventiva sea considerada por el juez como necesaria para las investigaciones del sumario o para la seguridad del ofendido o de la sociedad. Agregando que, “</w:t>
      </w:r>
      <w:r w:rsidRPr="002B3DAC">
        <w:rPr>
          <w:rFonts w:ascii="Times New Roman" w:hAnsi="Times New Roman"/>
          <w:sz w:val="24"/>
          <w:szCs w:val="24"/>
          <w:u w:val="single"/>
        </w:rPr>
        <w:t>corresponde a</w:t>
      </w:r>
      <w:r w:rsidR="00061102" w:rsidRPr="002B3DAC">
        <w:rPr>
          <w:rFonts w:ascii="Times New Roman" w:hAnsi="Times New Roman"/>
          <w:sz w:val="24"/>
          <w:szCs w:val="24"/>
          <w:u w:val="single"/>
        </w:rPr>
        <w:t xml:space="preserve"> </w:t>
      </w:r>
      <w:r w:rsidRPr="002B3DAC">
        <w:rPr>
          <w:rFonts w:ascii="Times New Roman" w:hAnsi="Times New Roman"/>
          <w:sz w:val="24"/>
          <w:szCs w:val="24"/>
          <w:u w:val="single"/>
        </w:rPr>
        <w:t>la ley establece</w:t>
      </w:r>
      <w:r w:rsidR="00061102" w:rsidRPr="002B3DAC">
        <w:rPr>
          <w:rFonts w:ascii="Times New Roman" w:hAnsi="Times New Roman"/>
          <w:sz w:val="24"/>
          <w:szCs w:val="24"/>
          <w:u w:val="single"/>
        </w:rPr>
        <w:t xml:space="preserve">r </w:t>
      </w:r>
      <w:r w:rsidRPr="002B3DAC">
        <w:rPr>
          <w:rFonts w:ascii="Times New Roman" w:hAnsi="Times New Roman"/>
          <w:sz w:val="24"/>
          <w:szCs w:val="24"/>
          <w:u w:val="single"/>
        </w:rPr>
        <w:t>los requisitos y modalidades para obtenerla</w:t>
      </w:r>
      <w:r w:rsidRPr="002B3DAC">
        <w:rPr>
          <w:rFonts w:ascii="Times New Roman" w:hAnsi="Times New Roman"/>
          <w:sz w:val="24"/>
          <w:szCs w:val="24"/>
        </w:rPr>
        <w:t>”.</w:t>
      </w:r>
    </w:p>
    <w:p w14:paraId="2AC8A5F2" w14:textId="77777777" w:rsidR="001038DD" w:rsidRPr="002B3DAC" w:rsidRDefault="001038DD" w:rsidP="001038DD">
      <w:pPr>
        <w:shd w:val="clear" w:color="auto" w:fill="FFFFFF"/>
        <w:spacing w:before="100" w:beforeAutospacing="1" w:after="100" w:afterAutospacing="1" w:line="240" w:lineRule="auto"/>
        <w:jc w:val="both"/>
        <w:rPr>
          <w:rFonts w:ascii="Times New Roman" w:hAnsi="Times New Roman"/>
          <w:sz w:val="24"/>
          <w:szCs w:val="24"/>
        </w:rPr>
      </w:pPr>
      <w:r w:rsidRPr="002B3DAC">
        <w:rPr>
          <w:rFonts w:ascii="Times New Roman" w:hAnsi="Times New Roman"/>
          <w:sz w:val="24"/>
          <w:szCs w:val="24"/>
        </w:rPr>
        <w:t xml:space="preserve">                   A su vez, </w:t>
      </w:r>
      <w:r w:rsidRPr="002B3DAC">
        <w:rPr>
          <w:rFonts w:ascii="Times New Roman" w:hAnsi="Times New Roman"/>
          <w:sz w:val="24"/>
          <w:szCs w:val="24"/>
          <w:shd w:val="clear" w:color="auto" w:fill="FFFFFF"/>
        </w:rPr>
        <w:t xml:space="preserve">el </w:t>
      </w:r>
      <w:r w:rsidRPr="002B3DAC">
        <w:rPr>
          <w:rFonts w:ascii="Times New Roman" w:hAnsi="Times New Roman"/>
          <w:sz w:val="24"/>
          <w:szCs w:val="24"/>
        </w:rPr>
        <w:t xml:space="preserve">artículo 19, numeral 3, asegura a todas las personas </w:t>
      </w:r>
      <w:r w:rsidRPr="002B3DAC">
        <w:rPr>
          <w:rFonts w:ascii="Times New Roman" w:hAnsi="Times New Roman"/>
          <w:sz w:val="24"/>
          <w:szCs w:val="24"/>
          <w:shd w:val="clear" w:color="auto" w:fill="FFFFFF"/>
        </w:rPr>
        <w:t xml:space="preserve">el derecho a la igualdad ante la ley : </w:t>
      </w:r>
      <w:r w:rsidRPr="002B3DAC">
        <w:rPr>
          <w:rFonts w:ascii="Times New Roman" w:hAnsi="Times New Roman"/>
          <w:sz w:val="24"/>
          <w:szCs w:val="24"/>
          <w:u w:val="single"/>
          <w:shd w:val="clear" w:color="auto" w:fill="FFFFFF"/>
        </w:rPr>
        <w:t>“A la igual protección de la ley en el ejercicio de sus derechos”.</w:t>
      </w:r>
      <w:r w:rsidRPr="002B3DAC">
        <w:rPr>
          <w:rFonts w:ascii="Times New Roman" w:hAnsi="Times New Roman"/>
          <w:sz w:val="24"/>
          <w:szCs w:val="24"/>
          <w:u w:val="single"/>
        </w:rPr>
        <w:t xml:space="preserve"> </w:t>
      </w:r>
      <w:r w:rsidRPr="002B3DAC">
        <w:rPr>
          <w:rFonts w:ascii="Times New Roman" w:hAnsi="Times New Roman"/>
          <w:sz w:val="24"/>
          <w:szCs w:val="24"/>
        </w:rPr>
        <w:t>En cuyo inciso 4</w:t>
      </w:r>
      <w:r w:rsidR="00124297" w:rsidRPr="002B3DAC">
        <w:rPr>
          <w:rFonts w:ascii="Times New Roman" w:hAnsi="Times New Roman"/>
          <w:sz w:val="24"/>
          <w:szCs w:val="24"/>
        </w:rPr>
        <w:t>°</w:t>
      </w:r>
      <w:r w:rsidRPr="002B3DAC">
        <w:rPr>
          <w:rFonts w:ascii="Times New Roman" w:hAnsi="Times New Roman"/>
          <w:sz w:val="24"/>
          <w:szCs w:val="24"/>
        </w:rPr>
        <w:t>, como manifestación de ese trato igualitario que se asegura a todos, prescribe que</w:t>
      </w:r>
      <w:r w:rsidRPr="002B3DAC">
        <w:rPr>
          <w:rFonts w:ascii="Times New Roman" w:hAnsi="Times New Roman"/>
          <w:sz w:val="24"/>
          <w:szCs w:val="24"/>
          <w:u w:val="single"/>
        </w:rPr>
        <w:t xml:space="preserve"> “toda sentencia de un órgano que ejerza jurisdicción debe fundarse en un proceso previo legalmente tramitado”</w:t>
      </w:r>
      <w:r w:rsidRPr="002B3DAC">
        <w:rPr>
          <w:rFonts w:ascii="Times New Roman" w:hAnsi="Times New Roman"/>
          <w:sz w:val="24"/>
          <w:szCs w:val="24"/>
        </w:rPr>
        <w:t xml:space="preserve">. Y que, “corresponderá al </w:t>
      </w:r>
      <w:r w:rsidRPr="002B3DAC">
        <w:rPr>
          <w:rFonts w:ascii="Times New Roman" w:hAnsi="Times New Roman"/>
          <w:sz w:val="24"/>
          <w:szCs w:val="24"/>
        </w:rPr>
        <w:lastRenderedPageBreak/>
        <w:t>legislador establecer siempre las garantías de un procedimiento y una investigación racionales y justos”. Es decir, reconoce el derecho fundamental a un debido proceso y a una investigación justa y racional. De modo que en la materia, al menos existen tres derechos fundamentales que deben ser respetados. A saber: el derecho a la libertad personal, e</w:t>
      </w:r>
      <w:r w:rsidR="001578AC" w:rsidRPr="002B3DAC">
        <w:rPr>
          <w:rFonts w:ascii="Times New Roman" w:hAnsi="Times New Roman"/>
          <w:sz w:val="24"/>
          <w:szCs w:val="24"/>
        </w:rPr>
        <w:t>l</w:t>
      </w:r>
      <w:r w:rsidRPr="002B3DAC">
        <w:rPr>
          <w:rFonts w:ascii="Times New Roman" w:hAnsi="Times New Roman"/>
          <w:sz w:val="24"/>
          <w:szCs w:val="24"/>
        </w:rPr>
        <w:t xml:space="preserve"> derecho a la igualdad ante la ley, y el derecho a un debido proceso, que e</w:t>
      </w:r>
      <w:r w:rsidR="001578AC" w:rsidRPr="002B3DAC">
        <w:rPr>
          <w:rFonts w:ascii="Times New Roman" w:hAnsi="Times New Roman"/>
          <w:sz w:val="24"/>
          <w:szCs w:val="24"/>
        </w:rPr>
        <w:t xml:space="preserve">n materia penal, en particular, </w:t>
      </w:r>
      <w:r w:rsidRPr="002B3DAC">
        <w:rPr>
          <w:rFonts w:ascii="Times New Roman" w:hAnsi="Times New Roman"/>
          <w:sz w:val="24"/>
          <w:szCs w:val="24"/>
        </w:rPr>
        <w:t>incluye como garantías esenciales, el derecho a la presunción de inocencia y el derecho a ser juzgado en plazo razonable.</w:t>
      </w:r>
    </w:p>
    <w:p w14:paraId="6E92EC0F" w14:textId="77777777" w:rsidR="00BB0DA1" w:rsidRPr="002B3DAC" w:rsidRDefault="00BB0DA1" w:rsidP="00BB0DA1">
      <w:pPr>
        <w:jc w:val="both"/>
        <w:rPr>
          <w:rFonts w:ascii="Times New Roman" w:hAnsi="Times New Roman"/>
          <w:sz w:val="24"/>
          <w:szCs w:val="24"/>
        </w:rPr>
      </w:pPr>
      <w:r w:rsidRPr="002B3DAC">
        <w:rPr>
          <w:rFonts w:ascii="Times New Roman" w:hAnsi="Times New Roman"/>
          <w:sz w:val="24"/>
          <w:szCs w:val="24"/>
        </w:rPr>
        <w:t xml:space="preserve">                   La regulación de la llamada presunción de inocencia la encontramos en el artículo 14.2 del Pacto Internacional de Derechos Civiles y Políticos, al señalar que “Toda persona acusada de un delito tiene derecho a que se presuma su inocencia mientras no se pruebe su culpabilidad conforme a la ley”, y en el artículo 8.2 de la Convención Americana de Derechos Humanos, que expresa: “Toda persona inculpada de delito tiene derecho a que se presuma su inocencia mientras no se establezca legalmente su culpabilidad…”, sin que nuestra Constitución Política de la República contenga una norma explícita al respecto. Podría eso sí argumentarse que en el artículo 19 N ° 3, inciso 7°, existiría una manifestación de tal postulado al señalar que “La ley no podrá presumir de derecho la responsabilidad penal”. En todo caso, en virtud de lo dispuesto en el artículo 5°, inciso 2°, de nuestra Carta Magna, dichos Tratados Internacionales, forman parte de la Constitución material. </w:t>
      </w:r>
    </w:p>
    <w:p w14:paraId="1576EFAA" w14:textId="77777777" w:rsidR="00147229" w:rsidRPr="002B3DAC" w:rsidRDefault="001038DD" w:rsidP="00BB0DA1">
      <w:pPr>
        <w:spacing w:after="0" w:line="240" w:lineRule="auto"/>
        <w:jc w:val="both"/>
        <w:rPr>
          <w:rFonts w:ascii="Times New Roman" w:hAnsi="Times New Roman"/>
          <w:sz w:val="24"/>
          <w:szCs w:val="24"/>
        </w:rPr>
      </w:pPr>
      <w:r w:rsidRPr="002B3DAC">
        <w:rPr>
          <w:rFonts w:ascii="Times New Roman" w:hAnsi="Times New Roman"/>
          <w:sz w:val="24"/>
          <w:szCs w:val="24"/>
        </w:rPr>
        <w:t xml:space="preserve">                    La Convención Americana de Derechos Humanos (CADH), a su vez, consagra en su </w:t>
      </w:r>
      <w:r w:rsidRPr="002B3DAC">
        <w:rPr>
          <w:rFonts w:ascii="Times New Roman" w:hAnsi="Times New Roman"/>
          <w:sz w:val="24"/>
          <w:szCs w:val="24"/>
          <w:u w:val="single"/>
        </w:rPr>
        <w:t>artículo 7°el “derecho a la libertad personal”</w:t>
      </w:r>
      <w:r w:rsidRPr="002B3DAC">
        <w:rPr>
          <w:rFonts w:ascii="Times New Roman" w:hAnsi="Times New Roman"/>
          <w:sz w:val="24"/>
          <w:szCs w:val="24"/>
        </w:rPr>
        <w:t xml:space="preserve">, y precisa su contenido, señalando que: “1. Toda persona tiene derecho a la libertad y a la seguridad personales; que “2. Nadie puede ser privado de su libertad física, salvo por las causas y en las condiciones fijadas de antemano por las Constituciones Políticas de los Estados Partes o por las leyes dictadas conforme a ellas; </w:t>
      </w:r>
      <w:r w:rsidRPr="002B3DAC">
        <w:rPr>
          <w:rFonts w:ascii="Times New Roman" w:hAnsi="Times New Roman"/>
          <w:sz w:val="24"/>
          <w:szCs w:val="24"/>
          <w:u w:val="single"/>
        </w:rPr>
        <w:t>“3.</w:t>
      </w:r>
      <w:r w:rsidR="001578AC" w:rsidRPr="002B3DAC">
        <w:rPr>
          <w:rFonts w:ascii="Times New Roman" w:hAnsi="Times New Roman"/>
          <w:sz w:val="24"/>
          <w:szCs w:val="24"/>
          <w:u w:val="single"/>
        </w:rPr>
        <w:t xml:space="preserve"> </w:t>
      </w:r>
      <w:r w:rsidRPr="002B3DAC">
        <w:rPr>
          <w:rFonts w:ascii="Times New Roman" w:hAnsi="Times New Roman"/>
          <w:sz w:val="24"/>
          <w:szCs w:val="24"/>
          <w:u w:val="single"/>
        </w:rPr>
        <w:t xml:space="preserve">Nadie puede ser sometido a detención o encarcelamiento arbitrarios.[…]; </w:t>
      </w:r>
      <w:r w:rsidRPr="002B3DAC">
        <w:rPr>
          <w:rFonts w:ascii="Times New Roman" w:hAnsi="Times New Roman"/>
          <w:sz w:val="24"/>
          <w:szCs w:val="24"/>
        </w:rPr>
        <w:t xml:space="preserve">“5. Toda persona detenida o retenida debe ser llevada, sin demora, ante un juez u otro funcionario autorizado por la ley para ejercer funciones judiciales y </w:t>
      </w:r>
      <w:r w:rsidRPr="002B3DAC">
        <w:rPr>
          <w:rFonts w:ascii="Times New Roman" w:hAnsi="Times New Roman"/>
          <w:sz w:val="24"/>
          <w:szCs w:val="24"/>
          <w:u w:val="single"/>
        </w:rPr>
        <w:t>tendrá derecho a ser juzgada dentro de un plazo razonable o a ser puesta en libertad,</w:t>
      </w:r>
      <w:r w:rsidRPr="002B3DAC">
        <w:rPr>
          <w:rFonts w:ascii="Times New Roman" w:hAnsi="Times New Roman"/>
          <w:sz w:val="24"/>
          <w:szCs w:val="24"/>
        </w:rPr>
        <w:t xml:space="preserve"> sin perjuicio de que continúe el proceso. </w:t>
      </w:r>
      <w:r w:rsidRPr="002B3DAC">
        <w:rPr>
          <w:rFonts w:ascii="Times New Roman" w:hAnsi="Times New Roman"/>
          <w:sz w:val="24"/>
          <w:szCs w:val="24"/>
          <w:u w:val="single"/>
        </w:rPr>
        <w:t>Su libertad podrá estar condicionada a garantías que aseguren su comparecencia en el juicio</w:t>
      </w:r>
      <w:r w:rsidRPr="002B3DAC">
        <w:rPr>
          <w:rFonts w:ascii="Times New Roman" w:hAnsi="Times New Roman"/>
          <w:sz w:val="24"/>
          <w:szCs w:val="24"/>
        </w:rPr>
        <w:t xml:space="preserve">.[…]”. A su vez, en su artículo 8° sobre “Garantías Judiciales” prescribe que “2. Toda persona inculpada de </w:t>
      </w:r>
      <w:r w:rsidRPr="002B3DAC">
        <w:rPr>
          <w:rFonts w:ascii="Times New Roman" w:hAnsi="Times New Roman"/>
          <w:sz w:val="24"/>
          <w:szCs w:val="24"/>
          <w:u w:val="single"/>
        </w:rPr>
        <w:t>delito tiene derecho a que se presuma su inocencia mientras no se establezca legalmente su culpabilidad</w:t>
      </w:r>
      <w:r w:rsidRPr="002B3DAC">
        <w:rPr>
          <w:rFonts w:ascii="Times New Roman" w:hAnsi="Times New Roman"/>
          <w:sz w:val="24"/>
          <w:szCs w:val="24"/>
        </w:rPr>
        <w:t>.[…]”</w:t>
      </w:r>
    </w:p>
    <w:p w14:paraId="0ED51C1C" w14:textId="77777777" w:rsidR="00843858" w:rsidRPr="002B3DAC" w:rsidRDefault="00843858" w:rsidP="00BB0DA1">
      <w:pPr>
        <w:spacing w:after="0" w:line="240" w:lineRule="auto"/>
        <w:jc w:val="both"/>
        <w:rPr>
          <w:rFonts w:ascii="Times New Roman" w:hAnsi="Times New Roman"/>
          <w:sz w:val="24"/>
          <w:szCs w:val="24"/>
        </w:rPr>
      </w:pPr>
    </w:p>
    <w:p w14:paraId="20A41F5D" w14:textId="77777777" w:rsidR="00EE1A1C" w:rsidRPr="002B3DAC" w:rsidRDefault="00843858" w:rsidP="00843858">
      <w:pPr>
        <w:jc w:val="both"/>
        <w:rPr>
          <w:rFonts w:ascii="Times New Roman" w:hAnsi="Times New Roman"/>
          <w:i/>
          <w:iCs/>
          <w:sz w:val="24"/>
          <w:szCs w:val="24"/>
        </w:rPr>
      </w:pPr>
      <w:r w:rsidRPr="002B3DAC">
        <w:rPr>
          <w:rFonts w:ascii="Times New Roman" w:hAnsi="Times New Roman"/>
          <w:sz w:val="24"/>
          <w:szCs w:val="24"/>
        </w:rPr>
        <w:t xml:space="preserve">                     A nivel legal, es el artículo 4° del Código Procesal Penal el que consagra este principio, a modo de garantía, al establecer que “Ninguna persona será considerada culpable ni</w:t>
      </w:r>
      <w:r w:rsidRPr="002B3DAC">
        <w:rPr>
          <w:rFonts w:ascii="Times New Roman" w:hAnsi="Times New Roman"/>
          <w:i/>
          <w:iCs/>
          <w:sz w:val="24"/>
          <w:szCs w:val="24"/>
        </w:rPr>
        <w:t xml:space="preserve"> </w:t>
      </w:r>
      <w:r w:rsidRPr="002B3DAC">
        <w:rPr>
          <w:rFonts w:ascii="Times New Roman" w:hAnsi="Times New Roman"/>
          <w:sz w:val="24"/>
          <w:szCs w:val="24"/>
        </w:rPr>
        <w:t>tratada como tal en tanto no fuere condenada por una sentencia firme”, plasmando así la llamada regla de trato, en cuya virtud los órganos de persecución estatal deben respetar la condición básica de todo ciudadano, de persona libre e inocente. De este modo, la regla general será el juzgamiento en libertad, respetándose al imputado su condición inicial de sujeto libre, pudiendo modificarla únicamente a consecuencia de una sentencia condenatoria firme.</w:t>
      </w:r>
      <w:r w:rsidRPr="002B3DAC">
        <w:rPr>
          <w:rStyle w:val="Refdenotaalpie"/>
          <w:rFonts w:ascii="Times New Roman" w:hAnsi="Times New Roman"/>
          <w:sz w:val="24"/>
          <w:szCs w:val="24"/>
        </w:rPr>
        <w:footnoteReference w:id="20"/>
      </w:r>
    </w:p>
    <w:p w14:paraId="5353E74F" w14:textId="77777777" w:rsidR="00843858" w:rsidRPr="002B3DAC" w:rsidRDefault="00843858" w:rsidP="00843858">
      <w:pPr>
        <w:jc w:val="both"/>
        <w:rPr>
          <w:rFonts w:ascii="Times New Roman" w:hAnsi="Times New Roman"/>
          <w:i/>
          <w:iCs/>
          <w:sz w:val="24"/>
          <w:szCs w:val="24"/>
        </w:rPr>
      </w:pPr>
    </w:p>
    <w:p w14:paraId="54DDA833" w14:textId="77777777" w:rsidR="002302D6" w:rsidRPr="002B3DAC" w:rsidRDefault="00A564A4" w:rsidP="00A564A4">
      <w:pPr>
        <w:pStyle w:val="Prrafodelista"/>
        <w:numPr>
          <w:ilvl w:val="0"/>
          <w:numId w:val="40"/>
        </w:numPr>
        <w:tabs>
          <w:tab w:val="left" w:pos="851"/>
        </w:tabs>
        <w:spacing w:after="0" w:line="240" w:lineRule="auto"/>
        <w:ind w:left="993" w:hanging="993"/>
        <w:jc w:val="both"/>
        <w:rPr>
          <w:rFonts w:ascii="Times New Roman" w:hAnsi="Times New Roman"/>
          <w:sz w:val="24"/>
          <w:szCs w:val="24"/>
        </w:rPr>
      </w:pPr>
      <w:r w:rsidRPr="002B3DAC">
        <w:rPr>
          <w:rFonts w:ascii="Times New Roman" w:hAnsi="Times New Roman"/>
          <w:sz w:val="24"/>
          <w:szCs w:val="24"/>
        </w:rPr>
        <w:t xml:space="preserve">   </w:t>
      </w:r>
      <w:r w:rsidR="00EE1A1C" w:rsidRPr="002B3DAC">
        <w:rPr>
          <w:rFonts w:ascii="Times New Roman" w:hAnsi="Times New Roman"/>
          <w:sz w:val="24"/>
          <w:szCs w:val="24"/>
        </w:rPr>
        <w:t xml:space="preserve">DOCTRINA DE LA </w:t>
      </w:r>
      <w:r w:rsidR="002302D6" w:rsidRPr="002B3DAC">
        <w:rPr>
          <w:rFonts w:ascii="Times New Roman" w:hAnsi="Times New Roman"/>
          <w:sz w:val="24"/>
          <w:szCs w:val="24"/>
        </w:rPr>
        <w:t>COMISIÓN INTERAMERICANA DE DERECHOS</w:t>
      </w:r>
      <w:r w:rsidRPr="002B3DAC">
        <w:rPr>
          <w:rFonts w:ascii="Times New Roman" w:hAnsi="Times New Roman"/>
          <w:sz w:val="24"/>
          <w:szCs w:val="24"/>
        </w:rPr>
        <w:t xml:space="preserve"> </w:t>
      </w:r>
      <w:r w:rsidR="002302D6" w:rsidRPr="002B3DAC">
        <w:rPr>
          <w:rFonts w:ascii="Times New Roman" w:hAnsi="Times New Roman"/>
          <w:sz w:val="24"/>
          <w:szCs w:val="24"/>
        </w:rPr>
        <w:t>HUMANOS</w:t>
      </w:r>
    </w:p>
    <w:p w14:paraId="568A98F3" w14:textId="77777777" w:rsidR="005B4DB5" w:rsidRPr="002B3DAC" w:rsidRDefault="00673A4A" w:rsidP="007A0CE1">
      <w:pPr>
        <w:shd w:val="clear" w:color="auto" w:fill="FFFFFF"/>
        <w:spacing w:before="100" w:beforeAutospacing="1" w:after="100" w:afterAutospacing="1" w:line="240" w:lineRule="auto"/>
        <w:jc w:val="both"/>
        <w:rPr>
          <w:rFonts w:ascii="Times New Roman" w:hAnsi="Times New Roman"/>
          <w:sz w:val="24"/>
          <w:szCs w:val="24"/>
        </w:rPr>
      </w:pPr>
      <w:r w:rsidRPr="002B3DAC">
        <w:rPr>
          <w:rFonts w:ascii="Times New Roman" w:hAnsi="Times New Roman"/>
          <w:sz w:val="24"/>
          <w:szCs w:val="24"/>
        </w:rPr>
        <w:t xml:space="preserve">                </w:t>
      </w:r>
      <w:r w:rsidR="00294A3F" w:rsidRPr="002B3DAC">
        <w:rPr>
          <w:rFonts w:ascii="Times New Roman" w:hAnsi="Times New Roman"/>
          <w:sz w:val="24"/>
          <w:szCs w:val="24"/>
        </w:rPr>
        <w:t xml:space="preserve">      </w:t>
      </w:r>
      <w:r w:rsidR="00187BAD" w:rsidRPr="002B3DAC">
        <w:rPr>
          <w:rFonts w:ascii="Times New Roman" w:hAnsi="Times New Roman"/>
          <w:sz w:val="24"/>
          <w:szCs w:val="24"/>
        </w:rPr>
        <w:t>La Comisión Interamericana de Derechos Humanos</w:t>
      </w:r>
      <w:r w:rsidR="0016379F" w:rsidRPr="002B3DAC">
        <w:rPr>
          <w:rFonts w:ascii="Times New Roman" w:hAnsi="Times New Roman"/>
          <w:sz w:val="24"/>
          <w:szCs w:val="24"/>
        </w:rPr>
        <w:t xml:space="preserve"> (CIDH)</w:t>
      </w:r>
      <w:r w:rsidR="00C83AAD" w:rsidRPr="002B3DAC">
        <w:rPr>
          <w:rFonts w:ascii="Times New Roman" w:hAnsi="Times New Roman"/>
          <w:sz w:val="24"/>
          <w:szCs w:val="24"/>
        </w:rPr>
        <w:t xml:space="preserve">, se ha </w:t>
      </w:r>
      <w:r w:rsidR="00294A3F" w:rsidRPr="002B3DAC">
        <w:rPr>
          <w:rFonts w:ascii="Times New Roman" w:hAnsi="Times New Roman"/>
          <w:sz w:val="24"/>
          <w:szCs w:val="24"/>
        </w:rPr>
        <w:t>hecho cargo</w:t>
      </w:r>
      <w:r w:rsidR="00C83AAD" w:rsidRPr="002B3DAC">
        <w:rPr>
          <w:rFonts w:ascii="Times New Roman" w:hAnsi="Times New Roman"/>
          <w:sz w:val="24"/>
          <w:szCs w:val="24"/>
        </w:rPr>
        <w:t>,</w:t>
      </w:r>
      <w:r w:rsidR="00294A3F" w:rsidRPr="002B3DAC">
        <w:rPr>
          <w:rFonts w:ascii="Times New Roman" w:hAnsi="Times New Roman"/>
          <w:sz w:val="24"/>
          <w:szCs w:val="24"/>
        </w:rPr>
        <w:t xml:space="preserve"> desde ya va</w:t>
      </w:r>
      <w:r w:rsidR="00704923" w:rsidRPr="002B3DAC">
        <w:rPr>
          <w:rFonts w:ascii="Times New Roman" w:hAnsi="Times New Roman"/>
          <w:sz w:val="24"/>
          <w:szCs w:val="24"/>
        </w:rPr>
        <w:t xml:space="preserve">rias décadas, de </w:t>
      </w:r>
      <w:r w:rsidR="00843858" w:rsidRPr="002B3DAC">
        <w:rPr>
          <w:rFonts w:ascii="Times New Roman" w:hAnsi="Times New Roman"/>
          <w:sz w:val="24"/>
          <w:szCs w:val="24"/>
        </w:rPr>
        <w:t xml:space="preserve">explicitar </w:t>
      </w:r>
      <w:r w:rsidR="00294A3F" w:rsidRPr="002B3DAC">
        <w:rPr>
          <w:rFonts w:ascii="Times New Roman" w:hAnsi="Times New Roman"/>
          <w:sz w:val="24"/>
          <w:szCs w:val="24"/>
        </w:rPr>
        <w:t xml:space="preserve">la relación de interdependencia existente </w:t>
      </w:r>
      <w:r w:rsidR="00294A3F" w:rsidRPr="002B3DAC">
        <w:rPr>
          <w:rFonts w:ascii="Times New Roman" w:hAnsi="Times New Roman"/>
          <w:sz w:val="24"/>
          <w:szCs w:val="24"/>
        </w:rPr>
        <w:lastRenderedPageBreak/>
        <w:t xml:space="preserve">entre los diferentes derechos esenciales de las personas, y de la necesidad de comprender que la vulneración de unos necesariamente implica la vulneración de otros, y por ende, en el caso de la prisión preventiva precisa la forma en la que se interrelacionan el derecho a la libertad personal, con el derecho a la igualdad ante la ley y el derecho a un debido proceso, y en particular, con las garantías esenciales a la presunción de inocencia y a ser juzgado en plazo razonable. A partir de allí, orienta a los Estados respecto de las normas </w:t>
      </w:r>
      <w:r w:rsidR="00704923" w:rsidRPr="002B3DAC">
        <w:rPr>
          <w:rFonts w:ascii="Times New Roman" w:hAnsi="Times New Roman"/>
          <w:sz w:val="24"/>
          <w:szCs w:val="24"/>
        </w:rPr>
        <w:t xml:space="preserve">internas </w:t>
      </w:r>
      <w:r w:rsidR="00C83AAD" w:rsidRPr="002B3DAC">
        <w:rPr>
          <w:rFonts w:ascii="Times New Roman" w:hAnsi="Times New Roman"/>
          <w:sz w:val="24"/>
          <w:szCs w:val="24"/>
        </w:rPr>
        <w:t xml:space="preserve">que han de </w:t>
      </w:r>
      <w:r w:rsidR="00294A3F" w:rsidRPr="002B3DAC">
        <w:rPr>
          <w:rFonts w:ascii="Times New Roman" w:hAnsi="Times New Roman"/>
          <w:sz w:val="24"/>
          <w:szCs w:val="24"/>
        </w:rPr>
        <w:t>regir la materia de modo que la regulación de la prisión preventiva no vulnere otros derechos esenciales de la persona afectando la esencia de sus contenidos. En tal sentido</w:t>
      </w:r>
      <w:r w:rsidR="004F27BC" w:rsidRPr="002B3DAC">
        <w:rPr>
          <w:rFonts w:ascii="Times New Roman" w:hAnsi="Times New Roman"/>
          <w:sz w:val="24"/>
          <w:szCs w:val="24"/>
        </w:rPr>
        <w:t>,</w:t>
      </w:r>
      <w:r w:rsidR="00635C72" w:rsidRPr="002B3DAC">
        <w:rPr>
          <w:rFonts w:ascii="Times New Roman" w:hAnsi="Times New Roman"/>
          <w:sz w:val="24"/>
          <w:szCs w:val="24"/>
        </w:rPr>
        <w:t xml:space="preserve"> </w:t>
      </w:r>
      <w:r w:rsidR="00187BAD" w:rsidRPr="002B3DAC">
        <w:rPr>
          <w:rFonts w:ascii="Times New Roman" w:hAnsi="Times New Roman"/>
          <w:sz w:val="24"/>
          <w:szCs w:val="24"/>
        </w:rPr>
        <w:t xml:space="preserve">en su “Informe Sobre el Uso de la Prisión preventiva en las Américas”, </w:t>
      </w:r>
      <w:r w:rsidR="009C48A2" w:rsidRPr="002B3DAC">
        <w:rPr>
          <w:rFonts w:ascii="Times New Roman" w:hAnsi="Times New Roman"/>
          <w:sz w:val="24"/>
          <w:szCs w:val="24"/>
        </w:rPr>
        <w:t xml:space="preserve">atendido lo dispuesto en  el artículo 7, literal 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 </w:t>
      </w:r>
      <w:r w:rsidR="00187BAD" w:rsidRPr="002B3DAC">
        <w:rPr>
          <w:rFonts w:ascii="Times New Roman" w:hAnsi="Times New Roman"/>
          <w:sz w:val="24"/>
          <w:szCs w:val="24"/>
        </w:rPr>
        <w:t xml:space="preserve">ha precisado que </w:t>
      </w:r>
      <w:r w:rsidR="009C48A2" w:rsidRPr="002B3DAC">
        <w:rPr>
          <w:rFonts w:ascii="Times New Roman" w:hAnsi="Times New Roman"/>
          <w:sz w:val="24"/>
          <w:szCs w:val="24"/>
        </w:rPr>
        <w:t xml:space="preserve">la Convención prevé como únicos fundamentos legítimos de la prisión preventiva, “el riesgo de que el imputado intente eludir el accionar de la justicia, o de que intente obstaculizar la investigación judicial” </w:t>
      </w:r>
      <w:r w:rsidR="009C48A2" w:rsidRPr="002B3DAC">
        <w:rPr>
          <w:rStyle w:val="Refdenotaalpie"/>
          <w:rFonts w:ascii="Times New Roman" w:hAnsi="Times New Roman"/>
          <w:sz w:val="24"/>
          <w:szCs w:val="24"/>
        </w:rPr>
        <w:footnoteReference w:id="21"/>
      </w:r>
      <w:r w:rsidR="009C48A2" w:rsidRPr="002B3DAC">
        <w:rPr>
          <w:rFonts w:ascii="Times New Roman" w:hAnsi="Times New Roman"/>
          <w:sz w:val="24"/>
          <w:szCs w:val="24"/>
        </w:rPr>
        <w:t>.</w:t>
      </w:r>
      <w:r w:rsidR="007A0CE1" w:rsidRPr="002B3DAC">
        <w:rPr>
          <w:rFonts w:ascii="Times New Roman" w:hAnsi="Times New Roman"/>
          <w:sz w:val="24"/>
          <w:szCs w:val="24"/>
        </w:rPr>
        <w:t xml:space="preserve"> </w:t>
      </w:r>
    </w:p>
    <w:p w14:paraId="1E1A75C0" w14:textId="77777777" w:rsidR="00514E5E" w:rsidRPr="002B3DAC" w:rsidRDefault="005B4DB5" w:rsidP="004379DE">
      <w:pPr>
        <w:shd w:val="clear" w:color="auto" w:fill="FFFFFF"/>
        <w:spacing w:before="100" w:beforeAutospacing="1" w:after="100" w:afterAutospacing="1" w:line="240" w:lineRule="auto"/>
        <w:jc w:val="both"/>
        <w:rPr>
          <w:rFonts w:ascii="Times New Roman" w:hAnsi="Times New Roman"/>
          <w:sz w:val="24"/>
          <w:szCs w:val="24"/>
        </w:rPr>
      </w:pPr>
      <w:r w:rsidRPr="002B3DAC">
        <w:rPr>
          <w:rFonts w:ascii="Times New Roman" w:hAnsi="Times New Roman"/>
          <w:sz w:val="24"/>
          <w:szCs w:val="24"/>
        </w:rPr>
        <w:t xml:space="preserve">                 </w:t>
      </w:r>
      <w:r w:rsidR="004F27BC" w:rsidRPr="002B3DAC">
        <w:rPr>
          <w:rFonts w:ascii="Times New Roman" w:hAnsi="Times New Roman"/>
          <w:sz w:val="24"/>
          <w:szCs w:val="24"/>
        </w:rPr>
        <w:t>A</w:t>
      </w:r>
      <w:r w:rsidRPr="002B3DAC">
        <w:rPr>
          <w:rFonts w:ascii="Times New Roman" w:hAnsi="Times New Roman"/>
          <w:sz w:val="24"/>
          <w:szCs w:val="24"/>
        </w:rPr>
        <w:t>clara la C</w:t>
      </w:r>
      <w:r w:rsidR="004F27BC" w:rsidRPr="002B3DAC">
        <w:rPr>
          <w:rFonts w:ascii="Times New Roman" w:hAnsi="Times New Roman"/>
          <w:sz w:val="24"/>
          <w:szCs w:val="24"/>
        </w:rPr>
        <w:t>omisión cual</w:t>
      </w:r>
      <w:r w:rsidR="00BE4BB3" w:rsidRPr="002B3DAC">
        <w:rPr>
          <w:rFonts w:ascii="Times New Roman" w:hAnsi="Times New Roman"/>
          <w:sz w:val="24"/>
          <w:szCs w:val="24"/>
        </w:rPr>
        <w:t xml:space="preserve"> </w:t>
      </w:r>
      <w:r w:rsidR="004F27BC" w:rsidRPr="002B3DAC">
        <w:rPr>
          <w:rFonts w:ascii="Times New Roman" w:hAnsi="Times New Roman"/>
          <w:sz w:val="24"/>
          <w:szCs w:val="24"/>
        </w:rPr>
        <w:t xml:space="preserve">es la finalidad de la prisión preventiva en un </w:t>
      </w:r>
      <w:r w:rsidR="00BE4BB3" w:rsidRPr="002B3DAC">
        <w:rPr>
          <w:rFonts w:ascii="Times New Roman" w:hAnsi="Times New Roman"/>
          <w:sz w:val="24"/>
          <w:szCs w:val="24"/>
        </w:rPr>
        <w:t xml:space="preserve">sistema jurídico </w:t>
      </w:r>
      <w:r w:rsidR="00CB3F1D" w:rsidRPr="002B3DAC">
        <w:rPr>
          <w:rFonts w:ascii="Times New Roman" w:hAnsi="Times New Roman"/>
          <w:sz w:val="24"/>
          <w:szCs w:val="24"/>
        </w:rPr>
        <w:t xml:space="preserve">democrático y </w:t>
      </w:r>
      <w:r w:rsidR="00BE4BB3" w:rsidRPr="002B3DAC">
        <w:rPr>
          <w:rFonts w:ascii="Times New Roman" w:hAnsi="Times New Roman"/>
          <w:sz w:val="24"/>
          <w:szCs w:val="24"/>
        </w:rPr>
        <w:t>respetuos</w:t>
      </w:r>
      <w:r w:rsidR="00CB3F1D" w:rsidRPr="002B3DAC">
        <w:rPr>
          <w:rFonts w:ascii="Times New Roman" w:hAnsi="Times New Roman"/>
          <w:sz w:val="24"/>
          <w:szCs w:val="24"/>
        </w:rPr>
        <w:t>o</w:t>
      </w:r>
      <w:r w:rsidR="00BE4BB3" w:rsidRPr="002B3DAC">
        <w:rPr>
          <w:rFonts w:ascii="Times New Roman" w:hAnsi="Times New Roman"/>
          <w:sz w:val="24"/>
          <w:szCs w:val="24"/>
        </w:rPr>
        <w:t xml:space="preserve"> </w:t>
      </w:r>
      <w:r w:rsidR="00CB3F1D" w:rsidRPr="002B3DAC">
        <w:rPr>
          <w:rFonts w:ascii="Times New Roman" w:hAnsi="Times New Roman"/>
          <w:sz w:val="24"/>
          <w:szCs w:val="24"/>
        </w:rPr>
        <w:t>d</w:t>
      </w:r>
      <w:r w:rsidR="00BE4BB3" w:rsidRPr="002B3DAC">
        <w:rPr>
          <w:rFonts w:ascii="Times New Roman" w:hAnsi="Times New Roman"/>
          <w:sz w:val="24"/>
          <w:szCs w:val="24"/>
        </w:rPr>
        <w:t xml:space="preserve">e los DDHH: </w:t>
      </w:r>
      <w:r w:rsidR="004F27BC" w:rsidRPr="002B3DAC">
        <w:rPr>
          <w:rFonts w:ascii="Times New Roman" w:hAnsi="Times New Roman"/>
          <w:sz w:val="24"/>
          <w:szCs w:val="24"/>
        </w:rPr>
        <w:t>“</w:t>
      </w:r>
      <w:r w:rsidR="007A0CE1" w:rsidRPr="002B3DAC">
        <w:rPr>
          <w:rFonts w:ascii="Times New Roman" w:hAnsi="Times New Roman"/>
          <w:sz w:val="24"/>
          <w:szCs w:val="24"/>
        </w:rPr>
        <w:t>lo que se pretende por medio de la aplicación de esta medida cautelar es concretamente lograr la efectiva realización del juicio a través de la neutralización de los riesgos procesales que atentan contra ese fin. Por lo tanto, es contrario a esta norma y al derecho a la presunción de inocencia, e incongruente con el principio de interpretación pro homine, el que se justifique la detención previa al juicio en fines preventivos como la peligrosidad del imputado, la posibilidad de que cometa delitos en el futuro o la repercusión social del hecho. No sólo por las razones expuestas, sino porque se apoyan en criterios de derecho penal material, no procesal, propios de la respuesta punitiva</w:t>
      </w:r>
      <w:r w:rsidR="0004513D" w:rsidRPr="002B3DAC">
        <w:rPr>
          <w:rFonts w:ascii="Times New Roman" w:hAnsi="Times New Roman"/>
          <w:sz w:val="24"/>
          <w:szCs w:val="24"/>
        </w:rPr>
        <w:t>”</w:t>
      </w:r>
      <w:r w:rsidR="0004513D" w:rsidRPr="002B3DAC">
        <w:rPr>
          <w:rStyle w:val="Refdenotaalpie"/>
          <w:rFonts w:ascii="Times New Roman" w:hAnsi="Times New Roman"/>
          <w:sz w:val="24"/>
          <w:szCs w:val="24"/>
        </w:rPr>
        <w:footnoteReference w:id="22"/>
      </w:r>
      <w:r w:rsidR="00C82D9A" w:rsidRPr="002B3DAC">
        <w:rPr>
          <w:rFonts w:ascii="Times New Roman" w:hAnsi="Times New Roman"/>
          <w:sz w:val="24"/>
          <w:szCs w:val="24"/>
        </w:rPr>
        <w:t xml:space="preserve"> Consecuentemente</w:t>
      </w:r>
      <w:r w:rsidR="005564D6" w:rsidRPr="002B3DAC">
        <w:rPr>
          <w:rFonts w:ascii="Times New Roman" w:hAnsi="Times New Roman"/>
          <w:sz w:val="24"/>
          <w:szCs w:val="24"/>
        </w:rPr>
        <w:t xml:space="preserve">, la CIDH señala que </w:t>
      </w:r>
      <w:r w:rsidR="00C82D9A" w:rsidRPr="002B3DAC">
        <w:rPr>
          <w:rFonts w:ascii="Times New Roman" w:hAnsi="Times New Roman"/>
          <w:sz w:val="24"/>
          <w:szCs w:val="24"/>
        </w:rPr>
        <w:t>“</w:t>
      </w:r>
      <w:r w:rsidR="005564D6" w:rsidRPr="002B3DAC">
        <w:rPr>
          <w:rFonts w:ascii="Times New Roman" w:hAnsi="Times New Roman"/>
          <w:sz w:val="24"/>
          <w:szCs w:val="24"/>
        </w:rPr>
        <w:t>la legitimidad de las causales de procedencia de la prisión preventiva deriva de su compatibilidad con la citada Convención y no del mero hecho de que estén contenidas en la ley; pues</w:t>
      </w:r>
      <w:r w:rsidR="00C82D9A" w:rsidRPr="002B3DAC">
        <w:rPr>
          <w:rFonts w:ascii="Times New Roman" w:hAnsi="Times New Roman"/>
          <w:sz w:val="24"/>
          <w:szCs w:val="24"/>
        </w:rPr>
        <w:t xml:space="preserve"> -</w:t>
      </w:r>
      <w:r w:rsidR="005564D6" w:rsidRPr="002B3DAC">
        <w:rPr>
          <w:rFonts w:ascii="Times New Roman" w:hAnsi="Times New Roman"/>
          <w:sz w:val="24"/>
          <w:szCs w:val="24"/>
        </w:rPr>
        <w:t xml:space="preserve">sostiene </w:t>
      </w:r>
      <w:r w:rsidR="00C82D9A" w:rsidRPr="002B3DAC">
        <w:rPr>
          <w:rFonts w:ascii="Times New Roman" w:hAnsi="Times New Roman"/>
          <w:sz w:val="24"/>
          <w:szCs w:val="24"/>
        </w:rPr>
        <w:t xml:space="preserve">este organismo especializado- </w:t>
      </w:r>
      <w:r w:rsidR="005564D6" w:rsidRPr="002B3DAC">
        <w:rPr>
          <w:rFonts w:ascii="Times New Roman" w:hAnsi="Times New Roman"/>
          <w:sz w:val="24"/>
          <w:szCs w:val="24"/>
        </w:rPr>
        <w:t xml:space="preserve">es posible que por vía legal se establezcan causales o criterios de aplicación contrarios al régimen creado por la CIDH. En este sentido, </w:t>
      </w:r>
      <w:r w:rsidR="00EF0CE4" w:rsidRPr="002B3DAC">
        <w:rPr>
          <w:rFonts w:ascii="Times New Roman" w:hAnsi="Times New Roman"/>
          <w:sz w:val="24"/>
          <w:szCs w:val="24"/>
        </w:rPr>
        <w:t xml:space="preserve">concluye que </w:t>
      </w:r>
      <w:r w:rsidR="005564D6" w:rsidRPr="002B3DAC">
        <w:rPr>
          <w:rFonts w:ascii="Times New Roman" w:hAnsi="Times New Roman"/>
          <w:sz w:val="24"/>
          <w:szCs w:val="24"/>
        </w:rPr>
        <w:t xml:space="preserve">“la legislación que establece las causales de restricción de la libertad personal debe ser dictada de conformidad con los principios que rigen la Convención, y ser conducente a la efectiva observancia de las garantías en ella prevista” </w:t>
      </w:r>
      <w:r w:rsidR="005564D6" w:rsidRPr="002B3DAC">
        <w:rPr>
          <w:rStyle w:val="Refdenotaalpie"/>
          <w:rFonts w:ascii="Times New Roman" w:hAnsi="Times New Roman"/>
          <w:sz w:val="24"/>
          <w:szCs w:val="24"/>
        </w:rPr>
        <w:footnoteReference w:id="23"/>
      </w:r>
      <w:r w:rsidR="005564D6" w:rsidRPr="002B3DAC">
        <w:rPr>
          <w:rFonts w:ascii="Times New Roman" w:hAnsi="Times New Roman"/>
          <w:sz w:val="24"/>
          <w:szCs w:val="24"/>
        </w:rPr>
        <w:t xml:space="preserve">. </w:t>
      </w:r>
    </w:p>
    <w:p w14:paraId="7824078F" w14:textId="77777777" w:rsidR="00EE1A1C" w:rsidRPr="002B3DAC" w:rsidRDefault="00EE1A1C" w:rsidP="00EE1A1C">
      <w:pPr>
        <w:shd w:val="clear" w:color="auto" w:fill="FFFFFF"/>
        <w:tabs>
          <w:tab w:val="left" w:pos="1843"/>
        </w:tabs>
        <w:spacing w:before="100" w:beforeAutospacing="1" w:after="100" w:afterAutospacing="1" w:line="240" w:lineRule="auto"/>
        <w:jc w:val="both"/>
        <w:rPr>
          <w:rFonts w:ascii="Times New Roman" w:hAnsi="Times New Roman"/>
          <w:sz w:val="24"/>
          <w:szCs w:val="24"/>
        </w:rPr>
      </w:pPr>
    </w:p>
    <w:p w14:paraId="1942FDBA" w14:textId="77777777" w:rsidR="00A600C0" w:rsidRPr="002B3DAC" w:rsidRDefault="002302D6" w:rsidP="00843858">
      <w:pPr>
        <w:pStyle w:val="Prrafodelista"/>
        <w:numPr>
          <w:ilvl w:val="0"/>
          <w:numId w:val="40"/>
        </w:numPr>
        <w:shd w:val="clear" w:color="auto" w:fill="FFFFFF"/>
        <w:spacing w:before="100" w:beforeAutospacing="1" w:after="100" w:afterAutospacing="1" w:line="240" w:lineRule="auto"/>
        <w:ind w:left="567" w:hanging="567"/>
        <w:jc w:val="both"/>
        <w:rPr>
          <w:rFonts w:ascii="Times New Roman" w:hAnsi="Times New Roman"/>
          <w:sz w:val="24"/>
          <w:szCs w:val="24"/>
        </w:rPr>
      </w:pPr>
      <w:r w:rsidRPr="002B3DAC">
        <w:rPr>
          <w:rFonts w:ascii="Times New Roman" w:hAnsi="Times New Roman"/>
          <w:sz w:val="24"/>
          <w:szCs w:val="24"/>
        </w:rPr>
        <w:t xml:space="preserve">DOCTRINA DEL </w:t>
      </w:r>
      <w:r w:rsidR="00A600C0" w:rsidRPr="002B3DAC">
        <w:rPr>
          <w:rFonts w:ascii="Times New Roman" w:hAnsi="Times New Roman"/>
          <w:sz w:val="24"/>
          <w:szCs w:val="24"/>
        </w:rPr>
        <w:t>COMITÉ DE DERECHOS HUMANOS DE LA ORGANIZACIÓN DE NACIONES UNIDAS</w:t>
      </w:r>
    </w:p>
    <w:p w14:paraId="3A0C76F4" w14:textId="77777777" w:rsidR="00A6537A" w:rsidRPr="002B3DAC" w:rsidRDefault="00EE3E77" w:rsidP="00A600C0">
      <w:pPr>
        <w:shd w:val="clear" w:color="auto" w:fill="FFFFFF"/>
        <w:tabs>
          <w:tab w:val="left" w:pos="284"/>
        </w:tabs>
        <w:spacing w:before="100" w:beforeAutospacing="1" w:after="100" w:afterAutospacing="1" w:line="240" w:lineRule="auto"/>
        <w:jc w:val="both"/>
        <w:rPr>
          <w:rFonts w:ascii="Times New Roman" w:hAnsi="Times New Roman"/>
          <w:sz w:val="24"/>
          <w:szCs w:val="24"/>
        </w:rPr>
      </w:pPr>
      <w:r w:rsidRPr="002B3DAC">
        <w:rPr>
          <w:rFonts w:ascii="Times New Roman" w:hAnsi="Times New Roman"/>
          <w:sz w:val="24"/>
          <w:szCs w:val="24"/>
        </w:rPr>
        <w:t xml:space="preserve">         </w:t>
      </w:r>
      <w:r w:rsidR="007241AF" w:rsidRPr="002B3DAC">
        <w:rPr>
          <w:rFonts w:ascii="Times New Roman" w:hAnsi="Times New Roman"/>
          <w:sz w:val="24"/>
          <w:szCs w:val="24"/>
        </w:rPr>
        <w:t>Por su parte, e</w:t>
      </w:r>
      <w:r w:rsidR="008E5C94" w:rsidRPr="002B3DAC">
        <w:rPr>
          <w:rFonts w:ascii="Times New Roman" w:hAnsi="Times New Roman"/>
          <w:sz w:val="24"/>
          <w:szCs w:val="24"/>
        </w:rPr>
        <w:t xml:space="preserve">l Comité de Derechos Humanos de la </w:t>
      </w:r>
      <w:r w:rsidR="00C21B3B" w:rsidRPr="002B3DAC">
        <w:rPr>
          <w:rFonts w:ascii="Times New Roman" w:hAnsi="Times New Roman"/>
          <w:sz w:val="24"/>
          <w:szCs w:val="24"/>
        </w:rPr>
        <w:t>Organización de Naciones Unidas, en su</w:t>
      </w:r>
      <w:r w:rsidRPr="002B3DAC">
        <w:rPr>
          <w:rFonts w:ascii="Times New Roman" w:hAnsi="Times New Roman"/>
          <w:sz w:val="24"/>
          <w:szCs w:val="24"/>
        </w:rPr>
        <w:t>s</w:t>
      </w:r>
      <w:r w:rsidR="00C21B3B" w:rsidRPr="002B3DAC">
        <w:rPr>
          <w:rFonts w:ascii="Times New Roman" w:hAnsi="Times New Roman"/>
          <w:sz w:val="24"/>
          <w:szCs w:val="24"/>
        </w:rPr>
        <w:t xml:space="preserve"> Observaciones Generales</w:t>
      </w:r>
      <w:r w:rsidR="00282398" w:rsidRPr="002B3DAC">
        <w:rPr>
          <w:rFonts w:ascii="Times New Roman" w:hAnsi="Times New Roman"/>
          <w:sz w:val="24"/>
          <w:szCs w:val="24"/>
        </w:rPr>
        <w:t xml:space="preserve"> </w:t>
      </w:r>
      <w:r w:rsidR="00672A93" w:rsidRPr="002B3DAC">
        <w:rPr>
          <w:rFonts w:ascii="Times New Roman" w:hAnsi="Times New Roman"/>
          <w:sz w:val="24"/>
          <w:szCs w:val="24"/>
        </w:rPr>
        <w:t xml:space="preserve">respecto de los derechos a la </w:t>
      </w:r>
      <w:r w:rsidR="00EE3CC1" w:rsidRPr="002B3DAC">
        <w:rPr>
          <w:rFonts w:ascii="Times New Roman" w:hAnsi="Times New Roman"/>
          <w:sz w:val="24"/>
          <w:szCs w:val="24"/>
        </w:rPr>
        <w:t>libertad persona</w:t>
      </w:r>
      <w:r w:rsidR="003D2B73" w:rsidRPr="002B3DAC">
        <w:rPr>
          <w:rFonts w:ascii="Times New Roman" w:hAnsi="Times New Roman"/>
          <w:sz w:val="24"/>
          <w:szCs w:val="24"/>
        </w:rPr>
        <w:t xml:space="preserve">l (Articulo 9 Articulo 14  Pacto de Derechos Civiles y </w:t>
      </w:r>
      <w:r w:rsidR="00E4566F" w:rsidRPr="002B3DAC">
        <w:rPr>
          <w:rFonts w:ascii="Times New Roman" w:hAnsi="Times New Roman"/>
          <w:sz w:val="24"/>
          <w:szCs w:val="24"/>
        </w:rPr>
        <w:t>P</w:t>
      </w:r>
      <w:r w:rsidR="003D2B73" w:rsidRPr="002B3DAC">
        <w:rPr>
          <w:rFonts w:ascii="Times New Roman" w:hAnsi="Times New Roman"/>
          <w:sz w:val="24"/>
          <w:szCs w:val="24"/>
        </w:rPr>
        <w:t>olíticos)</w:t>
      </w:r>
      <w:r w:rsidR="00E4566F" w:rsidRPr="002B3DAC">
        <w:rPr>
          <w:rFonts w:ascii="Times New Roman" w:hAnsi="Times New Roman"/>
          <w:sz w:val="24"/>
          <w:szCs w:val="24"/>
        </w:rPr>
        <w:t>,</w:t>
      </w:r>
      <w:r w:rsidR="003D2B73" w:rsidRPr="002B3DAC">
        <w:rPr>
          <w:rFonts w:ascii="Times New Roman" w:hAnsi="Times New Roman"/>
          <w:sz w:val="24"/>
          <w:szCs w:val="24"/>
        </w:rPr>
        <w:t xml:space="preserve"> </w:t>
      </w:r>
      <w:hyperlink r:id="rId8" w:history="1">
        <w:r w:rsidR="00E4566F" w:rsidRPr="002B3DAC">
          <w:rPr>
            <w:rStyle w:val="Hipervnculo"/>
            <w:rFonts w:ascii="Times New Roman" w:hAnsi="Times New Roman"/>
            <w:color w:val="auto"/>
            <w:sz w:val="24"/>
            <w:szCs w:val="24"/>
            <w:u w:val="none"/>
          </w:rPr>
          <w:t>a un juicio imparcial y a la igualdad ante los tribunales y cortes de justicia</w:t>
        </w:r>
      </w:hyperlink>
      <w:r w:rsidR="00E4566F" w:rsidRPr="002B3DAC">
        <w:rPr>
          <w:rFonts w:ascii="Times New Roman" w:hAnsi="Times New Roman"/>
          <w:sz w:val="24"/>
          <w:szCs w:val="24"/>
        </w:rPr>
        <w:t xml:space="preserve"> (Articulo 14  Pacto de Derechos Civiles y Políticos), </w:t>
      </w:r>
      <w:r w:rsidRPr="002B3DAC">
        <w:rPr>
          <w:rFonts w:ascii="Times New Roman" w:hAnsi="Times New Roman"/>
          <w:sz w:val="24"/>
          <w:szCs w:val="24"/>
        </w:rPr>
        <w:t xml:space="preserve">también se hace cargo de la relación de interdependencia existente </w:t>
      </w:r>
      <w:r w:rsidRPr="002B3DAC">
        <w:rPr>
          <w:rFonts w:ascii="Times New Roman" w:hAnsi="Times New Roman"/>
          <w:sz w:val="24"/>
          <w:szCs w:val="24"/>
        </w:rPr>
        <w:lastRenderedPageBreak/>
        <w:t xml:space="preserve">entre los diferentes derechos esenciales de las personas, y de la necesidad de comprender que la vulneración de unos necesariamente implica la vulneración de otros, y por ende, en el caso de la prisión preventiva precisa la forma en la que se interrelacionan el derecho a la libertad personal, con el derecho a la igualdad ante la ley y el derecho a un debido proceso, y en particular, con las  garantías esenciales a la presunción de inocencia y a ser juzgado en plazo razonable. A partir de allí, orienta a los Estados respecto de las normas que han de regir la materia de modo que la regulación de la prisión preventiva no vulnere otros derechos esenciales de la persona afectando la esencia de sus contenidos. </w:t>
      </w:r>
      <w:r w:rsidR="00635C72" w:rsidRPr="002B3DAC">
        <w:rPr>
          <w:rFonts w:ascii="Times New Roman" w:hAnsi="Times New Roman"/>
          <w:sz w:val="24"/>
          <w:szCs w:val="24"/>
        </w:rPr>
        <w:t>En términos concretos</w:t>
      </w:r>
      <w:r w:rsidR="00B80D7E" w:rsidRPr="002B3DAC">
        <w:rPr>
          <w:rFonts w:ascii="Times New Roman" w:hAnsi="Times New Roman"/>
          <w:sz w:val="24"/>
          <w:szCs w:val="24"/>
        </w:rPr>
        <w:t>, el Comité señala a los Estados:</w:t>
      </w:r>
    </w:p>
    <w:p w14:paraId="0B3C32D4" w14:textId="77777777" w:rsidR="007151A4" w:rsidRPr="002B3DAC" w:rsidRDefault="007A0A2D" w:rsidP="00864D3D">
      <w:pPr>
        <w:pStyle w:val="Prrafodelista"/>
        <w:numPr>
          <w:ilvl w:val="0"/>
          <w:numId w:val="14"/>
        </w:numPr>
        <w:shd w:val="clear" w:color="auto" w:fill="FFFFFF"/>
        <w:spacing w:before="100" w:beforeAutospacing="1" w:after="100" w:afterAutospacing="1" w:line="240" w:lineRule="auto"/>
        <w:ind w:left="0" w:firstLine="0"/>
        <w:jc w:val="both"/>
        <w:rPr>
          <w:rFonts w:ascii="Times New Roman" w:hAnsi="Times New Roman"/>
          <w:color w:val="000000"/>
          <w:sz w:val="24"/>
          <w:szCs w:val="24"/>
        </w:rPr>
      </w:pPr>
      <w:r w:rsidRPr="002B3DAC">
        <w:rPr>
          <w:rFonts w:ascii="Times New Roman" w:hAnsi="Times New Roman"/>
          <w:color w:val="000000"/>
          <w:sz w:val="24"/>
          <w:szCs w:val="24"/>
        </w:rPr>
        <w:t>“</w:t>
      </w:r>
      <w:r w:rsidR="00371C2A" w:rsidRPr="002B3DAC">
        <w:rPr>
          <w:rFonts w:ascii="Times New Roman" w:hAnsi="Times New Roman"/>
          <w:color w:val="000000"/>
          <w:sz w:val="24"/>
          <w:szCs w:val="24"/>
        </w:rPr>
        <w:t>El artículo 14 establece garantías que los Estados Partes deben respetar, independientemente de su tradición jurídica y de su derecho interno</w:t>
      </w:r>
      <w:r w:rsidR="008364B7" w:rsidRPr="002B3DAC">
        <w:rPr>
          <w:rFonts w:ascii="Times New Roman" w:hAnsi="Times New Roman"/>
          <w:color w:val="000000"/>
          <w:sz w:val="24"/>
          <w:szCs w:val="24"/>
        </w:rPr>
        <w:t xml:space="preserve">, y </w:t>
      </w:r>
      <w:r w:rsidR="00371C2A" w:rsidRPr="002B3DAC">
        <w:rPr>
          <w:rFonts w:ascii="Times New Roman" w:hAnsi="Times New Roman"/>
          <w:color w:val="000000"/>
          <w:sz w:val="24"/>
          <w:szCs w:val="24"/>
        </w:rPr>
        <w:t>que el contenido esencial de las garantías del Pacto no puede dejarse exclusivamente a la discreción del derecho intern</w:t>
      </w:r>
      <w:r w:rsidR="009A4F02" w:rsidRPr="002B3DAC">
        <w:rPr>
          <w:rFonts w:ascii="Times New Roman" w:hAnsi="Times New Roman"/>
          <w:color w:val="000000"/>
          <w:sz w:val="24"/>
          <w:szCs w:val="24"/>
        </w:rPr>
        <w:t>o</w:t>
      </w:r>
      <w:r w:rsidRPr="002B3DAC">
        <w:rPr>
          <w:rFonts w:ascii="Times New Roman" w:hAnsi="Times New Roman"/>
          <w:color w:val="000000"/>
          <w:sz w:val="24"/>
          <w:szCs w:val="24"/>
        </w:rPr>
        <w:t>”</w:t>
      </w:r>
      <w:r w:rsidR="00B901E4" w:rsidRPr="002B3DAC">
        <w:rPr>
          <w:rStyle w:val="Refdenotaalpie"/>
          <w:rFonts w:ascii="Times New Roman" w:hAnsi="Times New Roman"/>
          <w:color w:val="0563C1"/>
          <w:sz w:val="24"/>
          <w:szCs w:val="24"/>
          <w:u w:val="single"/>
        </w:rPr>
        <w:footnoteReference w:id="24"/>
      </w:r>
    </w:p>
    <w:p w14:paraId="1F76ADBC" w14:textId="77777777" w:rsidR="009A4F02" w:rsidRPr="002B3DAC" w:rsidRDefault="007A0A2D" w:rsidP="00C60AAA">
      <w:pPr>
        <w:shd w:val="clear" w:color="auto" w:fill="FFFFFF"/>
        <w:spacing w:before="100" w:beforeAutospacing="1" w:after="100" w:afterAutospacing="1" w:line="240" w:lineRule="auto"/>
        <w:jc w:val="both"/>
        <w:rPr>
          <w:rFonts w:ascii="Times New Roman" w:hAnsi="Times New Roman"/>
          <w:color w:val="000000"/>
          <w:sz w:val="24"/>
          <w:szCs w:val="24"/>
        </w:rPr>
      </w:pPr>
      <w:r w:rsidRPr="002B3DAC">
        <w:rPr>
          <w:rFonts w:ascii="Times New Roman" w:hAnsi="Times New Roman"/>
          <w:color w:val="000000"/>
          <w:sz w:val="24"/>
          <w:szCs w:val="24"/>
        </w:rPr>
        <w:t xml:space="preserve">Cuestión que también es </w:t>
      </w:r>
      <w:r w:rsidR="004A299F" w:rsidRPr="002B3DAC">
        <w:rPr>
          <w:rFonts w:ascii="Times New Roman" w:hAnsi="Times New Roman"/>
          <w:color w:val="000000"/>
          <w:sz w:val="24"/>
          <w:szCs w:val="24"/>
        </w:rPr>
        <w:t>establecida como un deber d</w:t>
      </w:r>
      <w:r w:rsidR="001F7543" w:rsidRPr="002B3DAC">
        <w:rPr>
          <w:rFonts w:ascii="Times New Roman" w:hAnsi="Times New Roman"/>
          <w:color w:val="000000"/>
          <w:sz w:val="24"/>
          <w:szCs w:val="24"/>
        </w:rPr>
        <w:t>e</w:t>
      </w:r>
      <w:r w:rsidR="004A299F" w:rsidRPr="002B3DAC">
        <w:rPr>
          <w:rFonts w:ascii="Times New Roman" w:hAnsi="Times New Roman"/>
          <w:color w:val="000000"/>
          <w:sz w:val="24"/>
          <w:szCs w:val="24"/>
        </w:rPr>
        <w:t xml:space="preserve"> todos los </w:t>
      </w:r>
      <w:r w:rsidR="001F7543" w:rsidRPr="002B3DAC">
        <w:rPr>
          <w:rFonts w:ascii="Times New Roman" w:hAnsi="Times New Roman"/>
          <w:color w:val="000000"/>
          <w:sz w:val="24"/>
          <w:szCs w:val="24"/>
        </w:rPr>
        <w:t>ó</w:t>
      </w:r>
      <w:r w:rsidR="004A299F" w:rsidRPr="002B3DAC">
        <w:rPr>
          <w:rFonts w:ascii="Times New Roman" w:hAnsi="Times New Roman"/>
          <w:color w:val="000000"/>
          <w:sz w:val="24"/>
          <w:szCs w:val="24"/>
        </w:rPr>
        <w:t>rganos del Estado en el art</w:t>
      </w:r>
      <w:r w:rsidR="001F7543" w:rsidRPr="002B3DAC">
        <w:rPr>
          <w:rFonts w:ascii="Times New Roman" w:hAnsi="Times New Roman"/>
          <w:color w:val="000000"/>
          <w:sz w:val="24"/>
          <w:szCs w:val="24"/>
        </w:rPr>
        <w:t>í</w:t>
      </w:r>
      <w:r w:rsidR="004A299F" w:rsidRPr="002B3DAC">
        <w:rPr>
          <w:rFonts w:ascii="Times New Roman" w:hAnsi="Times New Roman"/>
          <w:color w:val="000000"/>
          <w:sz w:val="24"/>
          <w:szCs w:val="24"/>
        </w:rPr>
        <w:t xml:space="preserve">culo 5° inciso 2° constitucional que señala que </w:t>
      </w:r>
      <w:r w:rsidR="001F7543" w:rsidRPr="002B3DAC">
        <w:rPr>
          <w:rFonts w:ascii="Times New Roman" w:hAnsi="Times New Roman"/>
          <w:color w:val="000000"/>
          <w:sz w:val="24"/>
          <w:szCs w:val="24"/>
        </w:rPr>
        <w:t>ello</w:t>
      </w:r>
      <w:r w:rsidR="008A4FA8" w:rsidRPr="002B3DAC">
        <w:rPr>
          <w:rFonts w:ascii="Times New Roman" w:hAnsi="Times New Roman"/>
          <w:color w:val="000000"/>
          <w:sz w:val="24"/>
          <w:szCs w:val="24"/>
        </w:rPr>
        <w:t>s</w:t>
      </w:r>
      <w:r w:rsidR="001F7543" w:rsidRPr="002B3DAC">
        <w:rPr>
          <w:rFonts w:ascii="Times New Roman" w:hAnsi="Times New Roman"/>
          <w:color w:val="000000"/>
          <w:sz w:val="24"/>
          <w:szCs w:val="24"/>
        </w:rPr>
        <w:t xml:space="preserve"> deben respeto a los derechos esenciales de las personas </w:t>
      </w:r>
      <w:r w:rsidR="007151A4" w:rsidRPr="002B3DAC">
        <w:rPr>
          <w:rFonts w:ascii="Times New Roman" w:hAnsi="Times New Roman"/>
          <w:color w:val="000000"/>
          <w:sz w:val="24"/>
          <w:szCs w:val="24"/>
        </w:rPr>
        <w:t>que están consagrados tanto en la Constitución como en los Tratados.</w:t>
      </w:r>
    </w:p>
    <w:p w14:paraId="26F3BA0C" w14:textId="77777777" w:rsidR="009A4F02" w:rsidRPr="002B3DAC" w:rsidRDefault="007151A4" w:rsidP="00C60AAA">
      <w:pPr>
        <w:pStyle w:val="Prrafodelista"/>
        <w:numPr>
          <w:ilvl w:val="0"/>
          <w:numId w:val="14"/>
        </w:numPr>
        <w:shd w:val="clear" w:color="auto" w:fill="FFFFFF"/>
        <w:spacing w:before="100" w:beforeAutospacing="1" w:after="100" w:afterAutospacing="1" w:line="240" w:lineRule="auto"/>
        <w:ind w:left="0" w:firstLine="0"/>
        <w:jc w:val="both"/>
        <w:rPr>
          <w:rFonts w:ascii="Times New Roman" w:hAnsi="Times New Roman"/>
          <w:color w:val="000000"/>
          <w:sz w:val="24"/>
          <w:szCs w:val="24"/>
        </w:rPr>
      </w:pPr>
      <w:r w:rsidRPr="002B3DAC">
        <w:rPr>
          <w:rFonts w:ascii="Times New Roman" w:hAnsi="Times New Roman"/>
          <w:color w:val="000000"/>
          <w:sz w:val="24"/>
          <w:szCs w:val="24"/>
        </w:rPr>
        <w:t>“</w:t>
      </w:r>
      <w:r w:rsidR="009A4F02" w:rsidRPr="002B3DAC">
        <w:rPr>
          <w:rFonts w:ascii="Times New Roman" w:hAnsi="Times New Roman"/>
          <w:color w:val="000000"/>
          <w:sz w:val="24"/>
          <w:szCs w:val="24"/>
        </w:rPr>
        <w:t xml:space="preserve">El derecho a la igualdad ante los tribunales y cortes de justicia </w:t>
      </w:r>
      <w:r w:rsidR="008364B7" w:rsidRPr="002B3DAC">
        <w:rPr>
          <w:rFonts w:ascii="Times New Roman" w:hAnsi="Times New Roman"/>
          <w:color w:val="000000"/>
          <w:sz w:val="24"/>
          <w:szCs w:val="24"/>
        </w:rPr>
        <w:t xml:space="preserve">párrafo 1 del artículo 14 </w:t>
      </w:r>
      <w:r w:rsidR="009A4F02" w:rsidRPr="002B3DAC">
        <w:rPr>
          <w:rFonts w:ascii="Times New Roman" w:hAnsi="Times New Roman"/>
          <w:color w:val="000000"/>
          <w:sz w:val="24"/>
          <w:szCs w:val="24"/>
        </w:rPr>
        <w:t>garantiza,</w:t>
      </w:r>
      <w:r w:rsidR="008364B7" w:rsidRPr="002B3DAC">
        <w:rPr>
          <w:rFonts w:ascii="Times New Roman" w:hAnsi="Times New Roman"/>
          <w:color w:val="000000"/>
          <w:sz w:val="24"/>
          <w:szCs w:val="24"/>
        </w:rPr>
        <w:t xml:space="preserve"> </w:t>
      </w:r>
      <w:r w:rsidR="009A4F02" w:rsidRPr="002B3DAC">
        <w:rPr>
          <w:rFonts w:ascii="Times New Roman" w:hAnsi="Times New Roman"/>
          <w:color w:val="000000"/>
          <w:sz w:val="24"/>
          <w:szCs w:val="24"/>
        </w:rPr>
        <w:t>y asegura que las partes en los procedimientos en cuestión sean tratadas sin discriminación</w:t>
      </w:r>
      <w:r w:rsidR="009A4F02" w:rsidRPr="002B3DAC">
        <w:rPr>
          <w:rFonts w:ascii="Times New Roman" w:hAnsi="Times New Roman"/>
          <w:b/>
          <w:bCs/>
          <w:color w:val="000000"/>
          <w:sz w:val="24"/>
          <w:szCs w:val="24"/>
        </w:rPr>
        <w:t> </w:t>
      </w:r>
      <w:r w:rsidR="009A4F02" w:rsidRPr="002B3DAC">
        <w:rPr>
          <w:rFonts w:ascii="Times New Roman" w:hAnsi="Times New Roman"/>
          <w:color w:val="000000"/>
          <w:sz w:val="24"/>
          <w:szCs w:val="24"/>
        </w:rPr>
        <w:t>alguna</w:t>
      </w:r>
      <w:r w:rsidRPr="002B3DAC">
        <w:rPr>
          <w:rFonts w:ascii="Times New Roman" w:hAnsi="Times New Roman"/>
          <w:color w:val="000000"/>
          <w:sz w:val="24"/>
          <w:szCs w:val="24"/>
        </w:rPr>
        <w:t>”</w:t>
      </w:r>
      <w:r w:rsidRPr="002B3DAC">
        <w:rPr>
          <w:rStyle w:val="Refdenotaalpie"/>
          <w:rFonts w:ascii="Times New Roman" w:hAnsi="Times New Roman"/>
          <w:color w:val="000000"/>
          <w:sz w:val="24"/>
          <w:szCs w:val="24"/>
        </w:rPr>
        <w:footnoteReference w:id="25"/>
      </w:r>
      <w:r w:rsidR="009A4F02" w:rsidRPr="002B3DAC">
        <w:rPr>
          <w:rFonts w:ascii="Times New Roman" w:hAnsi="Times New Roman"/>
          <w:color w:val="000000"/>
          <w:sz w:val="24"/>
          <w:szCs w:val="24"/>
        </w:rPr>
        <w:t>.</w:t>
      </w:r>
    </w:p>
    <w:p w14:paraId="6F353367" w14:textId="77777777" w:rsidR="007151A4" w:rsidRPr="002B3DAC" w:rsidRDefault="007151A4" w:rsidP="00C60AAA">
      <w:pPr>
        <w:pStyle w:val="Prrafodelista"/>
        <w:shd w:val="clear" w:color="auto" w:fill="FFFFFF"/>
        <w:spacing w:before="100" w:beforeAutospacing="1" w:after="100" w:afterAutospacing="1" w:line="240" w:lineRule="auto"/>
        <w:ind w:left="0"/>
        <w:jc w:val="both"/>
        <w:rPr>
          <w:rFonts w:ascii="Times New Roman" w:hAnsi="Times New Roman"/>
          <w:color w:val="000000"/>
          <w:sz w:val="24"/>
          <w:szCs w:val="24"/>
        </w:rPr>
      </w:pPr>
    </w:p>
    <w:p w14:paraId="6701D679" w14:textId="77777777" w:rsidR="002F265B" w:rsidRPr="002B3DAC" w:rsidRDefault="002F265B" w:rsidP="00C60AAA">
      <w:pPr>
        <w:pStyle w:val="Prrafodelista"/>
        <w:numPr>
          <w:ilvl w:val="0"/>
          <w:numId w:val="14"/>
        </w:numPr>
        <w:shd w:val="clear" w:color="auto" w:fill="FFFFFF"/>
        <w:spacing w:before="100" w:beforeAutospacing="1" w:after="100" w:afterAutospacing="1" w:line="240" w:lineRule="auto"/>
        <w:ind w:left="0" w:firstLine="0"/>
        <w:jc w:val="both"/>
        <w:rPr>
          <w:rFonts w:ascii="Times New Roman" w:hAnsi="Times New Roman"/>
          <w:color w:val="000000"/>
          <w:sz w:val="24"/>
          <w:szCs w:val="24"/>
        </w:rPr>
      </w:pPr>
      <w:r w:rsidRPr="002B3DAC">
        <w:rPr>
          <w:rFonts w:ascii="Times New Roman" w:hAnsi="Times New Roman"/>
          <w:color w:val="000000"/>
          <w:sz w:val="24"/>
          <w:szCs w:val="24"/>
        </w:rPr>
        <w:t>“</w:t>
      </w:r>
      <w:r w:rsidR="009A4F02" w:rsidRPr="002B3DAC">
        <w:rPr>
          <w:rFonts w:ascii="Times New Roman" w:hAnsi="Times New Roman"/>
          <w:color w:val="000000"/>
          <w:sz w:val="24"/>
          <w:szCs w:val="24"/>
        </w:rPr>
        <w:t>El derecho del acusado a ser juzgado sin dilaciones indebidas, previsto en el apartado c) del párrafo 3 de artículo 14, no sólo tiene el propósito de evitar que las personas permanezcan demasiado tiempo en la incertidumbre acerca de su suerte y, si se las mantiene recluidas durante el período del juicio, de garantizar que dicha privación de libertad no se prolongue más de lo necesario en las circunstancias del caso, sino también que redunde en interés de la justicia</w:t>
      </w:r>
      <w:r w:rsidRPr="002B3DAC">
        <w:rPr>
          <w:rFonts w:ascii="Times New Roman" w:hAnsi="Times New Roman"/>
          <w:color w:val="000000"/>
          <w:sz w:val="24"/>
          <w:szCs w:val="24"/>
        </w:rPr>
        <w:t>”</w:t>
      </w:r>
      <w:r w:rsidR="009A4F02" w:rsidRPr="002B3DAC">
        <w:rPr>
          <w:rFonts w:ascii="Times New Roman" w:hAnsi="Times New Roman"/>
          <w:color w:val="000000"/>
          <w:sz w:val="24"/>
          <w:szCs w:val="24"/>
        </w:rPr>
        <w:t>.</w:t>
      </w:r>
      <w:r w:rsidRPr="002B3DAC">
        <w:rPr>
          <w:rStyle w:val="Refdenotaalpie"/>
          <w:rFonts w:ascii="Times New Roman" w:hAnsi="Times New Roman"/>
          <w:color w:val="000000"/>
          <w:sz w:val="24"/>
          <w:szCs w:val="24"/>
        </w:rPr>
        <w:t xml:space="preserve"> </w:t>
      </w:r>
      <w:r w:rsidRPr="002B3DAC">
        <w:rPr>
          <w:rStyle w:val="Refdenotaalpie"/>
          <w:rFonts w:ascii="Times New Roman" w:hAnsi="Times New Roman"/>
          <w:color w:val="000000"/>
          <w:sz w:val="24"/>
          <w:szCs w:val="24"/>
        </w:rPr>
        <w:footnoteReference w:id="26"/>
      </w:r>
      <w:r w:rsidR="009A4F02" w:rsidRPr="002B3DAC">
        <w:rPr>
          <w:rFonts w:ascii="Times New Roman" w:hAnsi="Times New Roman"/>
          <w:color w:val="000000"/>
          <w:sz w:val="24"/>
          <w:szCs w:val="24"/>
        </w:rPr>
        <w:t xml:space="preserve"> </w:t>
      </w:r>
      <w:r w:rsidRPr="002B3DAC">
        <w:rPr>
          <w:rFonts w:ascii="Times New Roman" w:hAnsi="Times New Roman"/>
          <w:color w:val="000000"/>
          <w:sz w:val="24"/>
          <w:szCs w:val="24"/>
        </w:rPr>
        <w:t xml:space="preserve"> </w:t>
      </w:r>
    </w:p>
    <w:p w14:paraId="4C8DDB10" w14:textId="77777777" w:rsidR="002F265B" w:rsidRPr="002B3DAC" w:rsidRDefault="002F265B" w:rsidP="00C60AAA">
      <w:pPr>
        <w:pStyle w:val="Prrafodelista"/>
        <w:ind w:left="0"/>
        <w:rPr>
          <w:rFonts w:ascii="Times New Roman" w:hAnsi="Times New Roman"/>
          <w:color w:val="000000"/>
          <w:sz w:val="24"/>
          <w:szCs w:val="24"/>
        </w:rPr>
      </w:pPr>
    </w:p>
    <w:p w14:paraId="7919DF5B" w14:textId="77777777" w:rsidR="002F265B" w:rsidRPr="002B3DAC" w:rsidRDefault="002F265B" w:rsidP="00C60AAA">
      <w:pPr>
        <w:pStyle w:val="Prrafodelista"/>
        <w:numPr>
          <w:ilvl w:val="0"/>
          <w:numId w:val="14"/>
        </w:numPr>
        <w:shd w:val="clear" w:color="auto" w:fill="FFFFFF"/>
        <w:spacing w:before="100" w:beforeAutospacing="1" w:after="100" w:afterAutospacing="1" w:line="240" w:lineRule="auto"/>
        <w:ind w:left="0" w:firstLine="0"/>
        <w:jc w:val="both"/>
        <w:rPr>
          <w:rFonts w:ascii="Times New Roman" w:hAnsi="Times New Roman"/>
          <w:color w:val="000000"/>
          <w:sz w:val="24"/>
          <w:szCs w:val="24"/>
        </w:rPr>
      </w:pPr>
      <w:r w:rsidRPr="002B3DAC">
        <w:rPr>
          <w:rFonts w:ascii="Times New Roman" w:hAnsi="Times New Roman"/>
          <w:color w:val="000000"/>
          <w:sz w:val="24"/>
          <w:szCs w:val="24"/>
        </w:rPr>
        <w:t>“</w:t>
      </w:r>
      <w:r w:rsidR="009A4F02" w:rsidRPr="002B3DAC">
        <w:rPr>
          <w:rFonts w:ascii="Times New Roman" w:hAnsi="Times New Roman"/>
          <w:color w:val="000000"/>
          <w:sz w:val="24"/>
          <w:szCs w:val="24"/>
        </w:rPr>
        <w:t>Lo que es razonable deberá evaluarse en las circunstancias de cada caso</w:t>
      </w:r>
      <w:r w:rsidRPr="002B3DAC">
        <w:rPr>
          <w:rFonts w:ascii="Times New Roman" w:hAnsi="Times New Roman"/>
          <w:color w:val="000000"/>
          <w:sz w:val="24"/>
          <w:szCs w:val="24"/>
        </w:rPr>
        <w:t xml:space="preserve"> </w:t>
      </w:r>
      <w:r w:rsidR="009A4F02" w:rsidRPr="002B3DAC">
        <w:rPr>
          <w:rFonts w:ascii="Times New Roman" w:hAnsi="Times New Roman"/>
          <w:color w:val="000000"/>
          <w:sz w:val="24"/>
          <w:szCs w:val="24"/>
        </w:rPr>
        <w:t>teniendo en cuenta principalmente la complejidad del caso, la conducta del acusado y la manera como las autoridades administrativas y judiciales hayan abordado el asunto</w:t>
      </w:r>
      <w:r w:rsidRPr="002B3DAC">
        <w:rPr>
          <w:rFonts w:ascii="Times New Roman" w:hAnsi="Times New Roman"/>
          <w:color w:val="000000"/>
          <w:sz w:val="24"/>
          <w:szCs w:val="24"/>
        </w:rPr>
        <w:t>”</w:t>
      </w:r>
      <w:r w:rsidR="009A4F02" w:rsidRPr="002B3DAC">
        <w:rPr>
          <w:rFonts w:ascii="Times New Roman" w:hAnsi="Times New Roman"/>
          <w:color w:val="000000"/>
          <w:sz w:val="24"/>
          <w:szCs w:val="24"/>
        </w:rPr>
        <w:t>.</w:t>
      </w:r>
      <w:r w:rsidR="0046312A" w:rsidRPr="002B3DAC">
        <w:rPr>
          <w:rStyle w:val="Refdenotaalpie"/>
          <w:rFonts w:ascii="Times New Roman" w:hAnsi="Times New Roman"/>
          <w:color w:val="000000"/>
          <w:sz w:val="24"/>
          <w:szCs w:val="24"/>
        </w:rPr>
        <w:t xml:space="preserve"> </w:t>
      </w:r>
      <w:r w:rsidR="0046312A" w:rsidRPr="002B3DAC">
        <w:rPr>
          <w:rStyle w:val="Refdenotaalpie"/>
          <w:rFonts w:ascii="Times New Roman" w:hAnsi="Times New Roman"/>
          <w:color w:val="000000"/>
          <w:sz w:val="24"/>
          <w:szCs w:val="24"/>
        </w:rPr>
        <w:footnoteReference w:id="27"/>
      </w:r>
      <w:r w:rsidR="009A4F02" w:rsidRPr="002B3DAC">
        <w:rPr>
          <w:rFonts w:ascii="Times New Roman" w:hAnsi="Times New Roman"/>
          <w:color w:val="000000"/>
          <w:sz w:val="24"/>
          <w:szCs w:val="24"/>
        </w:rPr>
        <w:t xml:space="preserve"> </w:t>
      </w:r>
    </w:p>
    <w:p w14:paraId="709AB17F" w14:textId="77777777" w:rsidR="002F265B" w:rsidRPr="002B3DAC" w:rsidRDefault="002F265B" w:rsidP="00C60AAA">
      <w:pPr>
        <w:pStyle w:val="Prrafodelista"/>
        <w:ind w:left="0"/>
        <w:rPr>
          <w:rFonts w:ascii="Times New Roman" w:hAnsi="Times New Roman"/>
          <w:color w:val="000000"/>
          <w:sz w:val="24"/>
          <w:szCs w:val="24"/>
        </w:rPr>
      </w:pPr>
    </w:p>
    <w:p w14:paraId="799856AF" w14:textId="77777777" w:rsidR="002F265B" w:rsidRPr="002B3DAC" w:rsidRDefault="002F265B" w:rsidP="00C60AAA">
      <w:pPr>
        <w:pStyle w:val="Prrafodelista"/>
        <w:numPr>
          <w:ilvl w:val="0"/>
          <w:numId w:val="14"/>
        </w:numPr>
        <w:shd w:val="clear" w:color="auto" w:fill="FFFFFF"/>
        <w:spacing w:before="100" w:beforeAutospacing="1" w:after="100" w:afterAutospacing="1" w:line="240" w:lineRule="auto"/>
        <w:ind w:left="0" w:firstLine="0"/>
        <w:jc w:val="both"/>
        <w:rPr>
          <w:rFonts w:ascii="Times New Roman" w:hAnsi="Times New Roman"/>
          <w:color w:val="000000"/>
          <w:sz w:val="24"/>
          <w:szCs w:val="24"/>
        </w:rPr>
      </w:pPr>
      <w:r w:rsidRPr="002B3DAC">
        <w:rPr>
          <w:rFonts w:ascii="Times New Roman" w:hAnsi="Times New Roman"/>
          <w:color w:val="000000"/>
          <w:sz w:val="24"/>
          <w:szCs w:val="24"/>
        </w:rPr>
        <w:t>“</w:t>
      </w:r>
      <w:r w:rsidR="009A4F02" w:rsidRPr="002B3DAC">
        <w:rPr>
          <w:rFonts w:ascii="Times New Roman" w:hAnsi="Times New Roman"/>
          <w:color w:val="000000"/>
          <w:sz w:val="24"/>
          <w:szCs w:val="24"/>
        </w:rPr>
        <w:t>En los casos en que el tribunal niegue a los acusados la libertad bajo fianza, éstos deben ser juzgados lo más rápidamente posible</w:t>
      </w:r>
      <w:r w:rsidRPr="002B3DAC">
        <w:rPr>
          <w:rFonts w:ascii="Times New Roman" w:hAnsi="Times New Roman"/>
          <w:color w:val="000000"/>
          <w:sz w:val="24"/>
          <w:szCs w:val="24"/>
        </w:rPr>
        <w:t>.</w:t>
      </w:r>
      <w:r w:rsidR="009A4F02" w:rsidRPr="002B3DAC">
        <w:rPr>
          <w:rFonts w:ascii="Times New Roman" w:hAnsi="Times New Roman"/>
          <w:color w:val="000000"/>
          <w:sz w:val="24"/>
          <w:szCs w:val="24"/>
        </w:rPr>
        <w:t xml:space="preserve"> Esta garantía se refiere no sólo al intervalo de tiempo entre la acusación formal y el momento en que debe comenzar un proceso sino también al tiempo que media hasta el fallo definitivo en apelación</w:t>
      </w:r>
      <w:r w:rsidR="0046312A" w:rsidRPr="002B3DAC">
        <w:rPr>
          <w:rFonts w:ascii="Times New Roman" w:hAnsi="Times New Roman"/>
          <w:color w:val="000000"/>
          <w:sz w:val="24"/>
          <w:szCs w:val="24"/>
        </w:rPr>
        <w:t>”</w:t>
      </w:r>
      <w:r w:rsidR="0046312A" w:rsidRPr="002B3DAC">
        <w:rPr>
          <w:rStyle w:val="Refdenotaalpie"/>
          <w:rFonts w:ascii="Times New Roman" w:hAnsi="Times New Roman"/>
          <w:color w:val="000000"/>
          <w:sz w:val="24"/>
          <w:szCs w:val="24"/>
        </w:rPr>
        <w:t xml:space="preserve"> </w:t>
      </w:r>
      <w:r w:rsidR="0046312A" w:rsidRPr="002B3DAC">
        <w:rPr>
          <w:rStyle w:val="Refdenotaalpie"/>
          <w:rFonts w:ascii="Times New Roman" w:hAnsi="Times New Roman"/>
          <w:color w:val="000000"/>
          <w:sz w:val="24"/>
          <w:szCs w:val="24"/>
        </w:rPr>
        <w:footnoteReference w:id="28"/>
      </w:r>
    </w:p>
    <w:p w14:paraId="64427A06" w14:textId="77777777" w:rsidR="0046312A" w:rsidRPr="002B3DAC" w:rsidRDefault="0046312A" w:rsidP="00C60AAA">
      <w:pPr>
        <w:pStyle w:val="Prrafodelista"/>
        <w:ind w:left="0"/>
        <w:rPr>
          <w:rFonts w:ascii="Times New Roman" w:hAnsi="Times New Roman"/>
          <w:color w:val="000000"/>
          <w:sz w:val="24"/>
          <w:szCs w:val="24"/>
        </w:rPr>
      </w:pPr>
    </w:p>
    <w:p w14:paraId="65501B28" w14:textId="77777777" w:rsidR="00C5574B" w:rsidRPr="002B3DAC" w:rsidRDefault="00282398" w:rsidP="00C60AAA">
      <w:pPr>
        <w:pStyle w:val="Prrafodelista"/>
        <w:numPr>
          <w:ilvl w:val="0"/>
          <w:numId w:val="14"/>
        </w:numPr>
        <w:spacing w:after="0" w:line="240" w:lineRule="auto"/>
        <w:ind w:left="0" w:firstLine="0"/>
        <w:jc w:val="both"/>
        <w:rPr>
          <w:rFonts w:ascii="Times New Roman" w:hAnsi="Times New Roman"/>
          <w:sz w:val="24"/>
          <w:szCs w:val="24"/>
        </w:rPr>
      </w:pPr>
      <w:r w:rsidRPr="002B3DAC">
        <w:rPr>
          <w:rFonts w:ascii="Times New Roman" w:hAnsi="Times New Roman"/>
          <w:color w:val="000000"/>
          <w:sz w:val="24"/>
          <w:szCs w:val="24"/>
        </w:rPr>
        <w:t>“</w:t>
      </w:r>
      <w:r w:rsidR="0046312A" w:rsidRPr="002B3DAC">
        <w:rPr>
          <w:rFonts w:ascii="Times New Roman" w:hAnsi="Times New Roman"/>
          <w:color w:val="000000"/>
          <w:sz w:val="24"/>
          <w:szCs w:val="24"/>
        </w:rPr>
        <w:t xml:space="preserve">Una detención o reclusión puede estar autorizada por la legislación nacional y ser, no obstante, arbitraria. El concepto de "arbitrariedad" no debe equipararse con el de "contrario a la ley", sino que deberá interpretarse de manera más amplia, de modo que incluya consideraciones relacionadas con la inadecuación, la injusticia, la </w:t>
      </w:r>
      <w:r w:rsidR="0046312A" w:rsidRPr="002B3DAC">
        <w:rPr>
          <w:rFonts w:ascii="Times New Roman" w:hAnsi="Times New Roman"/>
          <w:color w:val="000000"/>
          <w:sz w:val="24"/>
          <w:szCs w:val="24"/>
        </w:rPr>
        <w:lastRenderedPageBreak/>
        <w:t>imprevisibilidad y las debidas garantías procesales, además de consideraciones relacionadas con la razonabilidad, la necesidad y la proporcionalidad.</w:t>
      </w:r>
      <w:r w:rsidR="0046312A" w:rsidRPr="002B3DAC">
        <w:rPr>
          <w:rStyle w:val="Refdenotaalpie"/>
          <w:rFonts w:ascii="Times New Roman" w:hAnsi="Times New Roman"/>
          <w:color w:val="000000"/>
          <w:sz w:val="24"/>
          <w:szCs w:val="24"/>
        </w:rPr>
        <w:footnoteReference w:id="29"/>
      </w:r>
    </w:p>
    <w:p w14:paraId="4D2ECBB6" w14:textId="77777777" w:rsidR="00C5574B" w:rsidRPr="002B3DAC" w:rsidRDefault="00C5574B" w:rsidP="00C60AAA">
      <w:pPr>
        <w:pStyle w:val="Prrafodelista"/>
        <w:ind w:left="0"/>
        <w:rPr>
          <w:rFonts w:ascii="Times New Roman" w:hAnsi="Times New Roman"/>
          <w:color w:val="000000"/>
          <w:sz w:val="24"/>
          <w:szCs w:val="24"/>
        </w:rPr>
      </w:pPr>
    </w:p>
    <w:p w14:paraId="1749DA77" w14:textId="77777777" w:rsidR="00CF4615" w:rsidRPr="002B3DAC" w:rsidRDefault="00C5574B" w:rsidP="00C60AAA">
      <w:pPr>
        <w:pStyle w:val="Prrafodelista"/>
        <w:numPr>
          <w:ilvl w:val="0"/>
          <w:numId w:val="14"/>
        </w:numPr>
        <w:spacing w:after="0" w:line="240" w:lineRule="auto"/>
        <w:ind w:left="0" w:firstLine="0"/>
        <w:jc w:val="both"/>
        <w:rPr>
          <w:rFonts w:ascii="Times New Roman" w:hAnsi="Times New Roman"/>
          <w:sz w:val="24"/>
          <w:szCs w:val="24"/>
        </w:rPr>
      </w:pPr>
      <w:r w:rsidRPr="002B3DAC">
        <w:rPr>
          <w:rFonts w:ascii="Times New Roman" w:hAnsi="Times New Roman"/>
          <w:color w:val="000000"/>
          <w:sz w:val="24"/>
          <w:szCs w:val="24"/>
        </w:rPr>
        <w:t>“</w:t>
      </w:r>
      <w:r w:rsidR="00640FEC" w:rsidRPr="002B3DAC">
        <w:rPr>
          <w:rFonts w:ascii="Times New Roman" w:hAnsi="Times New Roman"/>
          <w:color w:val="000000"/>
          <w:sz w:val="24"/>
          <w:szCs w:val="24"/>
        </w:rPr>
        <w:t>Los motivos y procedimientos establecidos por la ley no deberán destruir el derecho a la libertad persona</w:t>
      </w:r>
      <w:r w:rsidR="00D61229" w:rsidRPr="002B3DAC">
        <w:rPr>
          <w:rFonts w:ascii="Times New Roman" w:hAnsi="Times New Roman"/>
          <w:color w:val="000000"/>
          <w:sz w:val="24"/>
          <w:szCs w:val="24"/>
        </w:rPr>
        <w:t>l</w:t>
      </w:r>
      <w:r w:rsidR="00640FEC" w:rsidRPr="002B3DAC">
        <w:rPr>
          <w:rFonts w:ascii="Times New Roman" w:hAnsi="Times New Roman"/>
          <w:color w:val="000000"/>
          <w:sz w:val="24"/>
          <w:szCs w:val="24"/>
        </w:rPr>
        <w:t>. El régimen no deberá constituir una forma de eludir los límites del sistema de justicia penal e imponer el equivalente de una sanción penal sin las salvaguardias aplicables</w:t>
      </w:r>
      <w:r w:rsidR="00D61229" w:rsidRPr="002B3DAC">
        <w:rPr>
          <w:rFonts w:ascii="Times New Roman" w:hAnsi="Times New Roman"/>
          <w:color w:val="000000"/>
          <w:sz w:val="24"/>
          <w:szCs w:val="24"/>
        </w:rPr>
        <w:t>”.</w:t>
      </w:r>
      <w:r w:rsidR="00D61229" w:rsidRPr="002B3DAC">
        <w:rPr>
          <w:rStyle w:val="Refdenotaalpie"/>
          <w:rFonts w:ascii="Times New Roman" w:hAnsi="Times New Roman"/>
          <w:color w:val="000000"/>
          <w:sz w:val="24"/>
          <w:szCs w:val="24"/>
        </w:rPr>
        <w:footnoteReference w:id="30"/>
      </w:r>
    </w:p>
    <w:p w14:paraId="074EB670" w14:textId="77777777" w:rsidR="00CF4615" w:rsidRPr="002B3DAC" w:rsidRDefault="00CF4615" w:rsidP="00C60AAA">
      <w:pPr>
        <w:pStyle w:val="Prrafodelista"/>
        <w:ind w:left="0"/>
        <w:rPr>
          <w:rFonts w:ascii="Times New Roman" w:hAnsi="Times New Roman"/>
          <w:color w:val="000000"/>
          <w:sz w:val="24"/>
          <w:szCs w:val="24"/>
        </w:rPr>
      </w:pPr>
    </w:p>
    <w:p w14:paraId="71B9AACB" w14:textId="77777777" w:rsidR="00CF4615" w:rsidRPr="002B3DAC" w:rsidRDefault="00CF4615" w:rsidP="00C60AAA">
      <w:pPr>
        <w:pStyle w:val="Prrafodelista"/>
        <w:numPr>
          <w:ilvl w:val="0"/>
          <w:numId w:val="14"/>
        </w:numPr>
        <w:spacing w:after="0" w:line="240" w:lineRule="auto"/>
        <w:ind w:left="0" w:firstLine="0"/>
        <w:jc w:val="both"/>
        <w:rPr>
          <w:rFonts w:ascii="Times New Roman" w:hAnsi="Times New Roman"/>
          <w:sz w:val="24"/>
          <w:szCs w:val="24"/>
        </w:rPr>
      </w:pPr>
      <w:r w:rsidRPr="002B3DAC">
        <w:rPr>
          <w:rFonts w:ascii="Times New Roman" w:hAnsi="Times New Roman"/>
          <w:color w:val="000000"/>
          <w:sz w:val="24"/>
          <w:szCs w:val="24"/>
        </w:rPr>
        <w:t>“</w:t>
      </w:r>
      <w:r w:rsidR="00640FEC" w:rsidRPr="002B3DAC">
        <w:rPr>
          <w:rFonts w:ascii="Times New Roman" w:hAnsi="Times New Roman"/>
          <w:color w:val="000000"/>
          <w:sz w:val="24"/>
          <w:szCs w:val="24"/>
        </w:rPr>
        <w:t xml:space="preserve">El Comité considera que cuando los Estados partes imponen la reclusión </w:t>
      </w:r>
      <w:r w:rsidR="00990D68" w:rsidRPr="002B3DAC">
        <w:rPr>
          <w:rFonts w:ascii="Times New Roman" w:hAnsi="Times New Roman"/>
          <w:color w:val="000000"/>
          <w:sz w:val="24"/>
          <w:szCs w:val="24"/>
        </w:rPr>
        <w:t>(..)</w:t>
      </w:r>
      <w:r w:rsidR="00640FEC" w:rsidRPr="002B3DAC">
        <w:rPr>
          <w:rFonts w:ascii="Times New Roman" w:hAnsi="Times New Roman"/>
          <w:color w:val="000000"/>
          <w:sz w:val="24"/>
          <w:szCs w:val="24"/>
        </w:rPr>
        <w:t xml:space="preserve"> por motivos de seguridad y no con miras a un procesamiento por la imputación de un delito</w:t>
      </w:r>
      <w:r w:rsidRPr="002B3DAC">
        <w:rPr>
          <w:rFonts w:ascii="Times New Roman" w:hAnsi="Times New Roman"/>
          <w:color w:val="000000"/>
          <w:sz w:val="24"/>
          <w:szCs w:val="24"/>
        </w:rPr>
        <w:t xml:space="preserve">, </w:t>
      </w:r>
      <w:r w:rsidR="00640FEC" w:rsidRPr="002B3DAC">
        <w:rPr>
          <w:rFonts w:ascii="Times New Roman" w:hAnsi="Times New Roman"/>
          <w:color w:val="000000"/>
          <w:sz w:val="24"/>
          <w:szCs w:val="24"/>
        </w:rPr>
        <w:t>esta presenta un gran riesgo de privación de libertad arbitraria</w:t>
      </w:r>
      <w:r w:rsidRPr="002B3DAC">
        <w:rPr>
          <w:rFonts w:ascii="Times New Roman" w:hAnsi="Times New Roman"/>
          <w:color w:val="000000"/>
          <w:sz w:val="24"/>
          <w:szCs w:val="24"/>
        </w:rPr>
        <w:t xml:space="preserve">. </w:t>
      </w:r>
      <w:r w:rsidR="00640FEC" w:rsidRPr="002B3DAC">
        <w:rPr>
          <w:rFonts w:ascii="Times New Roman" w:hAnsi="Times New Roman"/>
          <w:color w:val="000000"/>
          <w:sz w:val="24"/>
          <w:szCs w:val="24"/>
        </w:rPr>
        <w:t>En general, cuando existan otras medidas efectivas para hacer frente a ese riesgo</w:t>
      </w:r>
      <w:r w:rsidRPr="002B3DAC">
        <w:rPr>
          <w:rFonts w:ascii="Times New Roman" w:hAnsi="Times New Roman"/>
          <w:color w:val="000000"/>
          <w:sz w:val="24"/>
          <w:szCs w:val="24"/>
        </w:rPr>
        <w:t xml:space="preserve"> (…) </w:t>
      </w:r>
      <w:r w:rsidR="00640FEC" w:rsidRPr="002B3DAC">
        <w:rPr>
          <w:rFonts w:ascii="Times New Roman" w:hAnsi="Times New Roman"/>
          <w:color w:val="000000"/>
          <w:sz w:val="24"/>
          <w:szCs w:val="24"/>
        </w:rPr>
        <w:t xml:space="preserve"> dicha reclusión equivale a una privación de libertad arbitraria. </w:t>
      </w:r>
    </w:p>
    <w:p w14:paraId="7ADA3237" w14:textId="77777777" w:rsidR="00CF4615" w:rsidRPr="002B3DAC" w:rsidRDefault="00CF4615" w:rsidP="00C60AAA">
      <w:pPr>
        <w:pStyle w:val="Prrafodelista"/>
        <w:ind w:left="0"/>
        <w:rPr>
          <w:rFonts w:ascii="Times New Roman" w:hAnsi="Times New Roman"/>
          <w:color w:val="000000"/>
          <w:sz w:val="24"/>
          <w:szCs w:val="24"/>
        </w:rPr>
      </w:pPr>
    </w:p>
    <w:p w14:paraId="1FC56D94" w14:textId="77777777" w:rsidR="00640FEC" w:rsidRPr="002B3DAC" w:rsidRDefault="00CF4615" w:rsidP="00C60AAA">
      <w:pPr>
        <w:pStyle w:val="Prrafodelista"/>
        <w:numPr>
          <w:ilvl w:val="0"/>
          <w:numId w:val="14"/>
        </w:numPr>
        <w:spacing w:after="0" w:line="240" w:lineRule="auto"/>
        <w:ind w:left="0" w:firstLine="0"/>
        <w:jc w:val="both"/>
        <w:rPr>
          <w:rFonts w:ascii="Times New Roman" w:hAnsi="Times New Roman"/>
          <w:sz w:val="24"/>
          <w:szCs w:val="24"/>
        </w:rPr>
      </w:pPr>
      <w:r w:rsidRPr="002B3DAC">
        <w:rPr>
          <w:rFonts w:ascii="Times New Roman" w:hAnsi="Times New Roman"/>
          <w:color w:val="000000"/>
          <w:sz w:val="24"/>
          <w:szCs w:val="24"/>
        </w:rPr>
        <w:t>“</w:t>
      </w:r>
      <w:r w:rsidR="00640FEC" w:rsidRPr="002B3DAC">
        <w:rPr>
          <w:rFonts w:ascii="Times New Roman" w:hAnsi="Times New Roman"/>
          <w:color w:val="000000"/>
          <w:sz w:val="24"/>
          <w:szCs w:val="24"/>
        </w:rPr>
        <w:t xml:space="preserve">Si, en las circunstancias más excepcionales, se alega una amenaza presente, directa e imperativa para justificar la reclusión de personas que se considera conllevan tal riesgo, recae en los Estados partes la carga de la prueba de demostrar que la persona en cuestión constituye una amenaza de ese tipo y que no cabe hacer frente a esa amenaza con otras medidas; y dicha carga aumenta en la medida en que se prolonga la reclusión. Los Estados partes tienen también que demostrar que la reclusión no dura más de lo estrictamente necesario, que la duración total de la posible reclusión está limitada y que se respetan plenamente las garantías previstas en el artículo 9 en todos los casos. Para esas condiciones es garantía necesaria la revisión pronta y periódica por un tribunal de justicia </w:t>
      </w:r>
      <w:r w:rsidR="00B95050" w:rsidRPr="002B3DAC">
        <w:rPr>
          <w:rFonts w:ascii="Times New Roman" w:hAnsi="Times New Roman"/>
          <w:color w:val="000000"/>
          <w:sz w:val="24"/>
          <w:szCs w:val="24"/>
        </w:rPr>
        <w:t>(…)</w:t>
      </w:r>
      <w:r w:rsidRPr="002B3DAC">
        <w:rPr>
          <w:rFonts w:ascii="Times New Roman" w:hAnsi="Times New Roman"/>
          <w:color w:val="000000"/>
          <w:sz w:val="24"/>
          <w:szCs w:val="24"/>
        </w:rPr>
        <w:t>”</w:t>
      </w:r>
      <w:r w:rsidR="001A1662" w:rsidRPr="002B3DAC">
        <w:rPr>
          <w:rStyle w:val="Refdenotaalpie"/>
          <w:rFonts w:ascii="Times New Roman" w:hAnsi="Times New Roman"/>
          <w:color w:val="000000"/>
          <w:sz w:val="24"/>
          <w:szCs w:val="24"/>
        </w:rPr>
        <w:footnoteReference w:id="31"/>
      </w:r>
    </w:p>
    <w:p w14:paraId="74099B82" w14:textId="77777777" w:rsidR="001A1662" w:rsidRPr="002B3DAC" w:rsidRDefault="001A1662" w:rsidP="00C60AAA">
      <w:pPr>
        <w:pStyle w:val="Prrafodelista"/>
        <w:ind w:left="0"/>
        <w:rPr>
          <w:rFonts w:ascii="Times New Roman" w:hAnsi="Times New Roman"/>
          <w:sz w:val="24"/>
          <w:szCs w:val="24"/>
        </w:rPr>
      </w:pPr>
    </w:p>
    <w:p w14:paraId="2F9FB4C7" w14:textId="77777777" w:rsidR="009A3861" w:rsidRPr="002B3DAC" w:rsidRDefault="009A3861" w:rsidP="00C60AAA">
      <w:pPr>
        <w:pStyle w:val="Prrafodelista"/>
        <w:numPr>
          <w:ilvl w:val="0"/>
          <w:numId w:val="14"/>
        </w:numPr>
        <w:spacing w:after="0" w:line="240" w:lineRule="auto"/>
        <w:ind w:left="0" w:firstLine="0"/>
        <w:jc w:val="both"/>
        <w:rPr>
          <w:rFonts w:ascii="Times New Roman" w:hAnsi="Times New Roman"/>
          <w:sz w:val="24"/>
          <w:szCs w:val="24"/>
        </w:rPr>
      </w:pPr>
      <w:r w:rsidRPr="002B3DAC">
        <w:rPr>
          <w:rFonts w:ascii="Times New Roman" w:hAnsi="Times New Roman"/>
          <w:color w:val="000000"/>
          <w:sz w:val="24"/>
          <w:szCs w:val="24"/>
        </w:rPr>
        <w:t>“La persona recluida tiene derecho a ser juzgada dentro de un plazo razonable o a ser puesta en libertad. Ese requisito es de aplicación específicamente al período de reclusión preventiva, es decir, a la reclusión desde el momento de la detención hasta el de la sentencia dictada en primera instancia. Una prolongación extrema de la reclusión en espera del juicio también puede comprometer la presunción de inocencia amparada por el artículo 14, párrafo 2”</w:t>
      </w:r>
      <w:r w:rsidRPr="002B3DAC">
        <w:rPr>
          <w:rStyle w:val="Refdenotaalpie"/>
          <w:rFonts w:ascii="Times New Roman" w:hAnsi="Times New Roman"/>
          <w:color w:val="000000"/>
          <w:sz w:val="24"/>
          <w:szCs w:val="24"/>
        </w:rPr>
        <w:footnoteReference w:id="32"/>
      </w:r>
    </w:p>
    <w:p w14:paraId="1CE6F529" w14:textId="77777777" w:rsidR="009A3861" w:rsidRPr="002B3DAC" w:rsidRDefault="009A3861" w:rsidP="00C60AAA">
      <w:pPr>
        <w:pStyle w:val="Prrafodelista"/>
        <w:ind w:left="0"/>
        <w:rPr>
          <w:rFonts w:ascii="Times New Roman" w:hAnsi="Times New Roman"/>
          <w:color w:val="000000"/>
          <w:sz w:val="24"/>
          <w:szCs w:val="24"/>
        </w:rPr>
      </w:pPr>
    </w:p>
    <w:p w14:paraId="6357E894" w14:textId="77777777" w:rsidR="009A3861" w:rsidRPr="002B3DAC" w:rsidRDefault="009A3861" w:rsidP="00C60AAA">
      <w:pPr>
        <w:pStyle w:val="Prrafodelista"/>
        <w:numPr>
          <w:ilvl w:val="0"/>
          <w:numId w:val="14"/>
        </w:numPr>
        <w:spacing w:after="0" w:line="240" w:lineRule="auto"/>
        <w:ind w:left="0" w:firstLine="0"/>
        <w:jc w:val="both"/>
        <w:rPr>
          <w:rFonts w:ascii="Times New Roman" w:hAnsi="Times New Roman"/>
          <w:sz w:val="24"/>
          <w:szCs w:val="24"/>
        </w:rPr>
      </w:pPr>
      <w:r w:rsidRPr="002B3DAC">
        <w:rPr>
          <w:rFonts w:ascii="Times New Roman" w:hAnsi="Times New Roman"/>
          <w:color w:val="000000"/>
          <w:sz w:val="24"/>
          <w:szCs w:val="24"/>
        </w:rPr>
        <w:t>“Las personas que no sean puestas en libertad en espera de juicio deberán ser juzgadas lo más rápidamente posible, en la medida en que ello sea compatible con su derecho de defensa. El carácter razonable de la dilación en llevar el caso a juicio debe evaluarse a la luz de las circunstancias de cada caso, teniendo en cuenta la complejidad de este, la conducta del imputado durante el procedimiento y la manera en que las autoridades del poder ejecutivo y judicial hayan abordado el asunto. La existencia de obstáculos para completar la investigación puede justificar la necesidad de un plazo adicional, pero no así las situaciones generales de falta de personal o de restricciones presupuestarias. Cuando las demoras sean necesarias, el juez deberá volver a estudiar alternativas a la reclusión previa al juicio. Debe evitarse la reclusión previa al juicio de los menores, pero, cuando se ordene, el menor tendrá derecho a ser juzgado con especial celeridad, de conformidad con lo dispuesto en el artículo 10, párrafo 2 b).”</w:t>
      </w:r>
      <w:r w:rsidRPr="002B3DAC">
        <w:rPr>
          <w:rStyle w:val="Refdenotaalpie"/>
          <w:rFonts w:ascii="Times New Roman" w:hAnsi="Times New Roman"/>
          <w:color w:val="000000"/>
          <w:sz w:val="24"/>
          <w:szCs w:val="24"/>
        </w:rPr>
        <w:footnoteReference w:id="33"/>
      </w:r>
    </w:p>
    <w:p w14:paraId="3E8268EE" w14:textId="77777777" w:rsidR="009A3861" w:rsidRPr="002B3DAC" w:rsidRDefault="009A3861" w:rsidP="00C60AAA">
      <w:pPr>
        <w:pStyle w:val="Prrafodelista"/>
        <w:ind w:left="0"/>
        <w:rPr>
          <w:rFonts w:ascii="Times New Roman" w:hAnsi="Times New Roman"/>
          <w:color w:val="000000"/>
          <w:sz w:val="24"/>
          <w:szCs w:val="24"/>
        </w:rPr>
      </w:pPr>
    </w:p>
    <w:p w14:paraId="2C005345" w14:textId="77777777" w:rsidR="00D510FB" w:rsidRPr="002B3DAC" w:rsidRDefault="009A3861" w:rsidP="00C60AAA">
      <w:pPr>
        <w:pStyle w:val="Prrafodelista"/>
        <w:numPr>
          <w:ilvl w:val="0"/>
          <w:numId w:val="14"/>
        </w:numPr>
        <w:spacing w:after="0" w:line="240" w:lineRule="auto"/>
        <w:ind w:left="0" w:firstLine="0"/>
        <w:jc w:val="both"/>
        <w:rPr>
          <w:rFonts w:ascii="Times New Roman" w:hAnsi="Times New Roman"/>
          <w:sz w:val="24"/>
          <w:szCs w:val="24"/>
        </w:rPr>
      </w:pPr>
      <w:r w:rsidRPr="002B3DAC">
        <w:rPr>
          <w:rFonts w:ascii="Times New Roman" w:hAnsi="Times New Roman"/>
          <w:color w:val="000000"/>
          <w:sz w:val="24"/>
          <w:szCs w:val="24"/>
        </w:rPr>
        <w:t>“</w:t>
      </w:r>
      <w:r w:rsidR="00640FEC" w:rsidRPr="002B3DAC">
        <w:rPr>
          <w:rFonts w:ascii="Times New Roman" w:hAnsi="Times New Roman"/>
          <w:color w:val="000000"/>
          <w:sz w:val="24"/>
          <w:szCs w:val="24"/>
        </w:rPr>
        <w:t xml:space="preserve">La reclusión previa al juicio no debe constituir una práctica general, sino que debe basarse en una determinación individualizada de que dicha medida resulta razonable y necesaria, habida cuenta de todas las circunstancias, para fines tales como impedir la fuga, la alteración de las pruebas o la reincidencia en el delito. La ley debe </w:t>
      </w:r>
      <w:r w:rsidR="00640FEC" w:rsidRPr="002B3DAC">
        <w:rPr>
          <w:rFonts w:ascii="Times New Roman" w:hAnsi="Times New Roman"/>
          <w:color w:val="000000"/>
          <w:sz w:val="24"/>
          <w:szCs w:val="24"/>
        </w:rPr>
        <w:lastRenderedPageBreak/>
        <w:t xml:space="preserve">especificar los factores pertinentes y no debe incluir criterios vagos o excesivamente amplios, como la "seguridad pública". La reclusión previa al juicio no debe ser preceptiva para todas las personas acusadas de un delito concreto, sin tener en cuenta las circunstancias de cada </w:t>
      </w:r>
      <w:r w:rsidR="00D510FB" w:rsidRPr="002B3DAC">
        <w:rPr>
          <w:rFonts w:ascii="Times New Roman" w:hAnsi="Times New Roman"/>
          <w:color w:val="000000"/>
          <w:sz w:val="24"/>
          <w:szCs w:val="24"/>
        </w:rPr>
        <w:t xml:space="preserve">caso. </w:t>
      </w:r>
      <w:r w:rsidR="00640FEC" w:rsidRPr="002B3DAC">
        <w:rPr>
          <w:rFonts w:ascii="Times New Roman" w:hAnsi="Times New Roman"/>
          <w:color w:val="000000"/>
          <w:sz w:val="24"/>
          <w:szCs w:val="24"/>
        </w:rPr>
        <w:t>Tampoco debe ordenarse por un período en función de la pena que podría corresponder al delito en cuestión, sino de una determinación de la necesidad</w:t>
      </w:r>
      <w:r w:rsidR="00D510FB" w:rsidRPr="002B3DAC">
        <w:rPr>
          <w:rFonts w:ascii="Times New Roman" w:hAnsi="Times New Roman"/>
          <w:color w:val="000000"/>
          <w:sz w:val="24"/>
          <w:szCs w:val="24"/>
        </w:rPr>
        <w:t>”</w:t>
      </w:r>
      <w:r w:rsidR="00640FEC" w:rsidRPr="002B3DAC">
        <w:rPr>
          <w:rFonts w:ascii="Times New Roman" w:hAnsi="Times New Roman"/>
          <w:color w:val="000000"/>
          <w:sz w:val="24"/>
          <w:szCs w:val="24"/>
        </w:rPr>
        <w:t xml:space="preserve">. </w:t>
      </w:r>
      <w:r w:rsidR="00D510FB" w:rsidRPr="002B3DAC">
        <w:rPr>
          <w:rStyle w:val="Refdenotaalpie"/>
          <w:rFonts w:ascii="Times New Roman" w:hAnsi="Times New Roman"/>
          <w:color w:val="000000"/>
          <w:sz w:val="24"/>
          <w:szCs w:val="24"/>
        </w:rPr>
        <w:footnoteReference w:id="34"/>
      </w:r>
    </w:p>
    <w:p w14:paraId="23874B9F" w14:textId="77777777" w:rsidR="00D510FB" w:rsidRPr="002B3DAC" w:rsidRDefault="00D510FB" w:rsidP="00C60AAA">
      <w:pPr>
        <w:pStyle w:val="Prrafodelista"/>
        <w:ind w:left="0"/>
        <w:rPr>
          <w:rFonts w:ascii="Times New Roman" w:hAnsi="Times New Roman"/>
          <w:color w:val="000000"/>
          <w:sz w:val="24"/>
          <w:szCs w:val="24"/>
        </w:rPr>
      </w:pPr>
    </w:p>
    <w:p w14:paraId="186CC62A" w14:textId="77777777" w:rsidR="00D510FB" w:rsidRPr="002B3DAC" w:rsidRDefault="00D510FB" w:rsidP="00C60AAA">
      <w:pPr>
        <w:pStyle w:val="Prrafodelista"/>
        <w:numPr>
          <w:ilvl w:val="0"/>
          <w:numId w:val="14"/>
        </w:numPr>
        <w:spacing w:after="0" w:line="240" w:lineRule="auto"/>
        <w:ind w:left="0" w:firstLine="0"/>
        <w:jc w:val="both"/>
        <w:rPr>
          <w:rFonts w:ascii="Times New Roman" w:hAnsi="Times New Roman"/>
          <w:sz w:val="24"/>
          <w:szCs w:val="24"/>
        </w:rPr>
      </w:pPr>
      <w:r w:rsidRPr="002B3DAC">
        <w:rPr>
          <w:rFonts w:ascii="Times New Roman" w:hAnsi="Times New Roman"/>
          <w:color w:val="000000"/>
          <w:sz w:val="24"/>
          <w:szCs w:val="24"/>
        </w:rPr>
        <w:t>“</w:t>
      </w:r>
      <w:r w:rsidR="00640FEC" w:rsidRPr="002B3DAC">
        <w:rPr>
          <w:rFonts w:ascii="Times New Roman" w:hAnsi="Times New Roman"/>
          <w:color w:val="000000"/>
          <w:sz w:val="24"/>
          <w:szCs w:val="24"/>
        </w:rPr>
        <w:t>Los tribunales deberán examinar si las alternativas a la reclusión previa al juicio, como la fianza, los brazaletes electrónicos u otras medidas, harían que la reclusión fuera innecesaria en el caso concreto. Si el acusado es extranjero, ese hecho no deberá ser considerado suficiente para determinar la posibilidad de huida del territorio</w:t>
      </w:r>
      <w:r w:rsidRPr="002B3DAC">
        <w:rPr>
          <w:rFonts w:ascii="Times New Roman" w:hAnsi="Times New Roman"/>
          <w:color w:val="000000"/>
          <w:sz w:val="24"/>
          <w:szCs w:val="24"/>
        </w:rPr>
        <w:t>”</w:t>
      </w:r>
      <w:r w:rsidRPr="002B3DAC">
        <w:rPr>
          <w:rStyle w:val="Refdenotaalpie"/>
          <w:rFonts w:ascii="Times New Roman" w:hAnsi="Times New Roman"/>
          <w:color w:val="000000"/>
          <w:sz w:val="24"/>
          <w:szCs w:val="24"/>
        </w:rPr>
        <w:footnoteReference w:id="35"/>
      </w:r>
    </w:p>
    <w:p w14:paraId="1FFB03F7" w14:textId="77777777" w:rsidR="00D510FB" w:rsidRPr="002B3DAC" w:rsidRDefault="00D510FB" w:rsidP="00C60AAA">
      <w:pPr>
        <w:pStyle w:val="Prrafodelista"/>
        <w:ind w:left="0"/>
        <w:rPr>
          <w:rFonts w:ascii="Times New Roman" w:hAnsi="Times New Roman"/>
          <w:color w:val="000000"/>
          <w:sz w:val="24"/>
          <w:szCs w:val="24"/>
        </w:rPr>
      </w:pPr>
    </w:p>
    <w:p w14:paraId="7BD3D1E0" w14:textId="77777777" w:rsidR="00864D3D" w:rsidRPr="002B3DAC" w:rsidRDefault="00D510FB" w:rsidP="00FE6B81">
      <w:pPr>
        <w:pStyle w:val="Prrafodelista"/>
        <w:numPr>
          <w:ilvl w:val="0"/>
          <w:numId w:val="14"/>
        </w:numPr>
        <w:spacing w:after="0" w:line="240" w:lineRule="auto"/>
        <w:ind w:left="0" w:firstLine="0"/>
        <w:jc w:val="both"/>
        <w:rPr>
          <w:rFonts w:ascii="Times New Roman" w:hAnsi="Times New Roman"/>
          <w:sz w:val="24"/>
          <w:szCs w:val="24"/>
        </w:rPr>
      </w:pPr>
      <w:r w:rsidRPr="002B3DAC">
        <w:rPr>
          <w:rFonts w:ascii="Times New Roman" w:hAnsi="Times New Roman"/>
          <w:color w:val="000000"/>
          <w:sz w:val="24"/>
          <w:szCs w:val="24"/>
        </w:rPr>
        <w:t>“</w:t>
      </w:r>
      <w:r w:rsidR="00640FEC" w:rsidRPr="002B3DAC">
        <w:rPr>
          <w:rFonts w:ascii="Times New Roman" w:hAnsi="Times New Roman"/>
          <w:color w:val="000000"/>
          <w:sz w:val="24"/>
          <w:szCs w:val="24"/>
        </w:rPr>
        <w:t>Una vez se haya hecho una determinación inicial de que la reclusión previa al juicio es necesaria, esa decisión debe revisarse periódicamente para establecer si sigue siendo razonable y necesaria a la luz de las posibles alternativas</w:t>
      </w:r>
      <w:r w:rsidRPr="002B3DAC">
        <w:rPr>
          <w:rFonts w:ascii="Times New Roman" w:hAnsi="Times New Roman"/>
          <w:color w:val="000000"/>
          <w:sz w:val="24"/>
          <w:szCs w:val="24"/>
        </w:rPr>
        <w:t>.</w:t>
      </w:r>
      <w:r w:rsidR="004D7C5A" w:rsidRPr="002B3DAC">
        <w:rPr>
          <w:rFonts w:ascii="Times New Roman" w:hAnsi="Times New Roman"/>
          <w:color w:val="000000"/>
          <w:sz w:val="24"/>
          <w:szCs w:val="24"/>
        </w:rPr>
        <w:t xml:space="preserve"> </w:t>
      </w:r>
      <w:r w:rsidR="00640FEC" w:rsidRPr="002B3DAC">
        <w:rPr>
          <w:rFonts w:ascii="Times New Roman" w:hAnsi="Times New Roman"/>
          <w:color w:val="000000"/>
          <w:sz w:val="24"/>
          <w:szCs w:val="24"/>
        </w:rPr>
        <w:t>Si el período durante el cual el acusado ha estado recluido alcanza la duración de la pena más grave que podría imponerse por los delitos imputados, el acusado deberá ser puesto en libertad. La reclusión preventiva de menores deberá evitarse en la mayor medida posible</w:t>
      </w:r>
      <w:r w:rsidRPr="002B3DAC">
        <w:rPr>
          <w:rFonts w:ascii="Times New Roman" w:hAnsi="Times New Roman"/>
          <w:color w:val="000000"/>
          <w:sz w:val="24"/>
          <w:szCs w:val="24"/>
        </w:rPr>
        <w:t>”</w:t>
      </w:r>
      <w:r w:rsidRPr="002B3DAC">
        <w:rPr>
          <w:rStyle w:val="Refdenotaalpie"/>
          <w:rFonts w:ascii="Times New Roman" w:hAnsi="Times New Roman"/>
          <w:color w:val="000000"/>
          <w:sz w:val="24"/>
          <w:szCs w:val="24"/>
        </w:rPr>
        <w:footnoteReference w:id="36"/>
      </w:r>
      <w:r w:rsidR="00640FEC" w:rsidRPr="002B3DAC">
        <w:rPr>
          <w:rFonts w:ascii="Times New Roman" w:hAnsi="Times New Roman"/>
          <w:color w:val="000000"/>
          <w:sz w:val="24"/>
          <w:szCs w:val="24"/>
        </w:rPr>
        <w:t>.</w:t>
      </w:r>
    </w:p>
    <w:p w14:paraId="08277298" w14:textId="77777777" w:rsidR="00FE6B81" w:rsidRPr="002B3DAC" w:rsidRDefault="00FE6B81" w:rsidP="00FE6B81">
      <w:pPr>
        <w:pStyle w:val="Prrafodelista"/>
        <w:spacing w:after="0" w:line="240" w:lineRule="auto"/>
        <w:ind w:left="0"/>
        <w:jc w:val="both"/>
        <w:rPr>
          <w:rFonts w:ascii="Times New Roman" w:hAnsi="Times New Roman"/>
          <w:sz w:val="24"/>
          <w:szCs w:val="24"/>
        </w:rPr>
      </w:pPr>
    </w:p>
    <w:p w14:paraId="6C63DA34" w14:textId="77777777" w:rsidR="00D7081F" w:rsidRPr="002B3DAC" w:rsidRDefault="00D7081F" w:rsidP="004E22F2">
      <w:pPr>
        <w:spacing w:after="0" w:line="240" w:lineRule="auto"/>
        <w:jc w:val="both"/>
        <w:rPr>
          <w:rFonts w:ascii="Times New Roman" w:hAnsi="Times New Roman"/>
          <w:color w:val="000000"/>
          <w:sz w:val="24"/>
          <w:szCs w:val="24"/>
        </w:rPr>
      </w:pPr>
    </w:p>
    <w:p w14:paraId="4DB6E471" w14:textId="77777777" w:rsidR="00A600C0" w:rsidRPr="002B3DAC" w:rsidRDefault="00A600C0" w:rsidP="002F74B9">
      <w:pPr>
        <w:pStyle w:val="Prrafodelista"/>
        <w:numPr>
          <w:ilvl w:val="0"/>
          <w:numId w:val="40"/>
        </w:numPr>
        <w:spacing w:after="0" w:line="240" w:lineRule="auto"/>
        <w:ind w:left="0" w:firstLine="0"/>
        <w:jc w:val="both"/>
        <w:rPr>
          <w:rFonts w:ascii="Times New Roman" w:hAnsi="Times New Roman"/>
          <w:color w:val="000000"/>
          <w:sz w:val="24"/>
          <w:szCs w:val="24"/>
        </w:rPr>
      </w:pPr>
      <w:r w:rsidRPr="002B3DAC">
        <w:rPr>
          <w:rFonts w:ascii="Times New Roman" w:hAnsi="Times New Roman"/>
          <w:sz w:val="24"/>
          <w:szCs w:val="24"/>
        </w:rPr>
        <w:t>JURISPRUDENCIA DE LA CORTE INTERAMERICANA DE DDHH EN CASO NORÍN CATRIMÁN Y OTROS</w:t>
      </w:r>
    </w:p>
    <w:p w14:paraId="7C669E16" w14:textId="77777777" w:rsidR="003C2B99" w:rsidRPr="002B3DAC" w:rsidRDefault="003C2B99" w:rsidP="003C2B99">
      <w:pPr>
        <w:shd w:val="clear" w:color="auto" w:fill="FFFFFF"/>
        <w:spacing w:before="100" w:beforeAutospacing="1" w:after="100" w:afterAutospacing="1" w:line="240" w:lineRule="auto"/>
        <w:jc w:val="both"/>
        <w:rPr>
          <w:rFonts w:ascii="Times New Roman" w:hAnsi="Times New Roman"/>
          <w:sz w:val="24"/>
          <w:szCs w:val="24"/>
        </w:rPr>
      </w:pPr>
      <w:r w:rsidRPr="002B3DAC">
        <w:rPr>
          <w:rFonts w:ascii="Times New Roman" w:hAnsi="Times New Roman"/>
          <w:sz w:val="24"/>
          <w:szCs w:val="24"/>
        </w:rPr>
        <w:t xml:space="preserve">                 A pesar de </w:t>
      </w:r>
      <w:r w:rsidR="0028740D" w:rsidRPr="002B3DAC">
        <w:rPr>
          <w:rFonts w:ascii="Times New Roman" w:hAnsi="Times New Roman"/>
          <w:sz w:val="24"/>
          <w:szCs w:val="24"/>
        </w:rPr>
        <w:t>que n</w:t>
      </w:r>
      <w:r w:rsidR="00495FCE" w:rsidRPr="002B3DAC">
        <w:rPr>
          <w:rFonts w:ascii="Times New Roman" w:hAnsi="Times New Roman"/>
          <w:sz w:val="24"/>
          <w:szCs w:val="24"/>
        </w:rPr>
        <w:t>u</w:t>
      </w:r>
      <w:r w:rsidR="0028740D" w:rsidRPr="002B3DAC">
        <w:rPr>
          <w:rFonts w:ascii="Times New Roman" w:hAnsi="Times New Roman"/>
          <w:sz w:val="24"/>
          <w:szCs w:val="24"/>
        </w:rPr>
        <w:t>estro texto c</w:t>
      </w:r>
      <w:r w:rsidR="00495FCE" w:rsidRPr="002B3DAC">
        <w:rPr>
          <w:rFonts w:ascii="Times New Roman" w:hAnsi="Times New Roman"/>
          <w:sz w:val="24"/>
          <w:szCs w:val="24"/>
        </w:rPr>
        <w:t>o</w:t>
      </w:r>
      <w:r w:rsidR="0028740D" w:rsidRPr="002B3DAC">
        <w:rPr>
          <w:rFonts w:ascii="Times New Roman" w:hAnsi="Times New Roman"/>
          <w:sz w:val="24"/>
          <w:szCs w:val="24"/>
        </w:rPr>
        <w:t xml:space="preserve">nstitucional </w:t>
      </w:r>
      <w:r w:rsidR="00495FCE" w:rsidRPr="002B3DAC">
        <w:rPr>
          <w:rFonts w:ascii="Times New Roman" w:hAnsi="Times New Roman"/>
          <w:sz w:val="24"/>
          <w:szCs w:val="24"/>
        </w:rPr>
        <w:t>y los tratados vigentes</w:t>
      </w:r>
      <w:r w:rsidR="0028740D" w:rsidRPr="002B3DAC">
        <w:rPr>
          <w:rFonts w:ascii="Times New Roman" w:hAnsi="Times New Roman"/>
          <w:sz w:val="24"/>
          <w:szCs w:val="24"/>
        </w:rPr>
        <w:t xml:space="preserve"> </w:t>
      </w:r>
      <w:r w:rsidR="00495FCE" w:rsidRPr="002B3DAC">
        <w:rPr>
          <w:rFonts w:ascii="Times New Roman" w:hAnsi="Times New Roman"/>
          <w:sz w:val="24"/>
          <w:szCs w:val="24"/>
        </w:rPr>
        <w:t xml:space="preserve"> asegura</w:t>
      </w:r>
      <w:r w:rsidR="00D510FB" w:rsidRPr="002B3DAC">
        <w:rPr>
          <w:rFonts w:ascii="Times New Roman" w:hAnsi="Times New Roman"/>
          <w:sz w:val="24"/>
          <w:szCs w:val="24"/>
        </w:rPr>
        <w:t>n</w:t>
      </w:r>
      <w:r w:rsidR="00495FCE" w:rsidRPr="002B3DAC">
        <w:rPr>
          <w:rFonts w:ascii="Times New Roman" w:hAnsi="Times New Roman"/>
          <w:sz w:val="24"/>
          <w:szCs w:val="24"/>
        </w:rPr>
        <w:t xml:space="preserve"> a todas las personas su derecho a la libertad personal</w:t>
      </w:r>
      <w:r w:rsidR="005D67A4" w:rsidRPr="002B3DAC">
        <w:rPr>
          <w:rFonts w:ascii="Times New Roman" w:hAnsi="Times New Roman"/>
          <w:sz w:val="24"/>
          <w:szCs w:val="24"/>
        </w:rPr>
        <w:t xml:space="preserve">, </w:t>
      </w:r>
      <w:r w:rsidR="0079575A" w:rsidRPr="002B3DAC">
        <w:rPr>
          <w:rFonts w:ascii="Times New Roman" w:hAnsi="Times New Roman"/>
          <w:sz w:val="24"/>
          <w:szCs w:val="24"/>
        </w:rPr>
        <w:t xml:space="preserve">a igual trato ante la ley y las cortes, y a un proceso racional y justo, </w:t>
      </w:r>
      <w:r w:rsidR="005D67A4" w:rsidRPr="002B3DAC">
        <w:rPr>
          <w:rFonts w:ascii="Times New Roman" w:hAnsi="Times New Roman"/>
          <w:sz w:val="24"/>
          <w:szCs w:val="24"/>
        </w:rPr>
        <w:t xml:space="preserve">y no obstante la claridad  con </w:t>
      </w:r>
      <w:r w:rsidR="009F7571" w:rsidRPr="002B3DAC">
        <w:rPr>
          <w:rFonts w:ascii="Times New Roman" w:hAnsi="Times New Roman"/>
          <w:sz w:val="24"/>
          <w:szCs w:val="24"/>
        </w:rPr>
        <w:t xml:space="preserve">la </w:t>
      </w:r>
      <w:r w:rsidR="005D67A4" w:rsidRPr="002B3DAC">
        <w:rPr>
          <w:rFonts w:ascii="Times New Roman" w:hAnsi="Times New Roman"/>
          <w:sz w:val="24"/>
          <w:szCs w:val="24"/>
        </w:rPr>
        <w:t xml:space="preserve"> que los organismos especi</w:t>
      </w:r>
      <w:r w:rsidR="009F7571" w:rsidRPr="002B3DAC">
        <w:rPr>
          <w:rFonts w:ascii="Times New Roman" w:hAnsi="Times New Roman"/>
          <w:sz w:val="24"/>
          <w:szCs w:val="24"/>
        </w:rPr>
        <w:t>a</w:t>
      </w:r>
      <w:r w:rsidR="005D67A4" w:rsidRPr="002B3DAC">
        <w:rPr>
          <w:rFonts w:ascii="Times New Roman" w:hAnsi="Times New Roman"/>
          <w:sz w:val="24"/>
          <w:szCs w:val="24"/>
        </w:rPr>
        <w:t xml:space="preserve">lizados </w:t>
      </w:r>
      <w:r w:rsidR="009F7571" w:rsidRPr="002B3DAC">
        <w:rPr>
          <w:rFonts w:ascii="Times New Roman" w:hAnsi="Times New Roman"/>
          <w:sz w:val="24"/>
          <w:szCs w:val="24"/>
        </w:rPr>
        <w:t xml:space="preserve">han  establecido </w:t>
      </w:r>
      <w:r w:rsidR="005D67A4" w:rsidRPr="002B3DAC">
        <w:rPr>
          <w:rFonts w:ascii="Times New Roman" w:hAnsi="Times New Roman"/>
          <w:sz w:val="24"/>
          <w:szCs w:val="24"/>
        </w:rPr>
        <w:t xml:space="preserve">la necesidad de armonizar los textos legales </w:t>
      </w:r>
      <w:r w:rsidR="009F7571" w:rsidRPr="002B3DAC">
        <w:rPr>
          <w:rFonts w:ascii="Times New Roman" w:hAnsi="Times New Roman"/>
          <w:sz w:val="24"/>
          <w:szCs w:val="24"/>
        </w:rPr>
        <w:t xml:space="preserve">internos </w:t>
      </w:r>
      <w:r w:rsidR="005D67A4" w:rsidRPr="002B3DAC">
        <w:rPr>
          <w:rFonts w:ascii="Times New Roman" w:hAnsi="Times New Roman"/>
          <w:sz w:val="24"/>
          <w:szCs w:val="24"/>
        </w:rPr>
        <w:t>con l</w:t>
      </w:r>
      <w:r w:rsidR="009F7571" w:rsidRPr="002B3DAC">
        <w:rPr>
          <w:rFonts w:ascii="Times New Roman" w:hAnsi="Times New Roman"/>
          <w:sz w:val="24"/>
          <w:szCs w:val="24"/>
        </w:rPr>
        <w:t>as norma</w:t>
      </w:r>
      <w:r w:rsidR="00AF1B8C" w:rsidRPr="002B3DAC">
        <w:rPr>
          <w:rFonts w:ascii="Times New Roman" w:hAnsi="Times New Roman"/>
          <w:sz w:val="24"/>
          <w:szCs w:val="24"/>
        </w:rPr>
        <w:t xml:space="preserve">s de los tratados que voluntariamente han ratificado, </w:t>
      </w:r>
      <w:r w:rsidRPr="002B3DAC">
        <w:rPr>
          <w:rFonts w:ascii="Times New Roman" w:hAnsi="Times New Roman"/>
          <w:sz w:val="24"/>
          <w:szCs w:val="24"/>
        </w:rPr>
        <w:t xml:space="preserve">el Estado de Chile ya ha sido condenado el año 2014 por la Corte Interamericana de DDHH (Corte IDH) resolviendo el  caso </w:t>
      </w:r>
      <w:proofErr w:type="spellStart"/>
      <w:r w:rsidRPr="002B3DAC">
        <w:rPr>
          <w:rFonts w:ascii="Times New Roman" w:hAnsi="Times New Roman"/>
          <w:sz w:val="24"/>
          <w:szCs w:val="24"/>
        </w:rPr>
        <w:t>Norín</w:t>
      </w:r>
      <w:proofErr w:type="spellEnd"/>
      <w:r w:rsidRPr="002B3DAC">
        <w:rPr>
          <w:rFonts w:ascii="Times New Roman" w:hAnsi="Times New Roman"/>
          <w:sz w:val="24"/>
          <w:szCs w:val="24"/>
        </w:rPr>
        <w:t xml:space="preserve"> </w:t>
      </w:r>
      <w:proofErr w:type="spellStart"/>
      <w:r w:rsidRPr="002B3DAC">
        <w:rPr>
          <w:rFonts w:ascii="Times New Roman" w:hAnsi="Times New Roman"/>
          <w:sz w:val="24"/>
          <w:szCs w:val="24"/>
        </w:rPr>
        <w:t>Catrimán</w:t>
      </w:r>
      <w:proofErr w:type="spellEnd"/>
      <w:r w:rsidRPr="002B3DAC">
        <w:rPr>
          <w:rFonts w:ascii="Times New Roman" w:hAnsi="Times New Roman"/>
          <w:sz w:val="24"/>
          <w:szCs w:val="24"/>
        </w:rPr>
        <w:t xml:space="preserve"> y otros (Dirigentes, Miembros y Activistas del pueblo indígena mapuche) vs. Chile, precisamente por  vulnerar el derecho a la libertad personal, a la igual protección ante la ley, y a un debido proceso, entre otras razones por abusar del uso de la prisión preventiva, al no respetar su carácter cautelar y transformarla en pena anticipada, por la sola aplicación del criterio genérico de “peligrosidad social”, afectando con ello la presunción de inocencia. Caso agravado, además, por incumplimiento de las garantías de un debido proceso, entre ellas, la de ser juzgado en plazo razonable, careciendo además de fundamentos suficientes siquiera para presumir que a las persona</w:t>
      </w:r>
      <w:r w:rsidR="008A4FA8" w:rsidRPr="002B3DAC">
        <w:rPr>
          <w:rFonts w:ascii="Times New Roman" w:hAnsi="Times New Roman"/>
          <w:sz w:val="24"/>
          <w:szCs w:val="24"/>
        </w:rPr>
        <w:t>s</w:t>
      </w:r>
      <w:r w:rsidRPr="002B3DAC">
        <w:rPr>
          <w:rFonts w:ascii="Times New Roman" w:hAnsi="Times New Roman"/>
          <w:sz w:val="24"/>
          <w:szCs w:val="24"/>
        </w:rPr>
        <w:t xml:space="preserve"> privadas de su libertad por largos años les hubiese cabido participación en los hechos. Fallo que significó no sólo la condena del Estado de Chile a pagar indemnizaciones a las víctimas, sino que le obligó a dejar sin efecto los fallos dictados en su contra por ha</w:t>
      </w:r>
      <w:r w:rsidR="002F74B9" w:rsidRPr="002B3DAC">
        <w:rPr>
          <w:rFonts w:ascii="Times New Roman" w:hAnsi="Times New Roman"/>
          <w:sz w:val="24"/>
          <w:szCs w:val="24"/>
        </w:rPr>
        <w:t>b</w:t>
      </w:r>
      <w:r w:rsidRPr="002B3DAC">
        <w:rPr>
          <w:rFonts w:ascii="Times New Roman" w:hAnsi="Times New Roman"/>
          <w:sz w:val="24"/>
          <w:szCs w:val="24"/>
        </w:rPr>
        <w:t>er sido dictados con abierta vulneración de sus derechos esenciales.</w:t>
      </w:r>
    </w:p>
    <w:p w14:paraId="07CBA66F" w14:textId="77777777" w:rsidR="003C2B99" w:rsidRPr="002B3DAC" w:rsidRDefault="003C2B99" w:rsidP="003C2B99">
      <w:pPr>
        <w:spacing w:after="0" w:line="240" w:lineRule="auto"/>
        <w:jc w:val="both"/>
        <w:rPr>
          <w:rFonts w:ascii="Times New Roman" w:hAnsi="Times New Roman"/>
          <w:sz w:val="24"/>
          <w:szCs w:val="24"/>
        </w:rPr>
      </w:pPr>
      <w:r w:rsidRPr="002B3DAC">
        <w:rPr>
          <w:rFonts w:ascii="Times New Roman" w:hAnsi="Times New Roman"/>
          <w:sz w:val="24"/>
          <w:szCs w:val="24"/>
        </w:rPr>
        <w:t xml:space="preserve">                        En el caso </w:t>
      </w:r>
      <w:proofErr w:type="spellStart"/>
      <w:r w:rsidRPr="002B3DAC">
        <w:rPr>
          <w:rFonts w:ascii="Times New Roman" w:hAnsi="Times New Roman"/>
          <w:sz w:val="24"/>
          <w:szCs w:val="24"/>
        </w:rPr>
        <w:t>Norín</w:t>
      </w:r>
      <w:proofErr w:type="spellEnd"/>
      <w:r w:rsidRPr="002B3DAC">
        <w:rPr>
          <w:rFonts w:ascii="Times New Roman" w:hAnsi="Times New Roman"/>
          <w:sz w:val="24"/>
          <w:szCs w:val="24"/>
        </w:rPr>
        <w:t xml:space="preserve"> </w:t>
      </w:r>
      <w:proofErr w:type="spellStart"/>
      <w:r w:rsidRPr="002B3DAC">
        <w:rPr>
          <w:rFonts w:ascii="Times New Roman" w:hAnsi="Times New Roman"/>
          <w:sz w:val="24"/>
          <w:szCs w:val="24"/>
        </w:rPr>
        <w:t>Catrimán</w:t>
      </w:r>
      <w:proofErr w:type="spellEnd"/>
      <w:r w:rsidRPr="002B3DAC">
        <w:rPr>
          <w:rFonts w:ascii="Times New Roman" w:hAnsi="Times New Roman"/>
          <w:sz w:val="24"/>
          <w:szCs w:val="24"/>
        </w:rPr>
        <w:t>, sentencia de 29 de mayo de 2014, la Corte IDH representó al Estado de Chile que el numeral 1 del artículo 7  de la Convención Americana de DDHH consagra en términos generales el derecho a la libertad y la seguridad personales, y los demás numerales consagran aspectos específicos de ese derecho. Y señal</w:t>
      </w:r>
      <w:r w:rsidR="00AF1B8C" w:rsidRPr="002B3DAC">
        <w:rPr>
          <w:rFonts w:ascii="Times New Roman" w:hAnsi="Times New Roman"/>
          <w:sz w:val="24"/>
          <w:szCs w:val="24"/>
        </w:rPr>
        <w:t>a</w:t>
      </w:r>
      <w:r w:rsidRPr="002B3DAC">
        <w:rPr>
          <w:rFonts w:ascii="Times New Roman" w:hAnsi="Times New Roman"/>
          <w:sz w:val="24"/>
          <w:szCs w:val="24"/>
        </w:rPr>
        <w:t xml:space="preserve"> expresamente que “la violación de cualquiera de dichos numerales entrañará la violación del artículo 7.1 de la Convención, puesto que la falta de respeto a las garantías de la persona privada de la libertad desemboca, en suma, en la falta de </w:t>
      </w:r>
      <w:r w:rsidRPr="002B3DAC">
        <w:rPr>
          <w:rFonts w:ascii="Times New Roman" w:hAnsi="Times New Roman"/>
          <w:sz w:val="24"/>
          <w:szCs w:val="24"/>
        </w:rPr>
        <w:lastRenderedPageBreak/>
        <w:t>protección del propio derecho a la libertad de esa persona”</w:t>
      </w:r>
      <w:r w:rsidRPr="002B3DAC">
        <w:rPr>
          <w:rStyle w:val="Refdenotaalpie"/>
          <w:rFonts w:ascii="Times New Roman" w:hAnsi="Times New Roman"/>
          <w:sz w:val="24"/>
          <w:szCs w:val="24"/>
        </w:rPr>
        <w:footnoteReference w:id="37"/>
      </w:r>
      <w:r w:rsidRPr="002B3DAC">
        <w:rPr>
          <w:rFonts w:ascii="Times New Roman" w:hAnsi="Times New Roman"/>
          <w:sz w:val="24"/>
          <w:szCs w:val="24"/>
        </w:rPr>
        <w:t xml:space="preserve"> Recordó además que “el principio general en esta materia es que la libertad es siempre la regla y la limitación o restricción siempre la excepción”.  Preci</w:t>
      </w:r>
      <w:r w:rsidR="00AF1B8C" w:rsidRPr="002B3DAC">
        <w:rPr>
          <w:rFonts w:ascii="Times New Roman" w:hAnsi="Times New Roman"/>
          <w:sz w:val="24"/>
          <w:szCs w:val="24"/>
        </w:rPr>
        <w:t>sa</w:t>
      </w:r>
      <w:r w:rsidRPr="002B3DAC">
        <w:rPr>
          <w:rFonts w:ascii="Times New Roman" w:hAnsi="Times New Roman"/>
          <w:sz w:val="24"/>
          <w:szCs w:val="24"/>
        </w:rPr>
        <w:t xml:space="preserve"> que ello es el efecto del artículo 7. 2, que dispone: “Nadie puede ser privado de su libertad física, salvo por las causas y en las condiciones fijadas de antemano por las Constituciones Políticas de los Estados Partes o por las leyes dictadas conforme a ellas. Pero, añad</w:t>
      </w:r>
      <w:r w:rsidR="00AF1B8C" w:rsidRPr="002B3DAC">
        <w:rPr>
          <w:rFonts w:ascii="Times New Roman" w:hAnsi="Times New Roman"/>
          <w:sz w:val="24"/>
          <w:szCs w:val="24"/>
        </w:rPr>
        <w:t>e</w:t>
      </w:r>
      <w:r w:rsidRPr="002B3DAC">
        <w:rPr>
          <w:rFonts w:ascii="Times New Roman" w:hAnsi="Times New Roman"/>
          <w:sz w:val="24"/>
          <w:szCs w:val="24"/>
        </w:rPr>
        <w:t xml:space="preserve"> claramente que “</w:t>
      </w:r>
      <w:r w:rsidRPr="002B3DAC">
        <w:rPr>
          <w:rFonts w:ascii="Times New Roman" w:hAnsi="Times New Roman"/>
          <w:b/>
          <w:bCs/>
          <w:sz w:val="24"/>
          <w:szCs w:val="24"/>
        </w:rPr>
        <w:t xml:space="preserve">el solo cumplimiento de las formalidades legales no es suficiente pues el artículo 7.3 de la Convención Americana, al disponer que “nadie puede ser sometido a detención o encarcelamiento arbitrarios”, prohíbe la detención o encarcelamiento por métodos que pueden ser legales, pero que en la práctica resultan </w:t>
      </w:r>
      <w:r w:rsidRPr="002B3DAC">
        <w:rPr>
          <w:rFonts w:ascii="Times New Roman" w:hAnsi="Times New Roman"/>
          <w:sz w:val="24"/>
          <w:szCs w:val="24"/>
          <w:u w:val="single"/>
        </w:rPr>
        <w:t>irrazonables, imprevisibles o carentes de proporcionalidad</w:t>
      </w:r>
      <w:r w:rsidRPr="002B3DAC">
        <w:rPr>
          <w:rFonts w:ascii="Times New Roman" w:hAnsi="Times New Roman"/>
          <w:b/>
          <w:bCs/>
          <w:sz w:val="24"/>
          <w:szCs w:val="24"/>
        </w:rPr>
        <w:t>”</w:t>
      </w:r>
      <w:r w:rsidRPr="002B3DAC">
        <w:rPr>
          <w:rFonts w:ascii="Times New Roman" w:hAnsi="Times New Roman"/>
          <w:sz w:val="24"/>
          <w:szCs w:val="24"/>
        </w:rPr>
        <w:t xml:space="preserve"> </w:t>
      </w:r>
      <w:r w:rsidRPr="002B3DAC">
        <w:rPr>
          <w:rStyle w:val="Refdenotaalpie"/>
          <w:rFonts w:ascii="Times New Roman" w:hAnsi="Times New Roman"/>
          <w:sz w:val="24"/>
          <w:szCs w:val="24"/>
        </w:rPr>
        <w:footnoteReference w:id="38"/>
      </w:r>
    </w:p>
    <w:p w14:paraId="2ABCAE4B" w14:textId="77777777" w:rsidR="00D82C17" w:rsidRPr="002B3DAC" w:rsidRDefault="00D82C17" w:rsidP="00D82C17">
      <w:pPr>
        <w:shd w:val="clear" w:color="auto" w:fill="FFFFFF"/>
        <w:spacing w:before="100" w:beforeAutospacing="1" w:after="100" w:afterAutospacing="1" w:line="240" w:lineRule="auto"/>
        <w:jc w:val="both"/>
        <w:rPr>
          <w:rFonts w:ascii="Times New Roman" w:hAnsi="Times New Roman"/>
          <w:sz w:val="24"/>
          <w:szCs w:val="24"/>
        </w:rPr>
      </w:pPr>
      <w:r w:rsidRPr="002B3DAC">
        <w:rPr>
          <w:rFonts w:ascii="Times New Roman" w:hAnsi="Times New Roman"/>
          <w:sz w:val="24"/>
          <w:szCs w:val="24"/>
        </w:rPr>
        <w:t xml:space="preserve">          </w:t>
      </w:r>
      <w:r w:rsidR="00EE1A1C" w:rsidRPr="002B3DAC">
        <w:rPr>
          <w:rFonts w:ascii="Times New Roman" w:hAnsi="Times New Roman"/>
          <w:sz w:val="24"/>
          <w:szCs w:val="24"/>
        </w:rPr>
        <w:t xml:space="preserve">         </w:t>
      </w:r>
      <w:r w:rsidRPr="002B3DAC">
        <w:rPr>
          <w:rFonts w:ascii="Times New Roman" w:hAnsi="Times New Roman"/>
          <w:sz w:val="24"/>
          <w:szCs w:val="24"/>
        </w:rPr>
        <w:t xml:space="preserve">     A mayor abundamiento, en el considerando 311 y 312, la Corte precisa las características de la prisión preventiva y, en consecuencia, los requisitos que ha de cumplir para no ser </w:t>
      </w:r>
      <w:r w:rsidRPr="002B3DAC">
        <w:rPr>
          <w:rFonts w:ascii="Times New Roman" w:hAnsi="Times New Roman"/>
          <w:sz w:val="24"/>
          <w:szCs w:val="24"/>
          <w:u w:val="single"/>
        </w:rPr>
        <w:t>arbitraria</w:t>
      </w:r>
      <w:r w:rsidRPr="002B3DAC">
        <w:rPr>
          <w:rFonts w:ascii="Times New Roman" w:hAnsi="Times New Roman"/>
          <w:sz w:val="24"/>
          <w:szCs w:val="24"/>
        </w:rPr>
        <w:t>. En particular, aborda su carácter de medida cautelar y no punitiva, y la necesidad de que los jueces funden suficientemente, en cada caso concreto que ella es la medida más idónea, necesaria y proporcional para lograr sus fines cautelares. Señala entonces que:</w:t>
      </w:r>
    </w:p>
    <w:p w14:paraId="23772F0A" w14:textId="77777777" w:rsidR="00D82C17" w:rsidRPr="002B3DAC" w:rsidRDefault="00D82C17" w:rsidP="00D82C17">
      <w:pPr>
        <w:shd w:val="clear" w:color="auto" w:fill="FFFFFF"/>
        <w:spacing w:before="100" w:beforeAutospacing="1" w:after="100" w:afterAutospacing="1" w:line="240" w:lineRule="auto"/>
        <w:jc w:val="both"/>
        <w:rPr>
          <w:rFonts w:ascii="Times New Roman" w:hAnsi="Times New Roman"/>
          <w:sz w:val="24"/>
          <w:szCs w:val="24"/>
        </w:rPr>
      </w:pPr>
      <w:r w:rsidRPr="002B3DAC">
        <w:rPr>
          <w:rFonts w:ascii="Times New Roman" w:hAnsi="Times New Roman"/>
          <w:sz w:val="24"/>
          <w:szCs w:val="24"/>
        </w:rPr>
        <w:t xml:space="preserve"> “Es una medida cautelar y no punitiva: debe estar dirigida a lograr fines legítimos y razonablemente relacionados con el proceso penal en curso. No puede convertirse en una pena anticipada ni basarse en fines preventivos-generales o preventivo-especiales atribuibles a la pena”. </w:t>
      </w:r>
    </w:p>
    <w:p w14:paraId="2E546A86" w14:textId="77777777" w:rsidR="00D82C17" w:rsidRPr="002B3DAC" w:rsidRDefault="00D82C17" w:rsidP="00D82C17">
      <w:pPr>
        <w:shd w:val="clear" w:color="auto" w:fill="FFFFFF"/>
        <w:spacing w:before="100" w:beforeAutospacing="1" w:after="100" w:afterAutospacing="1" w:line="240" w:lineRule="auto"/>
        <w:jc w:val="both"/>
        <w:rPr>
          <w:rFonts w:ascii="Times New Roman" w:hAnsi="Times New Roman"/>
          <w:sz w:val="24"/>
          <w:szCs w:val="24"/>
        </w:rPr>
      </w:pPr>
      <w:r w:rsidRPr="002B3DAC">
        <w:rPr>
          <w:rFonts w:ascii="Times New Roman" w:hAnsi="Times New Roman"/>
          <w:sz w:val="24"/>
          <w:szCs w:val="24"/>
        </w:rPr>
        <w:t>Y en consecuencia, como la ha dicho reiteradamente, advierte que:</w:t>
      </w:r>
    </w:p>
    <w:p w14:paraId="778772FD" w14:textId="77777777" w:rsidR="00D82C17" w:rsidRPr="002B3DAC" w:rsidRDefault="00D82C17" w:rsidP="00D82C17">
      <w:pPr>
        <w:shd w:val="clear" w:color="auto" w:fill="FFFFFF"/>
        <w:spacing w:before="100" w:beforeAutospacing="1" w:after="100" w:afterAutospacing="1" w:line="240" w:lineRule="auto"/>
        <w:jc w:val="both"/>
        <w:rPr>
          <w:rFonts w:ascii="Times New Roman" w:hAnsi="Times New Roman"/>
          <w:sz w:val="24"/>
          <w:szCs w:val="24"/>
        </w:rPr>
      </w:pPr>
      <w:r w:rsidRPr="002B3DAC">
        <w:rPr>
          <w:rFonts w:ascii="Times New Roman" w:hAnsi="Times New Roman"/>
          <w:sz w:val="24"/>
          <w:szCs w:val="24"/>
        </w:rPr>
        <w:t xml:space="preserve"> “las características personales del supuesto autor y la gravedad del delito que se le imputa no son, por sí mismos, justificación suficiente de la prisión preventiva”. </w:t>
      </w:r>
    </w:p>
    <w:p w14:paraId="22534BB9" w14:textId="77777777" w:rsidR="00D82C17" w:rsidRPr="002B3DAC" w:rsidRDefault="00D82C17" w:rsidP="00D82C17">
      <w:pPr>
        <w:shd w:val="clear" w:color="auto" w:fill="FFFFFF"/>
        <w:spacing w:before="100" w:beforeAutospacing="1" w:after="100" w:afterAutospacing="1" w:line="240" w:lineRule="auto"/>
        <w:jc w:val="both"/>
        <w:rPr>
          <w:rFonts w:ascii="Times New Roman" w:hAnsi="Times New Roman"/>
          <w:sz w:val="24"/>
          <w:szCs w:val="24"/>
        </w:rPr>
      </w:pPr>
      <w:r w:rsidRPr="002B3DAC">
        <w:rPr>
          <w:rFonts w:ascii="Times New Roman" w:hAnsi="Times New Roman"/>
          <w:sz w:val="24"/>
          <w:szCs w:val="24"/>
        </w:rPr>
        <w:t>“…que el peligro procesal no se presume, sino que debe realizarse la verificación del mismo en cada caso, fundado en circunstancias objetivas y ciertas del caso concreto”</w:t>
      </w:r>
    </w:p>
    <w:p w14:paraId="708CBCC4" w14:textId="77777777" w:rsidR="00D82C17" w:rsidRPr="002B3DAC" w:rsidRDefault="00D82C17" w:rsidP="00D82C17">
      <w:pPr>
        <w:shd w:val="clear" w:color="auto" w:fill="FFFFFF"/>
        <w:spacing w:before="100" w:beforeAutospacing="1" w:after="100" w:afterAutospacing="1" w:line="240" w:lineRule="auto"/>
        <w:jc w:val="both"/>
        <w:rPr>
          <w:rFonts w:ascii="Times New Roman" w:hAnsi="Times New Roman"/>
          <w:sz w:val="24"/>
          <w:szCs w:val="24"/>
        </w:rPr>
      </w:pPr>
      <w:r w:rsidRPr="002B3DAC">
        <w:rPr>
          <w:rFonts w:ascii="Times New Roman" w:hAnsi="Times New Roman"/>
          <w:sz w:val="24"/>
          <w:szCs w:val="24"/>
        </w:rPr>
        <w:t xml:space="preserve">““Debe fundarse en elementos probatorios suficientes(..) pues si no existiesen mínimamente elementos que permitan vincular a la persona con el hecho punible investigado, tampoco habrá necesidad de asegurar los fines del proceso”. </w:t>
      </w:r>
    </w:p>
    <w:p w14:paraId="62328CC2" w14:textId="77777777" w:rsidR="00D82C17" w:rsidRPr="002B3DAC" w:rsidRDefault="00D82C17" w:rsidP="00D82C17">
      <w:pPr>
        <w:shd w:val="clear" w:color="auto" w:fill="FFFFFF"/>
        <w:spacing w:before="100" w:beforeAutospacing="1" w:after="100" w:afterAutospacing="1" w:line="240" w:lineRule="auto"/>
        <w:jc w:val="both"/>
        <w:rPr>
          <w:rFonts w:ascii="Times New Roman" w:hAnsi="Times New Roman"/>
          <w:sz w:val="24"/>
          <w:szCs w:val="24"/>
        </w:rPr>
      </w:pPr>
      <w:r w:rsidRPr="002B3DAC">
        <w:rPr>
          <w:rFonts w:ascii="Times New Roman" w:hAnsi="Times New Roman"/>
          <w:sz w:val="24"/>
          <w:szCs w:val="24"/>
        </w:rPr>
        <w:t xml:space="preserve">Añade que la privación de la libertad ha de ser idóneas para cumplir con el fin procesal perseguido, debe ser estrictamente necesaria para asegurar que el acusado no impedirá dichos fines procesales, y resultar proporcional, de tal forma que “el sacrificio inherente a la restricción del derecho a la libertad no resulte exagerado o desmedido frente a las ventajas que se obtienen mediante tal restricción y el cumplimiento de la finalidad perseguida”. </w:t>
      </w:r>
    </w:p>
    <w:p w14:paraId="484EDB7F" w14:textId="77777777" w:rsidR="00D82C17" w:rsidRPr="002B3DAC" w:rsidRDefault="00D82C17" w:rsidP="00D82C17">
      <w:pPr>
        <w:shd w:val="clear" w:color="auto" w:fill="FFFFFF"/>
        <w:spacing w:before="100" w:beforeAutospacing="1" w:after="100" w:afterAutospacing="1" w:line="240" w:lineRule="auto"/>
        <w:jc w:val="both"/>
        <w:rPr>
          <w:rFonts w:ascii="Times New Roman" w:hAnsi="Times New Roman"/>
          <w:sz w:val="24"/>
          <w:szCs w:val="24"/>
        </w:rPr>
      </w:pPr>
      <w:r w:rsidRPr="002B3DAC">
        <w:rPr>
          <w:rFonts w:ascii="Times New Roman" w:hAnsi="Times New Roman"/>
          <w:sz w:val="24"/>
          <w:szCs w:val="24"/>
        </w:rPr>
        <w:t xml:space="preserve">Y en tal sentido, la Corte remarca que: </w:t>
      </w:r>
    </w:p>
    <w:p w14:paraId="14477BFE" w14:textId="77777777" w:rsidR="00D82C17" w:rsidRPr="002B3DAC" w:rsidRDefault="00D82C17" w:rsidP="00FE6B81">
      <w:pPr>
        <w:pStyle w:val="Prrafodelista"/>
        <w:numPr>
          <w:ilvl w:val="0"/>
          <w:numId w:val="50"/>
        </w:numPr>
        <w:shd w:val="clear" w:color="auto" w:fill="FFFFFF"/>
        <w:spacing w:before="100" w:beforeAutospacing="1" w:after="100" w:afterAutospacing="1" w:line="240" w:lineRule="auto"/>
        <w:ind w:hanging="720"/>
        <w:jc w:val="both"/>
        <w:rPr>
          <w:rFonts w:ascii="Times New Roman" w:hAnsi="Times New Roman"/>
          <w:sz w:val="24"/>
          <w:szCs w:val="24"/>
        </w:rPr>
      </w:pPr>
      <w:r w:rsidRPr="002B3DAC">
        <w:rPr>
          <w:rFonts w:ascii="Times New Roman" w:hAnsi="Times New Roman"/>
          <w:sz w:val="24"/>
          <w:szCs w:val="24"/>
        </w:rPr>
        <w:t xml:space="preserve">“Cualquier restricción a la libertad que no contenga una motivación suficiente que permita evaluar si se ajusta a las condiciones señaladas será arbitraria y, por tanto, violará el artículo 7.3 de la Convención. </w:t>
      </w:r>
    </w:p>
    <w:p w14:paraId="156C857C" w14:textId="77777777" w:rsidR="00D82C17" w:rsidRPr="002B3DAC" w:rsidRDefault="00D82C17" w:rsidP="00FE6B81">
      <w:pPr>
        <w:pStyle w:val="Prrafodelista"/>
        <w:numPr>
          <w:ilvl w:val="0"/>
          <w:numId w:val="50"/>
        </w:numPr>
        <w:shd w:val="clear" w:color="auto" w:fill="FFFFFF"/>
        <w:spacing w:before="100" w:beforeAutospacing="1" w:after="100" w:afterAutospacing="1" w:line="240" w:lineRule="auto"/>
        <w:ind w:hanging="720"/>
        <w:jc w:val="both"/>
        <w:rPr>
          <w:rFonts w:ascii="Times New Roman" w:hAnsi="Times New Roman"/>
          <w:sz w:val="24"/>
          <w:szCs w:val="24"/>
        </w:rPr>
      </w:pPr>
      <w:r w:rsidRPr="002B3DAC">
        <w:rPr>
          <w:rFonts w:ascii="Times New Roman" w:hAnsi="Times New Roman"/>
          <w:sz w:val="24"/>
          <w:szCs w:val="24"/>
        </w:rPr>
        <w:t xml:space="preserve">“De este modo, para que se respete la presunción de inocencia al ordenarse medidas cautelares restrictivas de la libertad es preciso que el Estado </w:t>
      </w:r>
      <w:r w:rsidRPr="002B3DAC">
        <w:rPr>
          <w:rFonts w:ascii="Times New Roman" w:hAnsi="Times New Roman"/>
          <w:sz w:val="24"/>
          <w:szCs w:val="24"/>
        </w:rPr>
        <w:lastRenderedPageBreak/>
        <w:t xml:space="preserve">fundamente y acredite, de manera clara y motivada, </w:t>
      </w:r>
      <w:r w:rsidRPr="002B3DAC">
        <w:rPr>
          <w:rFonts w:ascii="Times New Roman" w:hAnsi="Times New Roman"/>
          <w:sz w:val="24"/>
          <w:szCs w:val="24"/>
          <w:u w:val="single"/>
        </w:rPr>
        <w:t>según cada caso concreto,</w:t>
      </w:r>
      <w:r w:rsidRPr="002B3DAC">
        <w:rPr>
          <w:rFonts w:ascii="Times New Roman" w:hAnsi="Times New Roman"/>
          <w:sz w:val="24"/>
          <w:szCs w:val="24"/>
        </w:rPr>
        <w:t xml:space="preserve"> la existencia de los referidos requisitos exigidos por la Convención”</w:t>
      </w:r>
    </w:p>
    <w:p w14:paraId="7F49A116" w14:textId="77777777" w:rsidR="00D82C17" w:rsidRPr="002B3DAC" w:rsidRDefault="00D82C17" w:rsidP="00FE6B81">
      <w:pPr>
        <w:pStyle w:val="Prrafodelista"/>
        <w:numPr>
          <w:ilvl w:val="0"/>
          <w:numId w:val="50"/>
        </w:numPr>
        <w:shd w:val="clear" w:color="auto" w:fill="FFFFFF"/>
        <w:spacing w:before="100" w:beforeAutospacing="1" w:after="100" w:afterAutospacing="1" w:line="240" w:lineRule="auto"/>
        <w:ind w:hanging="720"/>
        <w:jc w:val="both"/>
        <w:rPr>
          <w:rFonts w:ascii="Times New Roman" w:hAnsi="Times New Roman"/>
          <w:sz w:val="24"/>
          <w:szCs w:val="24"/>
        </w:rPr>
      </w:pPr>
      <w:r w:rsidRPr="002B3DAC">
        <w:rPr>
          <w:rFonts w:ascii="Times New Roman" w:hAnsi="Times New Roman"/>
          <w:sz w:val="24"/>
          <w:szCs w:val="24"/>
        </w:rPr>
        <w:t>“Está sujeta a revisión periódica: La Corte ha puesto de relieve que no debe prolongarse cuando no subsistan las razones que motivaron su adopción (..) que las autoridades nacionales deben ofrecer los fundamentos suficientes que permitan conocer los motivos por los cuales se mantiene la restricción de la libertad (…)</w:t>
      </w:r>
    </w:p>
    <w:p w14:paraId="46B5CE4A" w14:textId="77777777" w:rsidR="00D82C17" w:rsidRPr="002B3DAC" w:rsidRDefault="00D82C17" w:rsidP="00FE6B81">
      <w:pPr>
        <w:pStyle w:val="Prrafodelista"/>
        <w:numPr>
          <w:ilvl w:val="0"/>
          <w:numId w:val="50"/>
        </w:numPr>
        <w:shd w:val="clear" w:color="auto" w:fill="FFFFFF"/>
        <w:spacing w:before="100" w:beforeAutospacing="1" w:after="100" w:afterAutospacing="1" w:line="240" w:lineRule="auto"/>
        <w:ind w:hanging="720"/>
        <w:jc w:val="both"/>
        <w:rPr>
          <w:rFonts w:ascii="Times New Roman" w:hAnsi="Times New Roman"/>
          <w:sz w:val="24"/>
          <w:szCs w:val="24"/>
        </w:rPr>
      </w:pPr>
      <w:r w:rsidRPr="002B3DAC">
        <w:rPr>
          <w:rFonts w:ascii="Times New Roman" w:hAnsi="Times New Roman"/>
          <w:sz w:val="24"/>
          <w:szCs w:val="24"/>
        </w:rPr>
        <w:t>La Corte resalta, además, que(…) el juez “debe valorar periódicamente si se mantienen las causas de la medida y la necesidad y la proporcionalidad de ésta, así como si el plazo de la detención ha sobrepasado los límites que imponen la ley y la razón.</w:t>
      </w:r>
    </w:p>
    <w:p w14:paraId="47B7CC1E" w14:textId="77777777" w:rsidR="005333E5" w:rsidRPr="002B3DAC" w:rsidRDefault="005D46B4" w:rsidP="005333E5">
      <w:pPr>
        <w:spacing w:after="0" w:line="240" w:lineRule="auto"/>
        <w:jc w:val="both"/>
        <w:rPr>
          <w:rFonts w:ascii="Times New Roman" w:hAnsi="Times New Roman"/>
          <w:sz w:val="24"/>
          <w:szCs w:val="24"/>
        </w:rPr>
      </w:pPr>
      <w:r w:rsidRPr="002B3DAC">
        <w:rPr>
          <w:rFonts w:ascii="Times New Roman" w:hAnsi="Times New Roman"/>
          <w:sz w:val="24"/>
          <w:szCs w:val="24"/>
        </w:rPr>
        <w:t xml:space="preserve">                    </w:t>
      </w:r>
      <w:r w:rsidR="00D82C17" w:rsidRPr="002B3DAC">
        <w:rPr>
          <w:rFonts w:ascii="Times New Roman" w:hAnsi="Times New Roman"/>
          <w:sz w:val="24"/>
          <w:szCs w:val="24"/>
        </w:rPr>
        <w:t>E</w:t>
      </w:r>
      <w:r w:rsidR="00E72509" w:rsidRPr="002B3DAC">
        <w:rPr>
          <w:rFonts w:ascii="Times New Roman" w:hAnsi="Times New Roman"/>
          <w:sz w:val="24"/>
          <w:szCs w:val="24"/>
        </w:rPr>
        <w:t>n razón de la normativa vigente en Chile</w:t>
      </w:r>
      <w:r w:rsidRPr="002B3DAC">
        <w:rPr>
          <w:rFonts w:ascii="Times New Roman" w:hAnsi="Times New Roman"/>
          <w:sz w:val="24"/>
          <w:szCs w:val="24"/>
        </w:rPr>
        <w:t>, y la forma en la que la misma fue aplicada por los Tribunales de Justicia</w:t>
      </w:r>
      <w:r w:rsidR="00E14BF5" w:rsidRPr="002B3DAC">
        <w:rPr>
          <w:rFonts w:ascii="Times New Roman" w:hAnsi="Times New Roman"/>
          <w:sz w:val="24"/>
          <w:szCs w:val="24"/>
        </w:rPr>
        <w:t>,</w:t>
      </w:r>
      <w:r w:rsidRPr="002B3DAC">
        <w:rPr>
          <w:rFonts w:ascii="Times New Roman" w:hAnsi="Times New Roman"/>
          <w:sz w:val="24"/>
          <w:szCs w:val="24"/>
        </w:rPr>
        <w:t xml:space="preserve"> la Corte resuelve que </w:t>
      </w:r>
      <w:r w:rsidR="009B4649" w:rsidRPr="002B3DAC">
        <w:rPr>
          <w:rFonts w:ascii="Times New Roman" w:hAnsi="Times New Roman"/>
          <w:sz w:val="24"/>
          <w:szCs w:val="24"/>
        </w:rPr>
        <w:t>“l</w:t>
      </w:r>
      <w:r w:rsidR="005333E5" w:rsidRPr="002B3DAC">
        <w:rPr>
          <w:rFonts w:ascii="Times New Roman" w:hAnsi="Times New Roman"/>
          <w:sz w:val="24"/>
          <w:szCs w:val="24"/>
        </w:rPr>
        <w:t xml:space="preserve">a prisión preventiva de Víctor </w:t>
      </w:r>
      <w:proofErr w:type="spellStart"/>
      <w:r w:rsidR="005333E5" w:rsidRPr="002B3DAC">
        <w:rPr>
          <w:rFonts w:ascii="Times New Roman" w:hAnsi="Times New Roman"/>
          <w:sz w:val="24"/>
          <w:szCs w:val="24"/>
        </w:rPr>
        <w:t>Ancalaf</w:t>
      </w:r>
      <w:proofErr w:type="spellEnd"/>
      <w:r w:rsidR="005333E5" w:rsidRPr="002B3DAC">
        <w:rPr>
          <w:rFonts w:ascii="Times New Roman" w:hAnsi="Times New Roman"/>
          <w:sz w:val="24"/>
          <w:szCs w:val="24"/>
        </w:rPr>
        <w:t xml:space="preserve"> </w:t>
      </w:r>
      <w:proofErr w:type="spellStart"/>
      <w:r w:rsidR="005333E5" w:rsidRPr="002B3DAC">
        <w:rPr>
          <w:rFonts w:ascii="Times New Roman" w:hAnsi="Times New Roman"/>
          <w:sz w:val="24"/>
          <w:szCs w:val="24"/>
        </w:rPr>
        <w:t>Llaupe</w:t>
      </w:r>
      <w:proofErr w:type="spellEnd"/>
      <w:r w:rsidR="00F5263E" w:rsidRPr="002B3DAC">
        <w:rPr>
          <w:rFonts w:ascii="Times New Roman" w:hAnsi="Times New Roman"/>
          <w:sz w:val="24"/>
          <w:szCs w:val="24"/>
        </w:rPr>
        <w:t xml:space="preserve"> </w:t>
      </w:r>
      <w:r w:rsidR="009B4649" w:rsidRPr="002B3DAC">
        <w:rPr>
          <w:rFonts w:ascii="Times New Roman" w:hAnsi="Times New Roman"/>
          <w:sz w:val="24"/>
          <w:szCs w:val="24"/>
        </w:rPr>
        <w:t>“no fue</w:t>
      </w:r>
      <w:r w:rsidR="005333E5" w:rsidRPr="002B3DAC">
        <w:rPr>
          <w:rFonts w:ascii="Times New Roman" w:hAnsi="Times New Roman"/>
          <w:sz w:val="24"/>
          <w:szCs w:val="24"/>
        </w:rPr>
        <w:t xml:space="preserve"> dispuesta para alcanzar un fin legítimo, pues en el auto de procesamiento </w:t>
      </w:r>
      <w:r w:rsidR="005333E5" w:rsidRPr="002B3DAC">
        <w:rPr>
          <w:rFonts w:ascii="Times New Roman" w:hAnsi="Times New Roman"/>
          <w:sz w:val="24"/>
          <w:szCs w:val="24"/>
          <w:u w:val="single"/>
        </w:rPr>
        <w:t>no se hizo referencia a la necesidad de la privación de libertad ni al fin que se buscaba en el caso concreto con ella</w:t>
      </w:r>
      <w:r w:rsidR="005333E5" w:rsidRPr="002B3DAC">
        <w:rPr>
          <w:rFonts w:ascii="Times New Roman" w:hAnsi="Times New Roman"/>
          <w:sz w:val="24"/>
          <w:szCs w:val="24"/>
        </w:rPr>
        <w:t xml:space="preserve">. La finalidad perseguida con la prisión preventiva quedó clara cuando se denegaron todas las solicitudes de libertad provisional formuladas por el señor </w:t>
      </w:r>
      <w:proofErr w:type="spellStart"/>
      <w:r w:rsidR="005333E5" w:rsidRPr="002B3DAC">
        <w:rPr>
          <w:rFonts w:ascii="Times New Roman" w:hAnsi="Times New Roman"/>
          <w:sz w:val="24"/>
          <w:szCs w:val="24"/>
        </w:rPr>
        <w:t>Ancalaf</w:t>
      </w:r>
      <w:proofErr w:type="spellEnd"/>
      <w:r w:rsidR="005333E5" w:rsidRPr="002B3DAC">
        <w:rPr>
          <w:rFonts w:ascii="Times New Roman" w:hAnsi="Times New Roman"/>
          <w:sz w:val="24"/>
          <w:szCs w:val="24"/>
        </w:rPr>
        <w:t xml:space="preserve"> </w:t>
      </w:r>
      <w:proofErr w:type="spellStart"/>
      <w:r w:rsidR="005333E5" w:rsidRPr="002B3DAC">
        <w:rPr>
          <w:rFonts w:ascii="Times New Roman" w:hAnsi="Times New Roman"/>
          <w:sz w:val="24"/>
          <w:szCs w:val="24"/>
        </w:rPr>
        <w:t>Llaupe</w:t>
      </w:r>
      <w:proofErr w:type="spellEnd"/>
      <w:r w:rsidR="005333E5" w:rsidRPr="002B3DAC">
        <w:rPr>
          <w:rFonts w:ascii="Times New Roman" w:hAnsi="Times New Roman"/>
          <w:sz w:val="24"/>
          <w:szCs w:val="24"/>
        </w:rPr>
        <w:t>, lo mismo que las correspondientes apelaciones</w:t>
      </w:r>
      <w:r w:rsidR="002E2A26" w:rsidRPr="002B3DAC">
        <w:rPr>
          <w:rFonts w:ascii="Times New Roman" w:hAnsi="Times New Roman"/>
          <w:sz w:val="24"/>
          <w:szCs w:val="24"/>
        </w:rPr>
        <w:t>.</w:t>
      </w:r>
      <w:r w:rsidR="009B4649" w:rsidRPr="002B3DAC">
        <w:rPr>
          <w:rFonts w:ascii="Times New Roman" w:hAnsi="Times New Roman"/>
          <w:sz w:val="24"/>
          <w:szCs w:val="24"/>
        </w:rPr>
        <w:t xml:space="preserve"> </w:t>
      </w:r>
      <w:r w:rsidR="002E2A26" w:rsidRPr="002B3DAC">
        <w:rPr>
          <w:rFonts w:ascii="Times New Roman" w:hAnsi="Times New Roman"/>
          <w:sz w:val="24"/>
          <w:szCs w:val="24"/>
        </w:rPr>
        <w:t>L</w:t>
      </w:r>
      <w:r w:rsidR="005333E5" w:rsidRPr="002B3DAC">
        <w:rPr>
          <w:rFonts w:ascii="Times New Roman" w:hAnsi="Times New Roman"/>
          <w:sz w:val="24"/>
          <w:szCs w:val="24"/>
        </w:rPr>
        <w:t>a única motivación de las resoluciones denegatorias fue la de que ello se hacía “</w:t>
      </w:r>
      <w:r w:rsidR="005333E5" w:rsidRPr="002B3DAC">
        <w:rPr>
          <w:rFonts w:ascii="Times New Roman" w:hAnsi="Times New Roman"/>
          <w:sz w:val="24"/>
          <w:szCs w:val="24"/>
          <w:u w:val="single"/>
        </w:rPr>
        <w:t>por estimarse peligrosa para la seguridad de la sociedad”, “</w:t>
      </w:r>
      <w:r w:rsidR="009B4649" w:rsidRPr="002B3DAC">
        <w:rPr>
          <w:rFonts w:ascii="Times New Roman" w:hAnsi="Times New Roman"/>
          <w:sz w:val="24"/>
          <w:szCs w:val="24"/>
          <w:u w:val="single"/>
        </w:rPr>
        <w:t>t</w:t>
      </w:r>
      <w:r w:rsidR="005333E5" w:rsidRPr="002B3DAC">
        <w:rPr>
          <w:rFonts w:ascii="Times New Roman" w:hAnsi="Times New Roman"/>
          <w:sz w:val="24"/>
          <w:szCs w:val="24"/>
          <w:u w:val="single"/>
        </w:rPr>
        <w:t xml:space="preserve">eniendo presente el número de delitos que se imputan al procesado </w:t>
      </w:r>
      <w:r w:rsidR="009B4649" w:rsidRPr="002B3DAC">
        <w:rPr>
          <w:rFonts w:ascii="Times New Roman" w:hAnsi="Times New Roman"/>
          <w:sz w:val="24"/>
          <w:szCs w:val="24"/>
          <w:u w:val="single"/>
        </w:rPr>
        <w:t xml:space="preserve"> y </w:t>
      </w:r>
      <w:r w:rsidR="005333E5" w:rsidRPr="002B3DAC">
        <w:rPr>
          <w:rFonts w:ascii="Times New Roman" w:hAnsi="Times New Roman"/>
          <w:sz w:val="24"/>
          <w:szCs w:val="24"/>
          <w:u w:val="single"/>
        </w:rPr>
        <w:t>el carácter de los mismos</w:t>
      </w:r>
      <w:r w:rsidR="005333E5" w:rsidRPr="002B3DAC">
        <w:rPr>
          <w:rFonts w:ascii="Times New Roman" w:hAnsi="Times New Roman"/>
          <w:sz w:val="24"/>
          <w:szCs w:val="24"/>
        </w:rPr>
        <w:t>”.</w:t>
      </w:r>
      <w:r w:rsidR="00E14BF5" w:rsidRPr="002B3DAC">
        <w:rPr>
          <w:rFonts w:ascii="Times New Roman" w:hAnsi="Times New Roman"/>
          <w:sz w:val="24"/>
          <w:szCs w:val="24"/>
        </w:rPr>
        <w:t xml:space="preserve"> </w:t>
      </w:r>
      <w:r w:rsidR="009B4649" w:rsidRPr="002B3DAC">
        <w:rPr>
          <w:rStyle w:val="Refdenotaalpie"/>
          <w:rFonts w:ascii="Times New Roman" w:hAnsi="Times New Roman"/>
          <w:sz w:val="24"/>
          <w:szCs w:val="24"/>
        </w:rPr>
        <w:footnoteReference w:id="39"/>
      </w:r>
      <w:r w:rsidR="00E14BF5" w:rsidRPr="002B3DAC">
        <w:rPr>
          <w:rFonts w:ascii="Times New Roman" w:hAnsi="Times New Roman"/>
          <w:sz w:val="24"/>
          <w:szCs w:val="24"/>
        </w:rPr>
        <w:t>.</w:t>
      </w:r>
    </w:p>
    <w:p w14:paraId="711E6F91" w14:textId="77777777" w:rsidR="005333E5" w:rsidRPr="002B3DAC" w:rsidRDefault="005333E5" w:rsidP="005333E5">
      <w:pPr>
        <w:spacing w:after="0" w:line="240" w:lineRule="auto"/>
        <w:jc w:val="both"/>
        <w:rPr>
          <w:rFonts w:ascii="Times New Roman" w:hAnsi="Times New Roman"/>
          <w:sz w:val="24"/>
          <w:szCs w:val="24"/>
        </w:rPr>
      </w:pPr>
    </w:p>
    <w:p w14:paraId="37AAF142" w14:textId="77777777" w:rsidR="005333E5" w:rsidRPr="002B3DAC" w:rsidRDefault="00F5263E" w:rsidP="005333E5">
      <w:pPr>
        <w:spacing w:after="0" w:line="240" w:lineRule="auto"/>
        <w:jc w:val="both"/>
        <w:rPr>
          <w:rFonts w:ascii="Times New Roman" w:hAnsi="Times New Roman"/>
          <w:sz w:val="24"/>
          <w:szCs w:val="24"/>
        </w:rPr>
      </w:pPr>
      <w:r w:rsidRPr="002B3DAC">
        <w:rPr>
          <w:rFonts w:ascii="Times New Roman" w:hAnsi="Times New Roman"/>
          <w:sz w:val="24"/>
          <w:szCs w:val="24"/>
        </w:rPr>
        <w:t xml:space="preserve"> “</w:t>
      </w:r>
      <w:r w:rsidR="005333E5" w:rsidRPr="002B3DAC">
        <w:rPr>
          <w:rFonts w:ascii="Times New Roman" w:hAnsi="Times New Roman"/>
          <w:sz w:val="24"/>
          <w:szCs w:val="24"/>
        </w:rPr>
        <w:t xml:space="preserve">La Corte considera que el referido fin de impedir que la libertad del imputado resultara peligrosa “para la seguridad de la sociedad” tiene un sentido abierto que puede permitir fines no acordes con la Convención. Al respecto, el perito Duce, propuesto por CEJIL, explicó que dicha causal tiene un carácter abierto a diferentes interpretaciones que pueden comprender </w:t>
      </w:r>
      <w:r w:rsidR="005333E5" w:rsidRPr="002B3DAC">
        <w:rPr>
          <w:rFonts w:ascii="Times New Roman" w:hAnsi="Times New Roman"/>
          <w:sz w:val="24"/>
          <w:szCs w:val="24"/>
          <w:u w:val="single"/>
        </w:rPr>
        <w:t>no solo fines procesales y legítimos</w:t>
      </w:r>
      <w:r w:rsidR="005333E5" w:rsidRPr="002B3DAC">
        <w:rPr>
          <w:rFonts w:ascii="Times New Roman" w:hAnsi="Times New Roman"/>
          <w:sz w:val="24"/>
          <w:szCs w:val="24"/>
        </w:rPr>
        <w:t>, pero también fines que la Corte en su jurisprudencia ha considerado ilegítimos para ordenar y mantener la prisión preventiva</w:t>
      </w:r>
      <w:r w:rsidRPr="002B3DAC">
        <w:rPr>
          <w:rFonts w:ascii="Times New Roman" w:hAnsi="Times New Roman"/>
          <w:sz w:val="24"/>
          <w:szCs w:val="24"/>
        </w:rPr>
        <w:t xml:space="preserve">” </w:t>
      </w:r>
      <w:r w:rsidRPr="002B3DAC">
        <w:rPr>
          <w:rStyle w:val="Refdenotaalpie"/>
          <w:rFonts w:ascii="Times New Roman" w:hAnsi="Times New Roman"/>
          <w:sz w:val="24"/>
          <w:szCs w:val="24"/>
        </w:rPr>
        <w:footnoteReference w:id="40"/>
      </w:r>
    </w:p>
    <w:p w14:paraId="33F633E3" w14:textId="77777777" w:rsidR="00F5263E" w:rsidRPr="002B3DAC" w:rsidRDefault="00F5263E" w:rsidP="005333E5">
      <w:pPr>
        <w:spacing w:after="0" w:line="240" w:lineRule="auto"/>
        <w:jc w:val="both"/>
        <w:rPr>
          <w:rFonts w:ascii="Times New Roman" w:hAnsi="Times New Roman"/>
          <w:sz w:val="24"/>
          <w:szCs w:val="24"/>
        </w:rPr>
      </w:pPr>
    </w:p>
    <w:p w14:paraId="07316D2D" w14:textId="77777777" w:rsidR="005333E5" w:rsidRPr="002B3DAC" w:rsidRDefault="00F3598A" w:rsidP="005333E5">
      <w:pPr>
        <w:spacing w:after="0" w:line="240" w:lineRule="auto"/>
        <w:jc w:val="both"/>
        <w:rPr>
          <w:rFonts w:ascii="Times New Roman" w:hAnsi="Times New Roman"/>
          <w:sz w:val="24"/>
          <w:szCs w:val="24"/>
        </w:rPr>
      </w:pPr>
      <w:r w:rsidRPr="002B3DAC">
        <w:rPr>
          <w:rFonts w:ascii="Times New Roman" w:hAnsi="Times New Roman"/>
          <w:sz w:val="24"/>
          <w:szCs w:val="24"/>
        </w:rPr>
        <w:t xml:space="preserve">“(Que) </w:t>
      </w:r>
      <w:r w:rsidR="005333E5" w:rsidRPr="002B3DAC">
        <w:rPr>
          <w:rFonts w:ascii="Times New Roman" w:hAnsi="Times New Roman"/>
          <w:sz w:val="24"/>
          <w:szCs w:val="24"/>
        </w:rPr>
        <w:t xml:space="preserve">en el caso al referirse a la peligrosidad sólo se aludió a dos de los criterios que el artículo 363 del Código de Procedimiento Penal </w:t>
      </w:r>
      <w:r w:rsidRPr="002B3DAC">
        <w:rPr>
          <w:rFonts w:ascii="Times New Roman" w:hAnsi="Times New Roman"/>
          <w:sz w:val="24"/>
          <w:szCs w:val="24"/>
        </w:rPr>
        <w:t xml:space="preserve">-hoy articulo140 </w:t>
      </w:r>
      <w:r w:rsidR="004E380A" w:rsidRPr="002B3DAC">
        <w:rPr>
          <w:rFonts w:ascii="Times New Roman" w:hAnsi="Times New Roman"/>
          <w:sz w:val="24"/>
          <w:szCs w:val="24"/>
        </w:rPr>
        <w:t xml:space="preserve">- </w:t>
      </w:r>
      <w:r w:rsidR="005333E5" w:rsidRPr="002B3DAC">
        <w:rPr>
          <w:rFonts w:ascii="Times New Roman" w:hAnsi="Times New Roman"/>
          <w:sz w:val="24"/>
          <w:szCs w:val="24"/>
        </w:rPr>
        <w:t>disponía que debían ser tenidos “especialmente” en cuenta: “la gravedad de la pena asignada al delito” y “el número de delitos que se le imputare y el carácter de los mismos”. La Corte reitera que no alcanza con la utilización de esos criterios, por sí solos, para justificar la prisión preventiva</w:t>
      </w:r>
      <w:r w:rsidRPr="002B3DAC">
        <w:rPr>
          <w:rFonts w:ascii="Times New Roman" w:hAnsi="Times New Roman"/>
          <w:sz w:val="24"/>
          <w:szCs w:val="24"/>
        </w:rPr>
        <w:t xml:space="preserve">” </w:t>
      </w:r>
      <w:r w:rsidRPr="002B3DAC">
        <w:rPr>
          <w:rStyle w:val="Refdenotaalpie"/>
          <w:rFonts w:ascii="Times New Roman" w:hAnsi="Times New Roman"/>
          <w:sz w:val="24"/>
          <w:szCs w:val="24"/>
        </w:rPr>
        <w:footnoteReference w:id="41"/>
      </w:r>
      <w:r w:rsidR="005333E5" w:rsidRPr="002B3DAC">
        <w:rPr>
          <w:rFonts w:ascii="Times New Roman" w:hAnsi="Times New Roman"/>
          <w:sz w:val="24"/>
          <w:szCs w:val="24"/>
        </w:rPr>
        <w:t xml:space="preserve"> </w:t>
      </w:r>
    </w:p>
    <w:p w14:paraId="0E36056F" w14:textId="77777777" w:rsidR="005333E5" w:rsidRPr="002B3DAC" w:rsidRDefault="005333E5" w:rsidP="005333E5">
      <w:pPr>
        <w:spacing w:after="0" w:line="240" w:lineRule="auto"/>
        <w:jc w:val="both"/>
        <w:rPr>
          <w:rFonts w:ascii="Times New Roman" w:hAnsi="Times New Roman"/>
          <w:sz w:val="24"/>
          <w:szCs w:val="24"/>
        </w:rPr>
      </w:pPr>
    </w:p>
    <w:p w14:paraId="497B1BA3" w14:textId="77777777" w:rsidR="005333E5" w:rsidRPr="002B3DAC" w:rsidRDefault="00C14280" w:rsidP="005333E5">
      <w:pPr>
        <w:spacing w:after="0" w:line="240" w:lineRule="auto"/>
        <w:jc w:val="both"/>
        <w:rPr>
          <w:rFonts w:ascii="Times New Roman" w:hAnsi="Times New Roman"/>
          <w:sz w:val="24"/>
          <w:szCs w:val="24"/>
        </w:rPr>
      </w:pPr>
      <w:r w:rsidRPr="002B3DAC">
        <w:rPr>
          <w:rFonts w:ascii="Times New Roman" w:hAnsi="Times New Roman"/>
          <w:sz w:val="24"/>
          <w:szCs w:val="24"/>
        </w:rPr>
        <w:t xml:space="preserve">                 Este fallo </w:t>
      </w:r>
      <w:r w:rsidR="00611F5D" w:rsidRPr="002B3DAC">
        <w:rPr>
          <w:rFonts w:ascii="Times New Roman" w:hAnsi="Times New Roman"/>
          <w:sz w:val="24"/>
          <w:szCs w:val="24"/>
        </w:rPr>
        <w:t>es claro en advertir que l</w:t>
      </w:r>
      <w:r w:rsidRPr="002B3DAC">
        <w:rPr>
          <w:rFonts w:ascii="Times New Roman" w:hAnsi="Times New Roman"/>
          <w:sz w:val="24"/>
          <w:szCs w:val="24"/>
        </w:rPr>
        <w:t xml:space="preserve">a sola alusión  a </w:t>
      </w:r>
      <w:r w:rsidR="000845FD" w:rsidRPr="002B3DAC">
        <w:rPr>
          <w:rFonts w:ascii="Times New Roman" w:hAnsi="Times New Roman"/>
          <w:sz w:val="24"/>
          <w:szCs w:val="24"/>
        </w:rPr>
        <w:t>criterios</w:t>
      </w:r>
      <w:r w:rsidR="0008338C" w:rsidRPr="002B3DAC">
        <w:rPr>
          <w:rFonts w:ascii="Times New Roman" w:hAnsi="Times New Roman"/>
          <w:sz w:val="24"/>
          <w:szCs w:val="24"/>
        </w:rPr>
        <w:t xml:space="preserve">  tan amplios de justificación, si</w:t>
      </w:r>
      <w:r w:rsidRPr="002B3DAC">
        <w:rPr>
          <w:rFonts w:ascii="Times New Roman" w:hAnsi="Times New Roman"/>
          <w:sz w:val="24"/>
          <w:szCs w:val="24"/>
        </w:rPr>
        <w:t xml:space="preserve">n determinación precisa </w:t>
      </w:r>
      <w:r w:rsidR="00611F5D" w:rsidRPr="002B3DAC">
        <w:rPr>
          <w:rFonts w:ascii="Times New Roman" w:hAnsi="Times New Roman"/>
          <w:sz w:val="24"/>
          <w:szCs w:val="24"/>
        </w:rPr>
        <w:t xml:space="preserve">de los hechos concretos y precisos que </w:t>
      </w:r>
      <w:r w:rsidR="00DC7B1E" w:rsidRPr="002B3DAC">
        <w:rPr>
          <w:rFonts w:ascii="Times New Roman" w:hAnsi="Times New Roman"/>
          <w:sz w:val="24"/>
          <w:szCs w:val="24"/>
        </w:rPr>
        <w:t>sirven de fundam</w:t>
      </w:r>
      <w:r w:rsidR="00515640" w:rsidRPr="002B3DAC">
        <w:rPr>
          <w:rFonts w:ascii="Times New Roman" w:hAnsi="Times New Roman"/>
          <w:sz w:val="24"/>
          <w:szCs w:val="24"/>
        </w:rPr>
        <w:t>e</w:t>
      </w:r>
      <w:r w:rsidR="00DC7B1E" w:rsidRPr="002B3DAC">
        <w:rPr>
          <w:rFonts w:ascii="Times New Roman" w:hAnsi="Times New Roman"/>
          <w:sz w:val="24"/>
          <w:szCs w:val="24"/>
        </w:rPr>
        <w:t>nto para sostener que ese imput</w:t>
      </w:r>
      <w:r w:rsidR="00515640" w:rsidRPr="002B3DAC">
        <w:rPr>
          <w:rFonts w:ascii="Times New Roman" w:hAnsi="Times New Roman"/>
          <w:sz w:val="24"/>
          <w:szCs w:val="24"/>
        </w:rPr>
        <w:t>a</w:t>
      </w:r>
      <w:r w:rsidR="00DC7B1E" w:rsidRPr="002B3DAC">
        <w:rPr>
          <w:rFonts w:ascii="Times New Roman" w:hAnsi="Times New Roman"/>
          <w:sz w:val="24"/>
          <w:szCs w:val="24"/>
        </w:rPr>
        <w:t>do en particular es un peligro</w:t>
      </w:r>
      <w:r w:rsidR="00515640" w:rsidRPr="002B3DAC">
        <w:rPr>
          <w:rFonts w:ascii="Times New Roman" w:hAnsi="Times New Roman"/>
          <w:sz w:val="24"/>
          <w:szCs w:val="24"/>
        </w:rPr>
        <w:t xml:space="preserve"> para la sociedad, importa una </w:t>
      </w:r>
      <w:r w:rsidR="000845FD" w:rsidRPr="002B3DAC">
        <w:rPr>
          <w:rFonts w:ascii="Times New Roman" w:hAnsi="Times New Roman"/>
          <w:sz w:val="24"/>
          <w:szCs w:val="24"/>
        </w:rPr>
        <w:t xml:space="preserve">“ falta de motivación de las decisiones judiciales”, </w:t>
      </w:r>
      <w:r w:rsidR="00515640" w:rsidRPr="002B3DAC">
        <w:rPr>
          <w:rFonts w:ascii="Times New Roman" w:hAnsi="Times New Roman"/>
          <w:sz w:val="24"/>
          <w:szCs w:val="24"/>
        </w:rPr>
        <w:t xml:space="preserve"> que </w:t>
      </w:r>
      <w:r w:rsidR="001F4D5E" w:rsidRPr="002B3DAC">
        <w:rPr>
          <w:rFonts w:ascii="Times New Roman" w:hAnsi="Times New Roman"/>
          <w:sz w:val="24"/>
          <w:szCs w:val="24"/>
        </w:rPr>
        <w:t xml:space="preserve">además, </w:t>
      </w:r>
      <w:r w:rsidR="00FA600F" w:rsidRPr="002B3DAC">
        <w:rPr>
          <w:rFonts w:ascii="Times New Roman" w:hAnsi="Times New Roman"/>
          <w:sz w:val="24"/>
          <w:szCs w:val="24"/>
        </w:rPr>
        <w:t>impide la debida defensa del  imp</w:t>
      </w:r>
      <w:r w:rsidR="000845FD" w:rsidRPr="002B3DAC">
        <w:rPr>
          <w:rFonts w:ascii="Times New Roman" w:hAnsi="Times New Roman"/>
          <w:sz w:val="24"/>
          <w:szCs w:val="24"/>
        </w:rPr>
        <w:t>utado</w:t>
      </w:r>
      <w:r w:rsidR="00021293" w:rsidRPr="002B3DAC">
        <w:rPr>
          <w:rFonts w:ascii="Times New Roman" w:hAnsi="Times New Roman"/>
          <w:sz w:val="24"/>
          <w:szCs w:val="24"/>
        </w:rPr>
        <w:t xml:space="preserve"> no s</w:t>
      </w:r>
      <w:r w:rsidR="00F81367" w:rsidRPr="002B3DAC">
        <w:rPr>
          <w:rFonts w:ascii="Times New Roman" w:hAnsi="Times New Roman"/>
          <w:sz w:val="24"/>
          <w:szCs w:val="24"/>
        </w:rPr>
        <w:t>ó</w:t>
      </w:r>
      <w:r w:rsidR="00021293" w:rsidRPr="002B3DAC">
        <w:rPr>
          <w:rFonts w:ascii="Times New Roman" w:hAnsi="Times New Roman"/>
          <w:sz w:val="24"/>
          <w:szCs w:val="24"/>
        </w:rPr>
        <w:t xml:space="preserve">lo </w:t>
      </w:r>
      <w:r w:rsidR="00F81367" w:rsidRPr="002B3DAC">
        <w:rPr>
          <w:rFonts w:ascii="Times New Roman" w:hAnsi="Times New Roman"/>
          <w:sz w:val="24"/>
          <w:szCs w:val="24"/>
        </w:rPr>
        <w:t>al</w:t>
      </w:r>
      <w:r w:rsidR="00021293" w:rsidRPr="002B3DAC">
        <w:rPr>
          <w:rFonts w:ascii="Times New Roman" w:hAnsi="Times New Roman"/>
          <w:sz w:val="24"/>
          <w:szCs w:val="24"/>
        </w:rPr>
        <w:t xml:space="preserve"> decr</w:t>
      </w:r>
      <w:r w:rsidR="00F81367" w:rsidRPr="002B3DAC">
        <w:rPr>
          <w:rFonts w:ascii="Times New Roman" w:hAnsi="Times New Roman"/>
          <w:sz w:val="24"/>
          <w:szCs w:val="24"/>
        </w:rPr>
        <w:t>e</w:t>
      </w:r>
      <w:r w:rsidR="00021293" w:rsidRPr="002B3DAC">
        <w:rPr>
          <w:rFonts w:ascii="Times New Roman" w:hAnsi="Times New Roman"/>
          <w:sz w:val="24"/>
          <w:szCs w:val="24"/>
        </w:rPr>
        <w:t>tarse</w:t>
      </w:r>
      <w:r w:rsidR="00F81367" w:rsidRPr="002B3DAC">
        <w:rPr>
          <w:rFonts w:ascii="Times New Roman" w:hAnsi="Times New Roman"/>
          <w:sz w:val="24"/>
          <w:szCs w:val="24"/>
        </w:rPr>
        <w:t xml:space="preserve">, </w:t>
      </w:r>
      <w:r w:rsidR="00021293" w:rsidRPr="002B3DAC">
        <w:rPr>
          <w:rFonts w:ascii="Times New Roman" w:hAnsi="Times New Roman"/>
          <w:sz w:val="24"/>
          <w:szCs w:val="24"/>
        </w:rPr>
        <w:t xml:space="preserve">sino </w:t>
      </w:r>
      <w:r w:rsidR="00F81367" w:rsidRPr="002B3DAC">
        <w:rPr>
          <w:rFonts w:ascii="Times New Roman" w:hAnsi="Times New Roman"/>
          <w:sz w:val="24"/>
          <w:szCs w:val="24"/>
        </w:rPr>
        <w:t xml:space="preserve">también </w:t>
      </w:r>
      <w:r w:rsidR="00021293" w:rsidRPr="002B3DAC">
        <w:rPr>
          <w:rFonts w:ascii="Times New Roman" w:hAnsi="Times New Roman"/>
          <w:sz w:val="24"/>
          <w:szCs w:val="24"/>
        </w:rPr>
        <w:t>al mantenerse en e</w:t>
      </w:r>
      <w:r w:rsidR="00F81367" w:rsidRPr="002B3DAC">
        <w:rPr>
          <w:rFonts w:ascii="Times New Roman" w:hAnsi="Times New Roman"/>
          <w:sz w:val="24"/>
          <w:szCs w:val="24"/>
        </w:rPr>
        <w:t>l tiempo</w:t>
      </w:r>
      <w:r w:rsidR="009B2E7F" w:rsidRPr="002B3DAC">
        <w:rPr>
          <w:rFonts w:ascii="Times New Roman" w:hAnsi="Times New Roman"/>
          <w:sz w:val="24"/>
          <w:szCs w:val="24"/>
        </w:rPr>
        <w:t xml:space="preserve"> </w:t>
      </w:r>
      <w:r w:rsidR="00F81367" w:rsidRPr="002B3DAC">
        <w:rPr>
          <w:rFonts w:ascii="Times New Roman" w:hAnsi="Times New Roman"/>
          <w:sz w:val="24"/>
          <w:szCs w:val="24"/>
        </w:rPr>
        <w:t>y ser rechazadas por iguales causales ge</w:t>
      </w:r>
      <w:r w:rsidR="00B214C6" w:rsidRPr="002B3DAC">
        <w:rPr>
          <w:rFonts w:ascii="Times New Roman" w:hAnsi="Times New Roman"/>
          <w:sz w:val="24"/>
          <w:szCs w:val="24"/>
        </w:rPr>
        <w:t>néricas las solicitudes de rev</w:t>
      </w:r>
      <w:r w:rsidR="00462C32" w:rsidRPr="002B3DAC">
        <w:rPr>
          <w:rFonts w:ascii="Times New Roman" w:hAnsi="Times New Roman"/>
          <w:sz w:val="24"/>
          <w:szCs w:val="24"/>
        </w:rPr>
        <w:t>oc</w:t>
      </w:r>
      <w:r w:rsidR="00B214C6" w:rsidRPr="002B3DAC">
        <w:rPr>
          <w:rFonts w:ascii="Times New Roman" w:hAnsi="Times New Roman"/>
          <w:sz w:val="24"/>
          <w:szCs w:val="24"/>
        </w:rPr>
        <w:t>ación de la</w:t>
      </w:r>
      <w:r w:rsidR="00462C32" w:rsidRPr="002B3DAC">
        <w:rPr>
          <w:rFonts w:ascii="Times New Roman" w:hAnsi="Times New Roman"/>
          <w:sz w:val="24"/>
          <w:szCs w:val="24"/>
        </w:rPr>
        <w:t>s mismas</w:t>
      </w:r>
      <w:r w:rsidR="00FE6B81" w:rsidRPr="002B3DAC">
        <w:rPr>
          <w:rFonts w:ascii="Times New Roman" w:hAnsi="Times New Roman"/>
          <w:sz w:val="24"/>
          <w:szCs w:val="24"/>
        </w:rPr>
        <w:t xml:space="preserve">. </w:t>
      </w:r>
      <w:r w:rsidR="004E380A" w:rsidRPr="002B3DAC">
        <w:rPr>
          <w:rFonts w:ascii="Times New Roman" w:hAnsi="Times New Roman"/>
          <w:sz w:val="24"/>
          <w:szCs w:val="24"/>
        </w:rPr>
        <w:t>“</w:t>
      </w:r>
      <w:r w:rsidR="005333E5" w:rsidRPr="002B3DAC">
        <w:rPr>
          <w:rFonts w:ascii="Times New Roman" w:hAnsi="Times New Roman"/>
          <w:sz w:val="24"/>
          <w:szCs w:val="24"/>
        </w:rPr>
        <w:t xml:space="preserve">Por otra parte, </w:t>
      </w:r>
      <w:r w:rsidR="00CF0237" w:rsidRPr="002B3DAC">
        <w:rPr>
          <w:rFonts w:ascii="Times New Roman" w:hAnsi="Times New Roman"/>
          <w:sz w:val="24"/>
          <w:szCs w:val="24"/>
        </w:rPr>
        <w:t>la falta de motivación de las decisiones judiciales, (…) i</w:t>
      </w:r>
      <w:r w:rsidR="005333E5" w:rsidRPr="002B3DAC">
        <w:rPr>
          <w:rFonts w:ascii="Times New Roman" w:hAnsi="Times New Roman"/>
          <w:sz w:val="24"/>
          <w:szCs w:val="24"/>
        </w:rPr>
        <w:t>mpidió que la defensa conociera las razones por las cuales se mantenía la prisión preventiva y ello le impidió presentar pruebas y argumentos encaminados a impugnar prueba de cargo determinante o lograr su libertad provisional</w:t>
      </w:r>
      <w:r w:rsidR="004E380A" w:rsidRPr="002B3DAC">
        <w:rPr>
          <w:rFonts w:ascii="Times New Roman" w:hAnsi="Times New Roman"/>
          <w:sz w:val="24"/>
          <w:szCs w:val="24"/>
        </w:rPr>
        <w:t xml:space="preserve">” </w:t>
      </w:r>
      <w:r w:rsidR="00CF0237" w:rsidRPr="002B3DAC">
        <w:rPr>
          <w:rStyle w:val="Refdenotaalpie"/>
          <w:rFonts w:ascii="Times New Roman" w:hAnsi="Times New Roman"/>
          <w:sz w:val="24"/>
          <w:szCs w:val="24"/>
        </w:rPr>
        <w:footnoteReference w:id="42"/>
      </w:r>
    </w:p>
    <w:p w14:paraId="12E00B6B" w14:textId="77777777" w:rsidR="005333E5" w:rsidRPr="002B3DAC" w:rsidRDefault="005333E5" w:rsidP="005333E5">
      <w:pPr>
        <w:spacing w:after="0" w:line="240" w:lineRule="auto"/>
        <w:jc w:val="both"/>
        <w:rPr>
          <w:rFonts w:ascii="Times New Roman" w:hAnsi="Times New Roman"/>
          <w:sz w:val="24"/>
          <w:szCs w:val="24"/>
        </w:rPr>
      </w:pPr>
    </w:p>
    <w:p w14:paraId="3822BB1F" w14:textId="77777777" w:rsidR="00EE1A1C" w:rsidRPr="002B3DAC" w:rsidRDefault="00C86CAE" w:rsidP="005333E5">
      <w:pPr>
        <w:spacing w:after="0" w:line="240" w:lineRule="auto"/>
        <w:jc w:val="both"/>
        <w:rPr>
          <w:rFonts w:ascii="Times New Roman" w:hAnsi="Times New Roman"/>
          <w:sz w:val="24"/>
          <w:szCs w:val="24"/>
        </w:rPr>
      </w:pPr>
      <w:r w:rsidRPr="002B3DAC">
        <w:rPr>
          <w:rFonts w:ascii="Times New Roman" w:hAnsi="Times New Roman"/>
          <w:sz w:val="24"/>
          <w:szCs w:val="24"/>
        </w:rPr>
        <w:t xml:space="preserve">                 </w:t>
      </w:r>
      <w:r w:rsidR="00561A5B" w:rsidRPr="002B3DAC">
        <w:rPr>
          <w:rFonts w:ascii="Times New Roman" w:hAnsi="Times New Roman"/>
          <w:sz w:val="24"/>
          <w:szCs w:val="24"/>
        </w:rPr>
        <w:t>En razón de tales criterios, la Corte resuelve que “</w:t>
      </w:r>
      <w:r w:rsidR="005333E5" w:rsidRPr="002B3DAC">
        <w:rPr>
          <w:rFonts w:ascii="Times New Roman" w:hAnsi="Times New Roman"/>
          <w:sz w:val="24"/>
          <w:szCs w:val="24"/>
        </w:rPr>
        <w:t xml:space="preserve">el Estado restringió la libertad del señor </w:t>
      </w:r>
      <w:proofErr w:type="spellStart"/>
      <w:r w:rsidR="005333E5" w:rsidRPr="002B3DAC">
        <w:rPr>
          <w:rFonts w:ascii="Times New Roman" w:hAnsi="Times New Roman"/>
          <w:sz w:val="24"/>
          <w:szCs w:val="24"/>
        </w:rPr>
        <w:t>Ancalaf</w:t>
      </w:r>
      <w:proofErr w:type="spellEnd"/>
      <w:r w:rsidR="005333E5" w:rsidRPr="002B3DAC">
        <w:rPr>
          <w:rFonts w:ascii="Times New Roman" w:hAnsi="Times New Roman"/>
          <w:sz w:val="24"/>
          <w:szCs w:val="24"/>
        </w:rPr>
        <w:t xml:space="preserve"> sin respetar el derecho a la presunción de inocencia y violó su derecho a no ser sometido a detención arbitraria consagrado en el artículo 7.3 de la Convención</w:t>
      </w:r>
      <w:r w:rsidR="00561A5B" w:rsidRPr="002B3DAC">
        <w:rPr>
          <w:rFonts w:ascii="Times New Roman" w:hAnsi="Times New Roman"/>
          <w:sz w:val="24"/>
          <w:szCs w:val="24"/>
        </w:rPr>
        <w:t>”</w:t>
      </w:r>
      <w:r w:rsidR="005333E5" w:rsidRPr="002B3DAC">
        <w:rPr>
          <w:rFonts w:ascii="Times New Roman" w:hAnsi="Times New Roman"/>
          <w:sz w:val="24"/>
          <w:szCs w:val="24"/>
        </w:rPr>
        <w:t>.</w:t>
      </w:r>
      <w:r w:rsidR="00561A5B" w:rsidRPr="002B3DAC">
        <w:rPr>
          <w:rStyle w:val="Refdenotaalpie"/>
          <w:rFonts w:ascii="Times New Roman" w:hAnsi="Times New Roman"/>
          <w:sz w:val="24"/>
          <w:szCs w:val="24"/>
        </w:rPr>
        <w:footnoteReference w:id="43"/>
      </w:r>
    </w:p>
    <w:p w14:paraId="27717765" w14:textId="77777777" w:rsidR="00864D3D" w:rsidRPr="002B3DAC" w:rsidRDefault="00FB217C" w:rsidP="00936C72">
      <w:pPr>
        <w:shd w:val="clear" w:color="auto" w:fill="FFFFFF"/>
        <w:spacing w:before="100" w:beforeAutospacing="1" w:after="100" w:afterAutospacing="1" w:line="240" w:lineRule="auto"/>
        <w:jc w:val="both"/>
        <w:rPr>
          <w:rFonts w:ascii="Times New Roman" w:hAnsi="Times New Roman"/>
          <w:sz w:val="24"/>
          <w:szCs w:val="24"/>
        </w:rPr>
      </w:pPr>
      <w:r w:rsidRPr="002B3DAC">
        <w:rPr>
          <w:rFonts w:ascii="Times New Roman" w:hAnsi="Times New Roman"/>
          <w:sz w:val="24"/>
          <w:szCs w:val="24"/>
        </w:rPr>
        <w:t>OBJET</w:t>
      </w:r>
      <w:r w:rsidR="00936C72" w:rsidRPr="002B3DAC">
        <w:rPr>
          <w:rFonts w:ascii="Times New Roman" w:hAnsi="Times New Roman"/>
          <w:sz w:val="24"/>
          <w:szCs w:val="24"/>
        </w:rPr>
        <w:t>O</w:t>
      </w:r>
      <w:r w:rsidR="00EB11C2" w:rsidRPr="002B3DAC">
        <w:rPr>
          <w:rFonts w:ascii="Times New Roman" w:hAnsi="Times New Roman"/>
          <w:sz w:val="24"/>
          <w:szCs w:val="24"/>
        </w:rPr>
        <w:t xml:space="preserve"> DEL PROYECTO.</w:t>
      </w:r>
    </w:p>
    <w:p w14:paraId="46FE1D15" w14:textId="77777777" w:rsidR="00514E5E" w:rsidRPr="002B3DAC" w:rsidRDefault="00635C72" w:rsidP="00936C72">
      <w:pPr>
        <w:shd w:val="clear" w:color="auto" w:fill="FFFFFF"/>
        <w:spacing w:before="100" w:beforeAutospacing="1" w:after="100" w:afterAutospacing="1" w:line="240" w:lineRule="auto"/>
        <w:jc w:val="both"/>
        <w:rPr>
          <w:rFonts w:ascii="Times New Roman" w:hAnsi="Times New Roman"/>
          <w:sz w:val="24"/>
          <w:szCs w:val="24"/>
        </w:rPr>
      </w:pPr>
      <w:r w:rsidRPr="002B3DAC">
        <w:rPr>
          <w:rFonts w:ascii="Times New Roman" w:hAnsi="Times New Roman"/>
          <w:sz w:val="24"/>
          <w:szCs w:val="24"/>
        </w:rPr>
        <w:t xml:space="preserve">          </w:t>
      </w:r>
      <w:r w:rsidR="00D8496A" w:rsidRPr="002B3DAC">
        <w:rPr>
          <w:rFonts w:ascii="Times New Roman" w:hAnsi="Times New Roman"/>
          <w:sz w:val="24"/>
          <w:szCs w:val="24"/>
        </w:rPr>
        <w:t xml:space="preserve">    </w:t>
      </w:r>
      <w:r w:rsidRPr="002B3DAC">
        <w:rPr>
          <w:rFonts w:ascii="Times New Roman" w:hAnsi="Times New Roman"/>
          <w:sz w:val="24"/>
          <w:szCs w:val="24"/>
        </w:rPr>
        <w:t xml:space="preserve"> </w:t>
      </w:r>
      <w:r w:rsidR="00FE6B81" w:rsidRPr="002B3DAC">
        <w:rPr>
          <w:rFonts w:ascii="Times New Roman" w:hAnsi="Times New Roman"/>
          <w:sz w:val="24"/>
          <w:szCs w:val="24"/>
        </w:rPr>
        <w:t>El proyecto de ley tiene por objeto</w:t>
      </w:r>
      <w:r w:rsidRPr="002B3DAC">
        <w:rPr>
          <w:rFonts w:ascii="Times New Roman" w:hAnsi="Times New Roman"/>
          <w:sz w:val="24"/>
          <w:szCs w:val="24"/>
        </w:rPr>
        <w:t xml:space="preserve"> </w:t>
      </w:r>
      <w:r w:rsidR="00D8496A" w:rsidRPr="002B3DAC">
        <w:rPr>
          <w:rFonts w:ascii="Times New Roman" w:hAnsi="Times New Roman"/>
          <w:sz w:val="24"/>
          <w:szCs w:val="24"/>
        </w:rPr>
        <w:t>r</w:t>
      </w:r>
      <w:r w:rsidR="00CD2E46" w:rsidRPr="002B3DAC">
        <w:rPr>
          <w:rFonts w:ascii="Times New Roman" w:hAnsi="Times New Roman"/>
          <w:sz w:val="24"/>
          <w:szCs w:val="24"/>
        </w:rPr>
        <w:t>acionalizar el uso de</w:t>
      </w:r>
      <w:r w:rsidR="00F60798" w:rsidRPr="002B3DAC">
        <w:rPr>
          <w:rFonts w:ascii="Times New Roman" w:hAnsi="Times New Roman"/>
          <w:sz w:val="24"/>
          <w:szCs w:val="24"/>
        </w:rPr>
        <w:t xml:space="preserve"> las medidas cautelares personales, en especial las privativas de libertad,</w:t>
      </w:r>
      <w:r w:rsidR="00CD2E46" w:rsidRPr="002B3DAC">
        <w:rPr>
          <w:rFonts w:ascii="Times New Roman" w:hAnsi="Times New Roman"/>
          <w:sz w:val="24"/>
          <w:szCs w:val="24"/>
        </w:rPr>
        <w:t xml:space="preserve"> durante el proceso penal</w:t>
      </w:r>
      <w:r w:rsidR="00883EF6" w:rsidRPr="002B3DAC">
        <w:rPr>
          <w:rFonts w:ascii="Times New Roman" w:hAnsi="Times New Roman"/>
          <w:sz w:val="24"/>
          <w:szCs w:val="24"/>
        </w:rPr>
        <w:t>, a</w:t>
      </w:r>
      <w:r w:rsidR="00514E5E" w:rsidRPr="002B3DAC">
        <w:rPr>
          <w:rFonts w:ascii="Times New Roman" w:hAnsi="Times New Roman"/>
          <w:sz w:val="24"/>
          <w:szCs w:val="24"/>
        </w:rPr>
        <w:t>decua</w:t>
      </w:r>
      <w:r w:rsidR="00883EF6" w:rsidRPr="002B3DAC">
        <w:rPr>
          <w:rFonts w:ascii="Times New Roman" w:hAnsi="Times New Roman"/>
          <w:sz w:val="24"/>
          <w:szCs w:val="24"/>
        </w:rPr>
        <w:t>ndo</w:t>
      </w:r>
      <w:r w:rsidR="00514E5E" w:rsidRPr="002B3DAC">
        <w:rPr>
          <w:rFonts w:ascii="Times New Roman" w:hAnsi="Times New Roman"/>
          <w:sz w:val="24"/>
          <w:szCs w:val="24"/>
        </w:rPr>
        <w:t xml:space="preserve"> la legisl</w:t>
      </w:r>
      <w:r w:rsidR="00D65713" w:rsidRPr="002B3DAC">
        <w:rPr>
          <w:rFonts w:ascii="Times New Roman" w:hAnsi="Times New Roman"/>
          <w:sz w:val="24"/>
          <w:szCs w:val="24"/>
        </w:rPr>
        <w:t>ación nacional al pleno respeto de los derechos esenciales de las persona</w:t>
      </w:r>
      <w:r w:rsidR="00841BC7" w:rsidRPr="002B3DAC">
        <w:rPr>
          <w:rFonts w:ascii="Times New Roman" w:hAnsi="Times New Roman"/>
          <w:sz w:val="24"/>
          <w:szCs w:val="24"/>
        </w:rPr>
        <w:t>s</w:t>
      </w:r>
      <w:r w:rsidR="00D65713" w:rsidRPr="002B3DAC">
        <w:rPr>
          <w:rFonts w:ascii="Times New Roman" w:hAnsi="Times New Roman"/>
          <w:sz w:val="24"/>
          <w:szCs w:val="24"/>
        </w:rPr>
        <w:t xml:space="preserve"> consagrados en la </w:t>
      </w:r>
      <w:r w:rsidR="00093758" w:rsidRPr="002B3DAC">
        <w:rPr>
          <w:rFonts w:ascii="Times New Roman" w:hAnsi="Times New Roman"/>
          <w:sz w:val="24"/>
          <w:szCs w:val="24"/>
        </w:rPr>
        <w:t>Constitución Política de la República y en los Tratados de Derech</w:t>
      </w:r>
      <w:r w:rsidR="00CD2E46" w:rsidRPr="002B3DAC">
        <w:rPr>
          <w:rFonts w:ascii="Times New Roman" w:hAnsi="Times New Roman"/>
          <w:sz w:val="24"/>
          <w:szCs w:val="24"/>
        </w:rPr>
        <w:t>os</w:t>
      </w:r>
      <w:r w:rsidR="00093758" w:rsidRPr="002B3DAC">
        <w:rPr>
          <w:rFonts w:ascii="Times New Roman" w:hAnsi="Times New Roman"/>
          <w:sz w:val="24"/>
          <w:szCs w:val="24"/>
        </w:rPr>
        <w:t xml:space="preserve"> Humanos ratificados </w:t>
      </w:r>
      <w:r w:rsidR="00883EF6" w:rsidRPr="002B3DAC">
        <w:rPr>
          <w:rFonts w:ascii="Times New Roman" w:hAnsi="Times New Roman"/>
          <w:sz w:val="24"/>
          <w:szCs w:val="24"/>
        </w:rPr>
        <w:t>y</w:t>
      </w:r>
      <w:r w:rsidR="00093758" w:rsidRPr="002B3DAC">
        <w:rPr>
          <w:rFonts w:ascii="Times New Roman" w:hAnsi="Times New Roman"/>
          <w:sz w:val="24"/>
          <w:szCs w:val="24"/>
        </w:rPr>
        <w:t xml:space="preserve"> vigentes </w:t>
      </w:r>
      <w:r w:rsidR="000D20B1" w:rsidRPr="002B3DAC">
        <w:rPr>
          <w:rFonts w:ascii="Times New Roman" w:hAnsi="Times New Roman"/>
          <w:sz w:val="24"/>
          <w:szCs w:val="24"/>
        </w:rPr>
        <w:t>en el país</w:t>
      </w:r>
      <w:r w:rsidR="00883EF6" w:rsidRPr="002B3DAC">
        <w:rPr>
          <w:rFonts w:ascii="Times New Roman" w:hAnsi="Times New Roman"/>
          <w:sz w:val="24"/>
          <w:szCs w:val="24"/>
        </w:rPr>
        <w:t>, y que todos los órganos del Estado tienen el deber de respetar.</w:t>
      </w:r>
    </w:p>
    <w:p w14:paraId="1DAE7BBC" w14:textId="77777777" w:rsidR="00514E5E" w:rsidRPr="002B3DAC" w:rsidRDefault="00883EF6" w:rsidP="00936C72">
      <w:pPr>
        <w:shd w:val="clear" w:color="auto" w:fill="FFFFFF"/>
        <w:spacing w:before="100" w:beforeAutospacing="1" w:after="100" w:afterAutospacing="1" w:line="240" w:lineRule="auto"/>
        <w:jc w:val="both"/>
        <w:rPr>
          <w:rFonts w:ascii="Times New Roman" w:hAnsi="Times New Roman"/>
          <w:sz w:val="24"/>
          <w:szCs w:val="24"/>
        </w:rPr>
      </w:pPr>
      <w:r w:rsidRPr="002B3DAC">
        <w:rPr>
          <w:rFonts w:ascii="Times New Roman" w:hAnsi="Times New Roman"/>
          <w:sz w:val="24"/>
          <w:szCs w:val="24"/>
        </w:rPr>
        <w:t xml:space="preserve">            </w:t>
      </w:r>
      <w:r w:rsidR="00C86CAE" w:rsidRPr="002B3DAC">
        <w:rPr>
          <w:rFonts w:ascii="Times New Roman" w:hAnsi="Times New Roman"/>
          <w:sz w:val="24"/>
          <w:szCs w:val="24"/>
        </w:rPr>
        <w:t xml:space="preserve">  </w:t>
      </w:r>
      <w:r w:rsidR="00514E5E" w:rsidRPr="002B3DAC">
        <w:rPr>
          <w:rFonts w:ascii="Times New Roman" w:hAnsi="Times New Roman"/>
          <w:sz w:val="24"/>
          <w:szCs w:val="24"/>
        </w:rPr>
        <w:t>Respecto de la racionalización en el uso de la prisión preventiva, la Comisión de Derechos Humanos recuerda a los Estados que desde hace más de veinte años en el marco de las Cumbres de las Américas adquirieron un compromiso político expresado al más alto nivel, en el cual los gobiernos “se comprometieron a adoptar las medidas necesarias para reducir al mínimo el número de detenidos en espera de juicio y a remediar las condiciones infrahumanas en las cárceles” en el Plan de Acción de Miami del año 1994</w:t>
      </w:r>
      <w:r w:rsidR="00514E5E" w:rsidRPr="002B3DAC">
        <w:rPr>
          <w:rStyle w:val="Refdenotaalpie"/>
          <w:rFonts w:ascii="Times New Roman" w:hAnsi="Times New Roman"/>
          <w:sz w:val="24"/>
          <w:szCs w:val="24"/>
        </w:rPr>
        <w:footnoteReference w:id="44"/>
      </w:r>
      <w:r w:rsidR="00514E5E" w:rsidRPr="002B3DAC">
        <w:rPr>
          <w:rFonts w:ascii="Times New Roman" w:hAnsi="Times New Roman"/>
          <w:sz w:val="24"/>
          <w:szCs w:val="24"/>
        </w:rPr>
        <w:t>.Luego en 2013 en su “Informe Sobre el Uso de la Prisión preventiva en las Américas”, expresa : “en primer lugar, que el uso excesivo de esta medida (la prisión preventiva por exceso de tiempo en espera de juicio) es contrario a la esencia misma del Estado democrático de derecho, y que la instrumentalización en los hechos del uso de esta medida como una forma de justicia expedita de la que eventualmente resulta una suerte de pena anticipada, es abiertamente contraria al régimen establecido por la Convención y la Declaración Americanas, y a los principios que inspiran a la Carta de la Organización de los Estados Americanos. Por otro lado, el uso de la detención preventiva es un factor importante de la calidad de la administración de justicia, y por lo tanto, directamente relacionado con la democracia”</w:t>
      </w:r>
      <w:r w:rsidR="00514E5E" w:rsidRPr="002B3DAC">
        <w:rPr>
          <w:rStyle w:val="Refdenotaalpie"/>
          <w:rFonts w:ascii="Times New Roman" w:hAnsi="Times New Roman"/>
          <w:sz w:val="24"/>
          <w:szCs w:val="24"/>
        </w:rPr>
        <w:footnoteReference w:id="45"/>
      </w:r>
      <w:r w:rsidR="00514E5E" w:rsidRPr="002B3DAC">
        <w:rPr>
          <w:rFonts w:ascii="Times New Roman" w:hAnsi="Times New Roman"/>
          <w:sz w:val="24"/>
          <w:szCs w:val="24"/>
        </w:rPr>
        <w:t>.</w:t>
      </w:r>
    </w:p>
    <w:p w14:paraId="49CD8B40" w14:textId="77777777" w:rsidR="00936C72" w:rsidRPr="002B3DAC" w:rsidRDefault="00936C72" w:rsidP="00936C72">
      <w:pPr>
        <w:shd w:val="clear" w:color="auto" w:fill="FFFFFF"/>
        <w:spacing w:before="100" w:beforeAutospacing="1" w:after="100" w:afterAutospacing="1" w:line="240" w:lineRule="auto"/>
        <w:jc w:val="both"/>
        <w:rPr>
          <w:rFonts w:ascii="Times New Roman" w:hAnsi="Times New Roman"/>
          <w:sz w:val="24"/>
          <w:szCs w:val="24"/>
        </w:rPr>
      </w:pPr>
      <w:r w:rsidRPr="002B3DAC">
        <w:rPr>
          <w:rFonts w:ascii="Times New Roman" w:hAnsi="Times New Roman"/>
          <w:sz w:val="24"/>
          <w:szCs w:val="24"/>
        </w:rPr>
        <w:t xml:space="preserve">                 </w:t>
      </w:r>
      <w:r w:rsidRPr="002B3DAC">
        <w:rPr>
          <w:rFonts w:ascii="Times New Roman" w:eastAsia="Times New Roman" w:hAnsi="Times New Roman"/>
          <w:color w:val="2E2E2E"/>
          <w:sz w:val="24"/>
          <w:szCs w:val="24"/>
          <w:lang w:eastAsia="es-CL"/>
        </w:rPr>
        <w:t xml:space="preserve"> </w:t>
      </w:r>
      <w:r w:rsidR="00561A5B" w:rsidRPr="002B3DAC">
        <w:rPr>
          <w:rFonts w:ascii="Times New Roman" w:eastAsia="Times New Roman" w:hAnsi="Times New Roman"/>
          <w:color w:val="2E2E2E"/>
          <w:sz w:val="24"/>
          <w:szCs w:val="24"/>
          <w:lang w:eastAsia="es-CL"/>
        </w:rPr>
        <w:t xml:space="preserve">No obstante, </w:t>
      </w:r>
      <w:r w:rsidR="00160F76" w:rsidRPr="002B3DAC">
        <w:rPr>
          <w:rFonts w:ascii="Times New Roman" w:eastAsia="Times New Roman" w:hAnsi="Times New Roman"/>
          <w:color w:val="2E2E2E"/>
          <w:sz w:val="24"/>
          <w:szCs w:val="24"/>
          <w:lang w:eastAsia="es-CL"/>
        </w:rPr>
        <w:t>e</w:t>
      </w:r>
      <w:r w:rsidRPr="002B3DAC">
        <w:rPr>
          <w:rFonts w:ascii="Times New Roman" w:eastAsia="Times New Roman" w:hAnsi="Times New Roman"/>
          <w:color w:val="2E2E2E"/>
          <w:sz w:val="24"/>
          <w:szCs w:val="24"/>
          <w:lang w:eastAsia="es-CL"/>
        </w:rPr>
        <w:t xml:space="preserve">l Defensor Nacional, Marco Montero participando en la Comisión de Derechos Humanos, Nacionalidad y Ciudadanía del Senado ha señalado que el actual régimen legal de la prisión preventiva surgió como parte de la reforma procesal penal iniciada en 2000, “con un fin cautelar, pero siempre considerándose como una medida de última ratio, esto es, una medida aplicable sólo en aquellos casos en que no existiese otra alternativa o mecanismo para resguardar los fines del procedimiento”. Pero que, </w:t>
      </w:r>
      <w:r w:rsidRPr="002B3DAC">
        <w:rPr>
          <w:rFonts w:ascii="Times New Roman" w:hAnsi="Times New Roman"/>
          <w:sz w:val="24"/>
          <w:szCs w:val="24"/>
        </w:rPr>
        <w:t>sin embargo</w:t>
      </w:r>
      <w:r w:rsidRPr="002B3DAC">
        <w:rPr>
          <w:rFonts w:ascii="Times New Roman" w:eastAsia="Times New Roman" w:hAnsi="Times New Roman"/>
          <w:color w:val="2E2E2E"/>
          <w:sz w:val="24"/>
          <w:szCs w:val="24"/>
          <w:lang w:eastAsia="es-CL"/>
        </w:rPr>
        <w:t>,</w:t>
      </w:r>
      <w:r w:rsidR="00F60798" w:rsidRPr="002B3DAC">
        <w:rPr>
          <w:rFonts w:ascii="Times New Roman" w:eastAsia="Times New Roman" w:hAnsi="Times New Roman"/>
          <w:color w:val="2E2E2E"/>
          <w:sz w:val="24"/>
          <w:szCs w:val="24"/>
          <w:lang w:eastAsia="es-CL"/>
        </w:rPr>
        <w:t xml:space="preserve"> </w:t>
      </w:r>
      <w:r w:rsidRPr="002B3DAC">
        <w:rPr>
          <w:rFonts w:ascii="Times New Roman" w:eastAsia="Times New Roman" w:hAnsi="Times New Roman"/>
          <w:color w:val="2E2E2E"/>
          <w:sz w:val="24"/>
          <w:szCs w:val="24"/>
          <w:lang w:eastAsia="es-CL"/>
        </w:rPr>
        <w:t>un problema relevante, que la Defensoría ha advertido desde hace tiempo es “el desproporcionado uso que hoy se le da en Chile a la medida cautelar de prisión preventiva”. El jefe de la defensa pública nacional explicó que el marco original que definía la aplicación de esta medida cambió a partir de las diversas modificaciones realizadas al Código Procesal Penal en los últimos años</w:t>
      </w:r>
      <w:r w:rsidRPr="002B3DAC">
        <w:rPr>
          <w:rStyle w:val="Refdenotaalpie"/>
          <w:rFonts w:ascii="Times New Roman" w:eastAsia="Times New Roman" w:hAnsi="Times New Roman"/>
          <w:color w:val="2E2E2E"/>
          <w:sz w:val="24"/>
          <w:szCs w:val="24"/>
          <w:lang w:eastAsia="es-CL"/>
        </w:rPr>
        <w:footnoteReference w:id="46"/>
      </w:r>
      <w:r w:rsidRPr="002B3DAC">
        <w:rPr>
          <w:rFonts w:ascii="Times New Roman" w:eastAsia="Times New Roman" w:hAnsi="Times New Roman"/>
          <w:color w:val="2E2E2E"/>
          <w:sz w:val="24"/>
          <w:szCs w:val="24"/>
          <w:lang w:eastAsia="es-CL"/>
        </w:rPr>
        <w:t xml:space="preserve">, “de modo que la prisión preventiva pasó de ser excepcional a aplicarse más bien de forma automática”. </w:t>
      </w:r>
      <w:r w:rsidRPr="002B3DAC">
        <w:rPr>
          <w:rStyle w:val="Refdenotaalpie"/>
          <w:rFonts w:ascii="Times New Roman" w:eastAsia="Times New Roman" w:hAnsi="Times New Roman"/>
          <w:color w:val="2E2E2E"/>
          <w:sz w:val="24"/>
          <w:szCs w:val="24"/>
          <w:lang w:eastAsia="es-CL"/>
        </w:rPr>
        <w:footnoteReference w:id="47"/>
      </w:r>
    </w:p>
    <w:p w14:paraId="6D63F9AD" w14:textId="77777777" w:rsidR="00936C72" w:rsidRPr="002B3DAC" w:rsidRDefault="00936C72" w:rsidP="003123B6">
      <w:pPr>
        <w:shd w:val="clear" w:color="auto" w:fill="FFFFFF"/>
        <w:spacing w:before="100" w:beforeAutospacing="1" w:after="100" w:afterAutospacing="1" w:line="240" w:lineRule="auto"/>
        <w:jc w:val="both"/>
        <w:rPr>
          <w:rFonts w:ascii="Times New Roman" w:eastAsia="Times New Roman" w:hAnsi="Times New Roman"/>
          <w:color w:val="2E2E2E"/>
          <w:sz w:val="24"/>
          <w:szCs w:val="24"/>
          <w:lang w:eastAsia="es-CL"/>
        </w:rPr>
      </w:pPr>
      <w:r w:rsidRPr="002B3DAC">
        <w:rPr>
          <w:rFonts w:ascii="Times New Roman" w:eastAsia="Times New Roman" w:hAnsi="Times New Roman"/>
          <w:color w:val="2E2E2E"/>
          <w:sz w:val="24"/>
          <w:szCs w:val="24"/>
          <w:lang w:eastAsia="es-CL"/>
        </w:rPr>
        <w:t xml:space="preserve">                El Defensor Nacional expuso que en el año 2007, el 22 por ciento de la población privada de libertad correspondía a personas imputadas en prisión preventiva.  Pero que, el mismo análisis realizado al año 2020, arroja que ese porcentaje se ha incrementado de un 22 a un 36 por ciento. Sostuvo que “su uso se ha desnaturalizado” pues “se está aplicando más bien como una pena anticipada, en que hemos invertido la presunción de inocencia por una presunción de culpabilidad”.</w:t>
      </w:r>
      <w:r w:rsidRPr="002B3DAC">
        <w:rPr>
          <w:rStyle w:val="Refdenotaalpie"/>
          <w:rFonts w:ascii="Times New Roman" w:eastAsia="Times New Roman" w:hAnsi="Times New Roman"/>
          <w:color w:val="2E2E2E"/>
          <w:sz w:val="24"/>
          <w:szCs w:val="24"/>
          <w:lang w:eastAsia="es-CL"/>
        </w:rPr>
        <w:footnoteReference w:id="48"/>
      </w:r>
      <w:r w:rsidRPr="002B3DAC">
        <w:rPr>
          <w:rFonts w:ascii="Times New Roman" w:eastAsia="Times New Roman" w:hAnsi="Times New Roman"/>
          <w:color w:val="2E2E2E"/>
          <w:sz w:val="24"/>
          <w:szCs w:val="24"/>
          <w:lang w:eastAsia="es-CL"/>
        </w:rPr>
        <w:t xml:space="preserve"> Según Montero, otro problema asociado al uso excesivo de esta medida cautelar tiene que ver con que, al final del proceso penal, un porcentaje muy alto de las personas en prisión preventiva terminan absueltas, declaradas inocentes o condenadas a penas no privativas de libertad.“ Sólo en el año 2020, el 33 por ciento del total de personas en prisión preventiva terminó con condena privativa de libertad. En otras palabras, </w:t>
      </w:r>
      <w:r w:rsidRPr="002B3DAC">
        <w:rPr>
          <w:rFonts w:ascii="Times New Roman" w:eastAsia="Times New Roman" w:hAnsi="Times New Roman"/>
          <w:color w:val="2E2E2E"/>
          <w:sz w:val="24"/>
          <w:szCs w:val="24"/>
          <w:u w:val="single"/>
          <w:lang w:eastAsia="es-CL"/>
        </w:rPr>
        <w:t>un 77 por ciento terminó con una sanción no privativa de libertad</w:t>
      </w:r>
      <w:r w:rsidRPr="002B3DAC">
        <w:rPr>
          <w:rFonts w:ascii="Times New Roman" w:eastAsia="Times New Roman" w:hAnsi="Times New Roman"/>
          <w:color w:val="2E2E2E"/>
          <w:sz w:val="24"/>
          <w:szCs w:val="24"/>
          <w:lang w:eastAsia="es-CL"/>
        </w:rPr>
        <w:t>”. Por lo mismo, planteó que hoy existe la necesidad de hacer una revisión seria y responsable de la manera en que se está utilizando esta medida cautelar, la más gravosa del sistema</w:t>
      </w:r>
      <w:r w:rsidRPr="002B3DAC">
        <w:rPr>
          <w:rStyle w:val="Refdenotaalpie"/>
          <w:rFonts w:ascii="Times New Roman" w:eastAsia="Times New Roman" w:hAnsi="Times New Roman"/>
          <w:color w:val="2E2E2E"/>
          <w:sz w:val="24"/>
          <w:szCs w:val="24"/>
          <w:lang w:eastAsia="es-CL"/>
        </w:rPr>
        <w:footnoteReference w:id="49"/>
      </w:r>
      <w:r w:rsidRPr="002B3DAC">
        <w:rPr>
          <w:rFonts w:ascii="Times New Roman" w:eastAsia="Times New Roman" w:hAnsi="Times New Roman"/>
          <w:color w:val="2E2E2E"/>
          <w:sz w:val="24"/>
          <w:szCs w:val="24"/>
          <w:lang w:eastAsia="es-CL"/>
        </w:rPr>
        <w:t>.</w:t>
      </w:r>
    </w:p>
    <w:p w14:paraId="2F6E637A" w14:textId="77777777" w:rsidR="00936C72" w:rsidRPr="002B3DAC" w:rsidRDefault="003123B6" w:rsidP="004379DE">
      <w:pPr>
        <w:shd w:val="clear" w:color="auto" w:fill="FFFFFF"/>
        <w:spacing w:before="100" w:beforeAutospacing="1" w:after="100" w:afterAutospacing="1" w:line="240" w:lineRule="auto"/>
        <w:jc w:val="both"/>
        <w:rPr>
          <w:rFonts w:ascii="Times New Roman" w:eastAsia="Times New Roman" w:hAnsi="Times New Roman"/>
          <w:color w:val="2E2E2E"/>
          <w:sz w:val="24"/>
          <w:szCs w:val="24"/>
          <w:lang w:eastAsia="es-CL"/>
        </w:rPr>
      </w:pPr>
      <w:r w:rsidRPr="002B3DAC">
        <w:rPr>
          <w:rFonts w:ascii="Times New Roman" w:hAnsi="Times New Roman"/>
          <w:sz w:val="24"/>
          <w:szCs w:val="24"/>
        </w:rPr>
        <w:t xml:space="preserve">                 </w:t>
      </w:r>
      <w:r w:rsidR="00160F76" w:rsidRPr="002B3DAC">
        <w:rPr>
          <w:rFonts w:ascii="Times New Roman" w:hAnsi="Times New Roman"/>
          <w:sz w:val="24"/>
          <w:szCs w:val="24"/>
        </w:rPr>
        <w:t>En consecuencia, por medio de esta iniciativa se propone hacer modificaciones a la</w:t>
      </w:r>
      <w:r w:rsidRPr="002B3DAC">
        <w:rPr>
          <w:rFonts w:ascii="Times New Roman" w:hAnsi="Times New Roman"/>
          <w:sz w:val="24"/>
          <w:szCs w:val="24"/>
        </w:rPr>
        <w:t xml:space="preserve">s normas del </w:t>
      </w:r>
      <w:r w:rsidRPr="002B3DAC">
        <w:rPr>
          <w:rFonts w:ascii="Times New Roman" w:eastAsia="Times New Roman" w:hAnsi="Times New Roman"/>
          <w:color w:val="2E2E2E"/>
          <w:sz w:val="24"/>
          <w:szCs w:val="24"/>
          <w:lang w:eastAsia="es-CL"/>
        </w:rPr>
        <w:t>Código Procesal Penal con vistas a:</w:t>
      </w:r>
    </w:p>
    <w:p w14:paraId="38EAFC17" w14:textId="77777777" w:rsidR="00585AB0" w:rsidRPr="002B3DAC" w:rsidRDefault="004D7C5A" w:rsidP="00FD40D6">
      <w:pPr>
        <w:pStyle w:val="Prrafodelista"/>
        <w:numPr>
          <w:ilvl w:val="0"/>
          <w:numId w:val="49"/>
        </w:numPr>
        <w:shd w:val="clear" w:color="auto" w:fill="FFFFFF"/>
        <w:spacing w:before="100" w:beforeAutospacing="1" w:after="100" w:afterAutospacing="1" w:line="240" w:lineRule="auto"/>
        <w:ind w:left="567" w:hanging="567"/>
        <w:jc w:val="both"/>
        <w:rPr>
          <w:rFonts w:ascii="Times New Roman" w:hAnsi="Times New Roman"/>
          <w:sz w:val="24"/>
          <w:szCs w:val="24"/>
        </w:rPr>
      </w:pPr>
      <w:r w:rsidRPr="002B3DAC">
        <w:rPr>
          <w:rFonts w:ascii="Times New Roman" w:hAnsi="Times New Roman"/>
          <w:sz w:val="24"/>
          <w:szCs w:val="24"/>
        </w:rPr>
        <w:t xml:space="preserve">Asegurar </w:t>
      </w:r>
      <w:r w:rsidR="00A94023" w:rsidRPr="002B3DAC">
        <w:rPr>
          <w:rFonts w:ascii="Times New Roman" w:hAnsi="Times New Roman"/>
          <w:sz w:val="24"/>
          <w:szCs w:val="24"/>
        </w:rPr>
        <w:t>que</w:t>
      </w:r>
      <w:r w:rsidR="00D40D78" w:rsidRPr="002B3DAC">
        <w:rPr>
          <w:rFonts w:ascii="Times New Roman" w:hAnsi="Times New Roman"/>
          <w:sz w:val="24"/>
          <w:szCs w:val="24"/>
        </w:rPr>
        <w:t xml:space="preserve"> </w:t>
      </w:r>
      <w:r w:rsidR="0043150E" w:rsidRPr="002B3DAC">
        <w:rPr>
          <w:rFonts w:ascii="Times New Roman" w:hAnsi="Times New Roman"/>
          <w:sz w:val="24"/>
          <w:szCs w:val="24"/>
        </w:rPr>
        <w:t xml:space="preserve">la privación de libertad en el contexto de un proceso penal solo </w:t>
      </w:r>
      <w:r w:rsidR="00AD713F" w:rsidRPr="002B3DAC">
        <w:rPr>
          <w:rFonts w:ascii="Times New Roman" w:hAnsi="Times New Roman"/>
          <w:sz w:val="24"/>
          <w:szCs w:val="24"/>
        </w:rPr>
        <w:t>se aplique</w:t>
      </w:r>
      <w:r w:rsidR="008A4FA8" w:rsidRPr="002B3DAC">
        <w:rPr>
          <w:rFonts w:ascii="Times New Roman" w:hAnsi="Times New Roman"/>
          <w:sz w:val="24"/>
          <w:szCs w:val="24"/>
        </w:rPr>
        <w:t xml:space="preserve"> </w:t>
      </w:r>
      <w:r w:rsidR="00AD713F" w:rsidRPr="002B3DAC">
        <w:rPr>
          <w:rFonts w:ascii="Times New Roman" w:hAnsi="Times New Roman"/>
          <w:sz w:val="24"/>
          <w:szCs w:val="24"/>
          <w:u w:val="single"/>
        </w:rPr>
        <w:t xml:space="preserve">con fines procesales y legítimos, </w:t>
      </w:r>
      <w:r w:rsidRPr="002B3DAC">
        <w:rPr>
          <w:rFonts w:ascii="Times New Roman" w:hAnsi="Times New Roman"/>
          <w:sz w:val="24"/>
          <w:szCs w:val="24"/>
          <w:u w:val="single"/>
        </w:rPr>
        <w:t>razonablemente relacionados con el proceso penal en curso.</w:t>
      </w:r>
      <w:r w:rsidR="00A90CF8" w:rsidRPr="002B3DAC">
        <w:rPr>
          <w:rFonts w:ascii="Times New Roman" w:hAnsi="Times New Roman"/>
          <w:sz w:val="24"/>
          <w:szCs w:val="24"/>
        </w:rPr>
        <w:t xml:space="preserve"> Y n</w:t>
      </w:r>
      <w:r w:rsidRPr="002B3DAC">
        <w:rPr>
          <w:rFonts w:ascii="Times New Roman" w:hAnsi="Times New Roman"/>
          <w:sz w:val="24"/>
          <w:szCs w:val="24"/>
        </w:rPr>
        <w:t xml:space="preserve">o </w:t>
      </w:r>
      <w:r w:rsidR="00A90CF8" w:rsidRPr="002B3DAC">
        <w:rPr>
          <w:rFonts w:ascii="Times New Roman" w:hAnsi="Times New Roman"/>
          <w:sz w:val="24"/>
          <w:szCs w:val="24"/>
        </w:rPr>
        <w:t>como</w:t>
      </w:r>
      <w:r w:rsidRPr="002B3DAC">
        <w:rPr>
          <w:rFonts w:ascii="Times New Roman" w:hAnsi="Times New Roman"/>
          <w:sz w:val="24"/>
          <w:szCs w:val="24"/>
        </w:rPr>
        <w:t xml:space="preserve"> una pena anticipada ni basarse en fines preventivos-generales o preventivo-especiales atribuibles a la pena</w:t>
      </w:r>
      <w:r w:rsidR="006F77E1" w:rsidRPr="002B3DAC">
        <w:rPr>
          <w:rFonts w:ascii="Times New Roman" w:hAnsi="Times New Roman"/>
          <w:sz w:val="24"/>
          <w:szCs w:val="24"/>
        </w:rPr>
        <w:t>.</w:t>
      </w:r>
      <w:r w:rsidR="003B755F" w:rsidRPr="002B3DAC">
        <w:rPr>
          <w:rFonts w:ascii="Times New Roman" w:hAnsi="Times New Roman"/>
          <w:sz w:val="24"/>
          <w:szCs w:val="24"/>
        </w:rPr>
        <w:t xml:space="preserve"> En tal sentido, conforme lo establece </w:t>
      </w:r>
      <w:r w:rsidR="00FD40D6" w:rsidRPr="002B3DAC">
        <w:rPr>
          <w:rFonts w:ascii="Times New Roman" w:hAnsi="Times New Roman"/>
          <w:sz w:val="24"/>
          <w:szCs w:val="24"/>
        </w:rPr>
        <w:t>el Comité de Derecho Humanos de la Organización de Naciones Unidas</w:t>
      </w:r>
      <w:r w:rsidR="00FD40D6" w:rsidRPr="002B3DAC">
        <w:rPr>
          <w:rFonts w:ascii="Times New Roman" w:hAnsi="Times New Roman"/>
          <w:b/>
          <w:bCs/>
          <w:sz w:val="24"/>
          <w:szCs w:val="24"/>
        </w:rPr>
        <w:t xml:space="preserve">, </w:t>
      </w:r>
      <w:r w:rsidR="00FD40D6" w:rsidRPr="002B3DAC">
        <w:rPr>
          <w:rFonts w:ascii="Times New Roman" w:hAnsi="Times New Roman"/>
          <w:color w:val="000000"/>
          <w:sz w:val="24"/>
          <w:szCs w:val="24"/>
        </w:rPr>
        <w:t>l</w:t>
      </w:r>
      <w:r w:rsidR="003B755F" w:rsidRPr="002B3DAC">
        <w:rPr>
          <w:rFonts w:ascii="Times New Roman" w:hAnsi="Times New Roman"/>
          <w:color w:val="000000"/>
          <w:sz w:val="24"/>
          <w:szCs w:val="24"/>
        </w:rPr>
        <w:t>a ley debe especificar los factores pertinentes y no debe incluir criterios vagos o excesivamente amplios, como la "seguridad pública". La prisión preventiva no debe ser preceptiva para todas las personas acusadas de un delito concreto, sin tener en cuenta las circunstancias de cada caso. Tampoco debe ordenarse por un período en función de la pena que podría corresponder al delito en cuestión, sino de una determinación de la necesidad”.</w:t>
      </w:r>
      <w:r w:rsidR="003B755F" w:rsidRPr="002B3DAC">
        <w:rPr>
          <w:rStyle w:val="Refdenotaalpie"/>
          <w:rFonts w:ascii="Times New Roman" w:hAnsi="Times New Roman"/>
          <w:color w:val="000000"/>
          <w:sz w:val="24"/>
          <w:szCs w:val="24"/>
        </w:rPr>
        <w:footnoteReference w:id="50"/>
      </w:r>
    </w:p>
    <w:p w14:paraId="29D5BDBF" w14:textId="77777777" w:rsidR="00147C4C" w:rsidRPr="002B3DAC" w:rsidRDefault="00147C4C" w:rsidP="00147C4C">
      <w:pPr>
        <w:pStyle w:val="Prrafodelista"/>
        <w:shd w:val="clear" w:color="auto" w:fill="FFFFFF"/>
        <w:spacing w:before="100" w:beforeAutospacing="1" w:after="100" w:afterAutospacing="1" w:line="240" w:lineRule="auto"/>
        <w:ind w:left="567"/>
        <w:jc w:val="both"/>
        <w:rPr>
          <w:rFonts w:ascii="Times New Roman" w:hAnsi="Times New Roman"/>
          <w:sz w:val="24"/>
          <w:szCs w:val="24"/>
        </w:rPr>
      </w:pPr>
    </w:p>
    <w:p w14:paraId="07DD157E" w14:textId="77777777" w:rsidR="006F77E1" w:rsidRPr="002B3DAC" w:rsidRDefault="00AF2433" w:rsidP="00F8068F">
      <w:pPr>
        <w:pStyle w:val="Prrafodelista"/>
        <w:numPr>
          <w:ilvl w:val="0"/>
          <w:numId w:val="49"/>
        </w:numPr>
        <w:shd w:val="clear" w:color="auto" w:fill="FFFFFF"/>
        <w:spacing w:before="100" w:beforeAutospacing="1" w:after="100" w:afterAutospacing="1" w:line="240" w:lineRule="auto"/>
        <w:ind w:left="567" w:hanging="567"/>
        <w:jc w:val="both"/>
        <w:rPr>
          <w:rFonts w:ascii="Times New Roman" w:hAnsi="Times New Roman"/>
          <w:sz w:val="24"/>
          <w:szCs w:val="24"/>
        </w:rPr>
      </w:pPr>
      <w:r w:rsidRPr="002B3DAC">
        <w:rPr>
          <w:rFonts w:ascii="Times New Roman" w:hAnsi="Times New Roman"/>
          <w:color w:val="000000"/>
          <w:sz w:val="24"/>
          <w:szCs w:val="24"/>
          <w:u w:val="single"/>
        </w:rPr>
        <w:t xml:space="preserve">Propiciar una mejor </w:t>
      </w:r>
      <w:r w:rsidR="00147C4C" w:rsidRPr="002B3DAC">
        <w:rPr>
          <w:rFonts w:ascii="Times New Roman" w:hAnsi="Times New Roman"/>
          <w:color w:val="000000"/>
          <w:sz w:val="24"/>
          <w:szCs w:val="24"/>
          <w:u w:val="single"/>
        </w:rPr>
        <w:t xml:space="preserve">protección </w:t>
      </w:r>
      <w:r w:rsidRPr="002B3DAC">
        <w:rPr>
          <w:rFonts w:ascii="Times New Roman" w:hAnsi="Times New Roman"/>
          <w:color w:val="000000"/>
          <w:sz w:val="24"/>
          <w:szCs w:val="24"/>
          <w:u w:val="single"/>
        </w:rPr>
        <w:t>contra la violencia</w:t>
      </w:r>
      <w:r w:rsidR="004A3029" w:rsidRPr="002B3DAC">
        <w:rPr>
          <w:rFonts w:ascii="Times New Roman" w:hAnsi="Times New Roman"/>
          <w:color w:val="000000"/>
          <w:sz w:val="24"/>
          <w:szCs w:val="24"/>
          <w:u w:val="single"/>
        </w:rPr>
        <w:t xml:space="preserve"> ejercida respecto </w:t>
      </w:r>
      <w:r w:rsidR="00147C4C" w:rsidRPr="002B3DAC">
        <w:rPr>
          <w:rFonts w:ascii="Times New Roman" w:hAnsi="Times New Roman"/>
          <w:color w:val="000000"/>
          <w:sz w:val="24"/>
          <w:szCs w:val="24"/>
          <w:u w:val="single"/>
        </w:rPr>
        <w:t>de las mujeres, los niños, los adultos mayores y las persona en situación de discapacidad</w:t>
      </w:r>
      <w:r w:rsidR="00313B44" w:rsidRPr="002B3DAC">
        <w:rPr>
          <w:rFonts w:ascii="Times New Roman" w:hAnsi="Times New Roman"/>
          <w:color w:val="000000"/>
          <w:sz w:val="24"/>
          <w:szCs w:val="24"/>
        </w:rPr>
        <w:t xml:space="preserve">, en cumplimiento de </w:t>
      </w:r>
      <w:r w:rsidR="004A3029" w:rsidRPr="002B3DAC">
        <w:rPr>
          <w:rFonts w:ascii="Times New Roman" w:hAnsi="Times New Roman"/>
          <w:color w:val="000000"/>
          <w:sz w:val="24"/>
          <w:szCs w:val="24"/>
        </w:rPr>
        <w:t xml:space="preserve">los </w:t>
      </w:r>
      <w:r w:rsidR="00313B44" w:rsidRPr="002B3DAC">
        <w:rPr>
          <w:rFonts w:ascii="Times New Roman" w:hAnsi="Times New Roman"/>
          <w:color w:val="000000"/>
          <w:sz w:val="24"/>
          <w:szCs w:val="24"/>
        </w:rPr>
        <w:t xml:space="preserve">deberes concretos </w:t>
      </w:r>
      <w:r w:rsidR="00147C4C" w:rsidRPr="002B3DAC">
        <w:rPr>
          <w:rFonts w:ascii="Times New Roman" w:hAnsi="Times New Roman"/>
          <w:color w:val="000000"/>
          <w:sz w:val="24"/>
          <w:szCs w:val="24"/>
        </w:rPr>
        <w:t xml:space="preserve">de </w:t>
      </w:r>
      <w:r w:rsidR="00313B44" w:rsidRPr="002B3DAC">
        <w:rPr>
          <w:rFonts w:ascii="Times New Roman" w:hAnsi="Times New Roman"/>
          <w:color w:val="000000"/>
          <w:sz w:val="24"/>
          <w:szCs w:val="24"/>
        </w:rPr>
        <w:t xml:space="preserve">especial protección y </w:t>
      </w:r>
      <w:r w:rsidR="00147C4C" w:rsidRPr="002B3DAC">
        <w:rPr>
          <w:rFonts w:ascii="Times New Roman" w:hAnsi="Times New Roman"/>
          <w:color w:val="000000"/>
          <w:sz w:val="24"/>
          <w:szCs w:val="24"/>
        </w:rPr>
        <w:t xml:space="preserve">debida diligencia que el Estado </w:t>
      </w:r>
      <w:r w:rsidR="004A3029" w:rsidRPr="002B3DAC">
        <w:rPr>
          <w:rFonts w:ascii="Times New Roman" w:hAnsi="Times New Roman"/>
          <w:color w:val="000000"/>
          <w:sz w:val="24"/>
          <w:szCs w:val="24"/>
        </w:rPr>
        <w:t xml:space="preserve">adquirió al suscribir y ratificar </w:t>
      </w:r>
      <w:r w:rsidR="00A608DF" w:rsidRPr="002B3DAC">
        <w:rPr>
          <w:rFonts w:ascii="Times New Roman" w:hAnsi="Times New Roman"/>
          <w:color w:val="000000"/>
          <w:sz w:val="24"/>
          <w:szCs w:val="24"/>
        </w:rPr>
        <w:t xml:space="preserve">los </w:t>
      </w:r>
      <w:r w:rsidR="004A3029" w:rsidRPr="002B3DAC">
        <w:rPr>
          <w:rFonts w:ascii="Times New Roman" w:hAnsi="Times New Roman"/>
          <w:color w:val="000000"/>
          <w:sz w:val="24"/>
          <w:szCs w:val="24"/>
        </w:rPr>
        <w:t>T</w:t>
      </w:r>
      <w:r w:rsidR="00A608DF" w:rsidRPr="002B3DAC">
        <w:rPr>
          <w:rFonts w:ascii="Times New Roman" w:hAnsi="Times New Roman"/>
          <w:color w:val="000000"/>
          <w:sz w:val="24"/>
          <w:szCs w:val="24"/>
        </w:rPr>
        <w:t xml:space="preserve">ratados </w:t>
      </w:r>
      <w:r w:rsidR="004A3029" w:rsidRPr="002B3DAC">
        <w:rPr>
          <w:rFonts w:ascii="Times New Roman" w:hAnsi="Times New Roman"/>
          <w:color w:val="000000"/>
          <w:sz w:val="24"/>
          <w:szCs w:val="24"/>
        </w:rPr>
        <w:t>E</w:t>
      </w:r>
      <w:r w:rsidR="00A608DF" w:rsidRPr="002B3DAC">
        <w:rPr>
          <w:rFonts w:ascii="Times New Roman" w:hAnsi="Times New Roman"/>
          <w:color w:val="000000"/>
          <w:sz w:val="24"/>
          <w:szCs w:val="24"/>
        </w:rPr>
        <w:t xml:space="preserve">speciales de Derechos Humanos </w:t>
      </w:r>
      <w:r w:rsidR="004A3029" w:rsidRPr="002B3DAC">
        <w:rPr>
          <w:rFonts w:ascii="Times New Roman" w:hAnsi="Times New Roman"/>
          <w:color w:val="000000"/>
          <w:sz w:val="24"/>
          <w:szCs w:val="24"/>
        </w:rPr>
        <w:t xml:space="preserve">que los protegen. </w:t>
      </w:r>
      <w:r w:rsidR="00AC7209" w:rsidRPr="002B3DAC">
        <w:rPr>
          <w:rFonts w:ascii="Times New Roman" w:hAnsi="Times New Roman"/>
          <w:color w:val="000000"/>
          <w:sz w:val="24"/>
          <w:szCs w:val="24"/>
        </w:rPr>
        <w:t>De este m</w:t>
      </w:r>
      <w:r w:rsidR="00120B51" w:rsidRPr="002B3DAC">
        <w:rPr>
          <w:rFonts w:ascii="Times New Roman" w:hAnsi="Times New Roman"/>
          <w:color w:val="000000"/>
          <w:sz w:val="24"/>
          <w:szCs w:val="24"/>
        </w:rPr>
        <w:t>o</w:t>
      </w:r>
      <w:r w:rsidR="00AC7209" w:rsidRPr="002B3DAC">
        <w:rPr>
          <w:rFonts w:ascii="Times New Roman" w:hAnsi="Times New Roman"/>
          <w:color w:val="000000"/>
          <w:sz w:val="24"/>
          <w:szCs w:val="24"/>
        </w:rPr>
        <w:t xml:space="preserve">do, </w:t>
      </w:r>
      <w:r w:rsidR="00120B51" w:rsidRPr="002B3DAC">
        <w:rPr>
          <w:rFonts w:ascii="Times New Roman" w:hAnsi="Times New Roman"/>
          <w:color w:val="000000"/>
          <w:sz w:val="24"/>
          <w:szCs w:val="24"/>
        </w:rPr>
        <w:t xml:space="preserve">en vez de </w:t>
      </w:r>
      <w:r w:rsidR="00C40D13" w:rsidRPr="002B3DAC">
        <w:rPr>
          <w:rFonts w:ascii="Times New Roman" w:hAnsi="Times New Roman"/>
          <w:color w:val="000000"/>
          <w:sz w:val="24"/>
          <w:szCs w:val="24"/>
        </w:rPr>
        <w:t>insistir en fines de prevención general</w:t>
      </w:r>
      <w:r w:rsidR="00D36047" w:rsidRPr="002B3DAC">
        <w:rPr>
          <w:rFonts w:ascii="Times New Roman" w:hAnsi="Times New Roman"/>
          <w:color w:val="000000"/>
          <w:sz w:val="24"/>
          <w:szCs w:val="24"/>
        </w:rPr>
        <w:t xml:space="preserve">, </w:t>
      </w:r>
      <w:r w:rsidR="00AC7209" w:rsidRPr="002B3DAC">
        <w:rPr>
          <w:rFonts w:ascii="Times New Roman" w:hAnsi="Times New Roman"/>
          <w:color w:val="000000"/>
          <w:sz w:val="24"/>
          <w:szCs w:val="24"/>
        </w:rPr>
        <w:t xml:space="preserve">se opta por </w:t>
      </w:r>
      <w:r w:rsidR="00D36047" w:rsidRPr="002B3DAC">
        <w:rPr>
          <w:rFonts w:ascii="Times New Roman" w:hAnsi="Times New Roman"/>
          <w:color w:val="000000"/>
          <w:sz w:val="24"/>
          <w:szCs w:val="24"/>
        </w:rPr>
        <w:t xml:space="preserve">introducir </w:t>
      </w:r>
      <w:r w:rsidR="00120B51" w:rsidRPr="002B3DAC">
        <w:rPr>
          <w:rFonts w:ascii="Times New Roman" w:hAnsi="Times New Roman"/>
          <w:color w:val="000000"/>
          <w:sz w:val="24"/>
          <w:szCs w:val="24"/>
        </w:rPr>
        <w:t>criterios obj</w:t>
      </w:r>
      <w:r w:rsidR="00D36047" w:rsidRPr="002B3DAC">
        <w:rPr>
          <w:rFonts w:ascii="Times New Roman" w:hAnsi="Times New Roman"/>
          <w:color w:val="000000"/>
          <w:sz w:val="24"/>
          <w:szCs w:val="24"/>
        </w:rPr>
        <w:t>e</w:t>
      </w:r>
      <w:r w:rsidR="00120B51" w:rsidRPr="002B3DAC">
        <w:rPr>
          <w:rFonts w:ascii="Times New Roman" w:hAnsi="Times New Roman"/>
          <w:color w:val="000000"/>
          <w:sz w:val="24"/>
          <w:szCs w:val="24"/>
        </w:rPr>
        <w:t>tivo</w:t>
      </w:r>
      <w:r w:rsidR="00D36047" w:rsidRPr="002B3DAC">
        <w:rPr>
          <w:rFonts w:ascii="Times New Roman" w:hAnsi="Times New Roman"/>
          <w:color w:val="000000"/>
          <w:sz w:val="24"/>
          <w:szCs w:val="24"/>
        </w:rPr>
        <w:t>s</w:t>
      </w:r>
      <w:r w:rsidR="00120B51" w:rsidRPr="002B3DAC">
        <w:rPr>
          <w:rFonts w:ascii="Times New Roman" w:hAnsi="Times New Roman"/>
          <w:color w:val="000000"/>
          <w:sz w:val="24"/>
          <w:szCs w:val="24"/>
        </w:rPr>
        <w:t xml:space="preserve"> y concretos </w:t>
      </w:r>
      <w:r w:rsidR="00D36047" w:rsidRPr="002B3DAC">
        <w:rPr>
          <w:rFonts w:ascii="Times New Roman" w:hAnsi="Times New Roman"/>
          <w:color w:val="000000"/>
          <w:sz w:val="24"/>
          <w:szCs w:val="24"/>
        </w:rPr>
        <w:t xml:space="preserve">para la </w:t>
      </w:r>
      <w:r w:rsidR="00DC4006" w:rsidRPr="002B3DAC">
        <w:rPr>
          <w:rFonts w:ascii="Times New Roman" w:hAnsi="Times New Roman"/>
          <w:color w:val="000000"/>
          <w:sz w:val="24"/>
          <w:szCs w:val="24"/>
        </w:rPr>
        <w:t>cautela</w:t>
      </w:r>
      <w:r w:rsidR="00D36047" w:rsidRPr="002B3DAC">
        <w:rPr>
          <w:rFonts w:ascii="Times New Roman" w:hAnsi="Times New Roman"/>
          <w:color w:val="000000"/>
          <w:sz w:val="24"/>
          <w:szCs w:val="24"/>
        </w:rPr>
        <w:t xml:space="preserve"> d</w:t>
      </w:r>
      <w:r w:rsidR="00DC4006" w:rsidRPr="002B3DAC">
        <w:rPr>
          <w:rFonts w:ascii="Times New Roman" w:hAnsi="Times New Roman"/>
          <w:color w:val="000000"/>
          <w:sz w:val="24"/>
          <w:szCs w:val="24"/>
        </w:rPr>
        <w:t>e grupos especiales</w:t>
      </w:r>
      <w:r w:rsidR="004A3029" w:rsidRPr="002B3DAC">
        <w:rPr>
          <w:rFonts w:ascii="Times New Roman" w:hAnsi="Times New Roman"/>
          <w:color w:val="000000"/>
          <w:sz w:val="24"/>
          <w:szCs w:val="24"/>
        </w:rPr>
        <w:t xml:space="preserve"> </w:t>
      </w:r>
      <w:r w:rsidR="00E54E84" w:rsidRPr="002B3DAC">
        <w:rPr>
          <w:rFonts w:ascii="Times New Roman" w:hAnsi="Times New Roman"/>
          <w:color w:val="000000"/>
          <w:sz w:val="24"/>
          <w:szCs w:val="24"/>
        </w:rPr>
        <w:t xml:space="preserve">con vistas a </w:t>
      </w:r>
      <w:r w:rsidR="00DC4006" w:rsidRPr="002B3DAC">
        <w:rPr>
          <w:rFonts w:ascii="Times New Roman" w:hAnsi="Times New Roman"/>
          <w:color w:val="000000"/>
          <w:sz w:val="24"/>
          <w:szCs w:val="24"/>
        </w:rPr>
        <w:t>mejora</w:t>
      </w:r>
      <w:r w:rsidR="00E54E84" w:rsidRPr="002B3DAC">
        <w:rPr>
          <w:rFonts w:ascii="Times New Roman" w:hAnsi="Times New Roman"/>
          <w:color w:val="000000"/>
          <w:sz w:val="24"/>
          <w:szCs w:val="24"/>
        </w:rPr>
        <w:t>r</w:t>
      </w:r>
      <w:r w:rsidR="00A82FB3" w:rsidRPr="002B3DAC">
        <w:rPr>
          <w:rFonts w:ascii="Times New Roman" w:hAnsi="Times New Roman"/>
          <w:color w:val="000000"/>
          <w:sz w:val="24"/>
          <w:szCs w:val="24"/>
        </w:rPr>
        <w:t xml:space="preserve"> la protección </w:t>
      </w:r>
      <w:r w:rsidR="00C40D13" w:rsidRPr="002B3DAC">
        <w:rPr>
          <w:rFonts w:ascii="Times New Roman" w:hAnsi="Times New Roman"/>
          <w:color w:val="000000"/>
          <w:sz w:val="24"/>
          <w:szCs w:val="24"/>
        </w:rPr>
        <w:t xml:space="preserve">reforzada </w:t>
      </w:r>
      <w:r w:rsidR="00382726" w:rsidRPr="002B3DAC">
        <w:rPr>
          <w:rFonts w:ascii="Times New Roman" w:hAnsi="Times New Roman"/>
          <w:color w:val="000000"/>
          <w:sz w:val="24"/>
          <w:szCs w:val="24"/>
        </w:rPr>
        <w:t xml:space="preserve">que el </w:t>
      </w:r>
      <w:r w:rsidR="00C40D13" w:rsidRPr="002B3DAC">
        <w:rPr>
          <w:rFonts w:ascii="Times New Roman" w:hAnsi="Times New Roman"/>
          <w:color w:val="000000"/>
          <w:sz w:val="24"/>
          <w:szCs w:val="24"/>
        </w:rPr>
        <w:t>E</w:t>
      </w:r>
      <w:r w:rsidR="00120B51" w:rsidRPr="002B3DAC">
        <w:rPr>
          <w:rFonts w:ascii="Times New Roman" w:hAnsi="Times New Roman"/>
          <w:color w:val="000000"/>
          <w:sz w:val="24"/>
          <w:szCs w:val="24"/>
        </w:rPr>
        <w:t>s</w:t>
      </w:r>
      <w:r w:rsidR="00C40D13" w:rsidRPr="002B3DAC">
        <w:rPr>
          <w:rFonts w:ascii="Times New Roman" w:hAnsi="Times New Roman"/>
          <w:color w:val="000000"/>
          <w:sz w:val="24"/>
          <w:szCs w:val="24"/>
        </w:rPr>
        <w:t>t</w:t>
      </w:r>
      <w:r w:rsidR="00120B51" w:rsidRPr="002B3DAC">
        <w:rPr>
          <w:rFonts w:ascii="Times New Roman" w:hAnsi="Times New Roman"/>
          <w:color w:val="000000"/>
          <w:sz w:val="24"/>
          <w:szCs w:val="24"/>
        </w:rPr>
        <w:t xml:space="preserve">ado </w:t>
      </w:r>
      <w:r w:rsidR="00382726" w:rsidRPr="002B3DAC">
        <w:rPr>
          <w:rFonts w:ascii="Times New Roman" w:hAnsi="Times New Roman"/>
          <w:color w:val="000000"/>
          <w:sz w:val="24"/>
          <w:szCs w:val="24"/>
        </w:rPr>
        <w:t xml:space="preserve">les </w:t>
      </w:r>
      <w:r w:rsidR="00C40D13" w:rsidRPr="002B3DAC">
        <w:rPr>
          <w:rFonts w:ascii="Times New Roman" w:hAnsi="Times New Roman"/>
          <w:color w:val="000000"/>
          <w:sz w:val="24"/>
          <w:szCs w:val="24"/>
        </w:rPr>
        <w:t>debe</w:t>
      </w:r>
      <w:r w:rsidR="00382726" w:rsidRPr="002B3DAC">
        <w:rPr>
          <w:rFonts w:ascii="Times New Roman" w:hAnsi="Times New Roman"/>
          <w:color w:val="000000"/>
          <w:sz w:val="24"/>
          <w:szCs w:val="24"/>
        </w:rPr>
        <w:t>.</w:t>
      </w:r>
      <w:r w:rsidR="00C40D13" w:rsidRPr="002B3DAC">
        <w:rPr>
          <w:rFonts w:ascii="Times New Roman" w:hAnsi="Times New Roman"/>
          <w:color w:val="000000"/>
          <w:sz w:val="24"/>
          <w:szCs w:val="24"/>
        </w:rPr>
        <w:t xml:space="preserve"> </w:t>
      </w:r>
    </w:p>
    <w:p w14:paraId="478E32BA" w14:textId="77777777" w:rsidR="00382726" w:rsidRPr="002B3DAC" w:rsidRDefault="00382726" w:rsidP="00382726">
      <w:pPr>
        <w:pStyle w:val="Prrafodelista"/>
        <w:rPr>
          <w:rFonts w:ascii="Times New Roman" w:hAnsi="Times New Roman"/>
          <w:sz w:val="24"/>
          <w:szCs w:val="24"/>
        </w:rPr>
      </w:pPr>
    </w:p>
    <w:p w14:paraId="353CED00" w14:textId="77777777" w:rsidR="00382726" w:rsidRPr="002B3DAC" w:rsidRDefault="00382726" w:rsidP="00382726">
      <w:pPr>
        <w:pStyle w:val="Prrafodelista"/>
        <w:shd w:val="clear" w:color="auto" w:fill="FFFFFF"/>
        <w:spacing w:before="100" w:beforeAutospacing="1" w:after="100" w:afterAutospacing="1" w:line="240" w:lineRule="auto"/>
        <w:ind w:left="567"/>
        <w:jc w:val="both"/>
        <w:rPr>
          <w:rFonts w:ascii="Times New Roman" w:hAnsi="Times New Roman"/>
          <w:sz w:val="24"/>
          <w:szCs w:val="24"/>
        </w:rPr>
      </w:pPr>
    </w:p>
    <w:p w14:paraId="7D5CF442" w14:textId="77777777" w:rsidR="00545450" w:rsidRPr="002B3DAC" w:rsidRDefault="0021351A" w:rsidP="00864D3D">
      <w:pPr>
        <w:pStyle w:val="Prrafodelista"/>
        <w:numPr>
          <w:ilvl w:val="0"/>
          <w:numId w:val="16"/>
        </w:numPr>
        <w:shd w:val="clear" w:color="auto" w:fill="FFFFFF"/>
        <w:spacing w:before="100" w:beforeAutospacing="1" w:after="100" w:afterAutospacing="1" w:line="240" w:lineRule="auto"/>
        <w:ind w:left="567" w:hanging="567"/>
        <w:jc w:val="both"/>
        <w:rPr>
          <w:rFonts w:ascii="Times New Roman" w:hAnsi="Times New Roman"/>
          <w:sz w:val="24"/>
          <w:szCs w:val="24"/>
        </w:rPr>
      </w:pPr>
      <w:r w:rsidRPr="002B3DAC">
        <w:rPr>
          <w:rFonts w:ascii="Times New Roman" w:hAnsi="Times New Roman"/>
          <w:color w:val="000000"/>
          <w:sz w:val="24"/>
          <w:szCs w:val="24"/>
          <w:u w:val="single"/>
        </w:rPr>
        <w:t xml:space="preserve">Desarrollar normativamente el </w:t>
      </w:r>
      <w:r w:rsidR="00A256FD" w:rsidRPr="002B3DAC">
        <w:rPr>
          <w:rFonts w:ascii="Times New Roman" w:hAnsi="Times New Roman"/>
          <w:color w:val="000000"/>
          <w:sz w:val="24"/>
          <w:szCs w:val="24"/>
          <w:u w:val="single"/>
        </w:rPr>
        <w:t>concepto de "arbitrariedad"</w:t>
      </w:r>
      <w:r w:rsidR="00A94023" w:rsidRPr="002B3DAC">
        <w:rPr>
          <w:rFonts w:ascii="Times New Roman" w:hAnsi="Times New Roman"/>
          <w:color w:val="000000"/>
          <w:sz w:val="24"/>
          <w:szCs w:val="24"/>
          <w:u w:val="single"/>
        </w:rPr>
        <w:t>,</w:t>
      </w:r>
      <w:r w:rsidRPr="002B3DAC">
        <w:rPr>
          <w:rFonts w:ascii="Times New Roman" w:hAnsi="Times New Roman"/>
          <w:color w:val="000000"/>
          <w:sz w:val="24"/>
          <w:szCs w:val="24"/>
          <w:u w:val="single"/>
        </w:rPr>
        <w:t xml:space="preserve"> de modo que </w:t>
      </w:r>
      <w:r w:rsidR="00A256FD" w:rsidRPr="002B3DAC">
        <w:rPr>
          <w:rFonts w:ascii="Times New Roman" w:hAnsi="Times New Roman"/>
          <w:color w:val="000000"/>
          <w:sz w:val="24"/>
          <w:szCs w:val="24"/>
          <w:u w:val="single"/>
        </w:rPr>
        <w:t xml:space="preserve">no </w:t>
      </w:r>
      <w:r w:rsidR="00A301C5" w:rsidRPr="002B3DAC">
        <w:rPr>
          <w:rFonts w:ascii="Times New Roman" w:hAnsi="Times New Roman"/>
          <w:color w:val="000000"/>
          <w:sz w:val="24"/>
          <w:szCs w:val="24"/>
          <w:u w:val="single"/>
        </w:rPr>
        <w:t xml:space="preserve">pueda </w:t>
      </w:r>
      <w:r w:rsidR="00A256FD" w:rsidRPr="002B3DAC">
        <w:rPr>
          <w:rFonts w:ascii="Times New Roman" w:hAnsi="Times New Roman"/>
          <w:color w:val="000000"/>
          <w:sz w:val="24"/>
          <w:szCs w:val="24"/>
          <w:u w:val="single"/>
        </w:rPr>
        <w:t xml:space="preserve">equipararse con el </w:t>
      </w:r>
      <w:r w:rsidR="00A301C5" w:rsidRPr="002B3DAC">
        <w:rPr>
          <w:rFonts w:ascii="Times New Roman" w:hAnsi="Times New Roman"/>
          <w:sz w:val="24"/>
          <w:szCs w:val="24"/>
          <w:u w:val="single"/>
        </w:rPr>
        <w:t>conce</w:t>
      </w:r>
      <w:r w:rsidR="00A94023" w:rsidRPr="002B3DAC">
        <w:rPr>
          <w:rFonts w:ascii="Times New Roman" w:hAnsi="Times New Roman"/>
          <w:sz w:val="24"/>
          <w:szCs w:val="24"/>
          <w:u w:val="single"/>
        </w:rPr>
        <w:t>p</w:t>
      </w:r>
      <w:r w:rsidR="00A301C5" w:rsidRPr="002B3DAC">
        <w:rPr>
          <w:rFonts w:ascii="Times New Roman" w:hAnsi="Times New Roman"/>
          <w:sz w:val="24"/>
          <w:szCs w:val="24"/>
          <w:u w:val="single"/>
        </w:rPr>
        <w:t xml:space="preserve">to </w:t>
      </w:r>
      <w:r w:rsidR="00A256FD" w:rsidRPr="002B3DAC">
        <w:rPr>
          <w:rFonts w:ascii="Times New Roman" w:hAnsi="Times New Roman"/>
          <w:color w:val="000000"/>
          <w:sz w:val="24"/>
          <w:szCs w:val="24"/>
          <w:u w:val="single"/>
        </w:rPr>
        <w:t>de "contrario a la ley",</w:t>
      </w:r>
      <w:r w:rsidR="00A256FD" w:rsidRPr="002B3DAC">
        <w:rPr>
          <w:rFonts w:ascii="Times New Roman" w:hAnsi="Times New Roman"/>
          <w:color w:val="000000"/>
          <w:sz w:val="24"/>
          <w:szCs w:val="24"/>
        </w:rPr>
        <w:t xml:space="preserve"> sino que deberá </w:t>
      </w:r>
      <w:r w:rsidR="00545450" w:rsidRPr="002B3DAC">
        <w:rPr>
          <w:rFonts w:ascii="Times New Roman" w:hAnsi="Times New Roman"/>
          <w:color w:val="000000"/>
          <w:sz w:val="24"/>
          <w:szCs w:val="24"/>
        </w:rPr>
        <w:t xml:space="preserve">satisfacerse de modo </w:t>
      </w:r>
      <w:r w:rsidR="00A256FD" w:rsidRPr="002B3DAC">
        <w:rPr>
          <w:rFonts w:ascii="Times New Roman" w:hAnsi="Times New Roman"/>
          <w:color w:val="000000"/>
          <w:sz w:val="24"/>
          <w:szCs w:val="24"/>
        </w:rPr>
        <w:t>más ampli</w:t>
      </w:r>
      <w:r w:rsidR="00545450" w:rsidRPr="002B3DAC">
        <w:rPr>
          <w:rFonts w:ascii="Times New Roman" w:hAnsi="Times New Roman"/>
          <w:color w:val="000000"/>
          <w:sz w:val="24"/>
          <w:szCs w:val="24"/>
        </w:rPr>
        <w:t>o</w:t>
      </w:r>
      <w:r w:rsidR="00A256FD" w:rsidRPr="002B3DAC">
        <w:rPr>
          <w:rFonts w:ascii="Times New Roman" w:hAnsi="Times New Roman"/>
          <w:color w:val="000000"/>
          <w:sz w:val="24"/>
          <w:szCs w:val="24"/>
        </w:rPr>
        <w:t>, que incluya consideraciones relacionadas con la inadecuación, la injusticia, la imprevisibilidad y las debidas garantías procesales, además de consideraciones</w:t>
      </w:r>
      <w:r w:rsidR="00A94023" w:rsidRPr="002B3DAC">
        <w:rPr>
          <w:rFonts w:ascii="Times New Roman" w:hAnsi="Times New Roman"/>
          <w:color w:val="000000"/>
          <w:sz w:val="24"/>
          <w:szCs w:val="24"/>
        </w:rPr>
        <w:t xml:space="preserve"> </w:t>
      </w:r>
      <w:r w:rsidR="00A256FD" w:rsidRPr="002B3DAC">
        <w:rPr>
          <w:rFonts w:ascii="Times New Roman" w:hAnsi="Times New Roman"/>
          <w:color w:val="000000"/>
          <w:sz w:val="24"/>
          <w:szCs w:val="24"/>
        </w:rPr>
        <w:t>relacionadas con la razonabilidad, la necesidad y la proporcionalidad.</w:t>
      </w:r>
      <w:r w:rsidR="00A256FD" w:rsidRPr="002B3DAC">
        <w:rPr>
          <w:rStyle w:val="Refdenotaalpie"/>
          <w:rFonts w:ascii="Times New Roman" w:hAnsi="Times New Roman"/>
          <w:color w:val="000000"/>
          <w:sz w:val="24"/>
          <w:szCs w:val="24"/>
        </w:rPr>
        <w:footnoteReference w:id="51"/>
      </w:r>
    </w:p>
    <w:p w14:paraId="72139151" w14:textId="77777777" w:rsidR="00545450" w:rsidRPr="002B3DAC" w:rsidRDefault="00545450" w:rsidP="00864D3D">
      <w:pPr>
        <w:pStyle w:val="Prrafodelista"/>
        <w:ind w:left="567" w:hanging="567"/>
        <w:rPr>
          <w:rFonts w:ascii="Times New Roman" w:hAnsi="Times New Roman"/>
          <w:sz w:val="24"/>
          <w:szCs w:val="24"/>
        </w:rPr>
      </w:pPr>
    </w:p>
    <w:p w14:paraId="73BACEAD" w14:textId="77777777" w:rsidR="00545450" w:rsidRPr="002B3DAC" w:rsidRDefault="00545450" w:rsidP="00864D3D">
      <w:pPr>
        <w:pStyle w:val="Prrafodelista"/>
        <w:shd w:val="clear" w:color="auto" w:fill="FFFFFF"/>
        <w:spacing w:before="100" w:beforeAutospacing="1" w:after="100" w:afterAutospacing="1" w:line="240" w:lineRule="auto"/>
        <w:ind w:left="567" w:hanging="567"/>
        <w:jc w:val="both"/>
        <w:rPr>
          <w:rFonts w:ascii="Times New Roman" w:hAnsi="Times New Roman"/>
          <w:sz w:val="24"/>
          <w:szCs w:val="24"/>
        </w:rPr>
      </w:pPr>
    </w:p>
    <w:p w14:paraId="6097C599" w14:textId="77777777" w:rsidR="00485DDD" w:rsidRPr="002B3DAC" w:rsidRDefault="006F77E1" w:rsidP="00864D3D">
      <w:pPr>
        <w:pStyle w:val="Prrafodelista"/>
        <w:numPr>
          <w:ilvl w:val="0"/>
          <w:numId w:val="16"/>
        </w:numPr>
        <w:shd w:val="clear" w:color="auto" w:fill="FFFFFF"/>
        <w:spacing w:before="100" w:beforeAutospacing="1" w:after="100" w:afterAutospacing="1" w:line="240" w:lineRule="auto"/>
        <w:ind w:left="567" w:hanging="567"/>
        <w:jc w:val="both"/>
        <w:rPr>
          <w:rFonts w:ascii="Times New Roman" w:hAnsi="Times New Roman"/>
          <w:sz w:val="24"/>
          <w:szCs w:val="24"/>
        </w:rPr>
      </w:pPr>
      <w:r w:rsidRPr="002B3DAC">
        <w:rPr>
          <w:rFonts w:ascii="Times New Roman" w:hAnsi="Times New Roman"/>
          <w:sz w:val="24"/>
          <w:szCs w:val="24"/>
          <w:u w:val="single"/>
        </w:rPr>
        <w:t>Perfeccionar los estándares de razonabilidad en su determinación</w:t>
      </w:r>
      <w:r w:rsidR="00A94023" w:rsidRPr="002B3DAC">
        <w:rPr>
          <w:rFonts w:ascii="Times New Roman" w:hAnsi="Times New Roman"/>
          <w:sz w:val="24"/>
          <w:szCs w:val="24"/>
        </w:rPr>
        <w:t>,</w:t>
      </w:r>
      <w:r w:rsidRPr="002B3DAC">
        <w:rPr>
          <w:rFonts w:ascii="Times New Roman" w:hAnsi="Times New Roman"/>
          <w:sz w:val="24"/>
          <w:szCs w:val="24"/>
        </w:rPr>
        <w:t xml:space="preserve"> estableciendo </w:t>
      </w:r>
      <w:r w:rsidR="004D7C5A" w:rsidRPr="002B3DAC">
        <w:rPr>
          <w:rFonts w:ascii="Times New Roman" w:hAnsi="Times New Roman"/>
          <w:color w:val="000000"/>
          <w:sz w:val="24"/>
          <w:szCs w:val="24"/>
        </w:rPr>
        <w:t>que</w:t>
      </w:r>
      <w:r w:rsidRPr="002B3DAC">
        <w:rPr>
          <w:rFonts w:ascii="Times New Roman" w:hAnsi="Times New Roman"/>
          <w:color w:val="000000"/>
          <w:sz w:val="24"/>
          <w:szCs w:val="24"/>
        </w:rPr>
        <w:t xml:space="preserve"> lo</w:t>
      </w:r>
      <w:r w:rsidR="004D7C5A" w:rsidRPr="002B3DAC">
        <w:rPr>
          <w:rFonts w:ascii="Times New Roman" w:hAnsi="Times New Roman"/>
          <w:color w:val="000000"/>
          <w:sz w:val="24"/>
          <w:szCs w:val="24"/>
        </w:rPr>
        <w:t xml:space="preserve"> razonable deberá evaluarse en las circunstancias de cada caso teniendo en cuenta principalmente la complejidad del caso, la conducta del acusado y la manera como las autoridades administrativas y judiciales hayan abordado el asunto</w:t>
      </w:r>
      <w:r w:rsidR="00485DDD" w:rsidRPr="002B3DAC">
        <w:rPr>
          <w:rFonts w:ascii="Times New Roman" w:hAnsi="Times New Roman"/>
          <w:color w:val="000000"/>
          <w:sz w:val="24"/>
          <w:szCs w:val="24"/>
        </w:rPr>
        <w:t>.</w:t>
      </w:r>
    </w:p>
    <w:p w14:paraId="39845713" w14:textId="77777777" w:rsidR="00485DDD" w:rsidRPr="002B3DAC" w:rsidRDefault="00485DDD" w:rsidP="00864D3D">
      <w:pPr>
        <w:pStyle w:val="Prrafodelista"/>
        <w:shd w:val="clear" w:color="auto" w:fill="FFFFFF"/>
        <w:spacing w:before="100" w:beforeAutospacing="1" w:after="100" w:afterAutospacing="1" w:line="240" w:lineRule="auto"/>
        <w:ind w:left="567" w:hanging="567"/>
        <w:jc w:val="both"/>
        <w:rPr>
          <w:rFonts w:ascii="Times New Roman" w:hAnsi="Times New Roman"/>
          <w:color w:val="FF0000"/>
          <w:sz w:val="24"/>
          <w:szCs w:val="24"/>
        </w:rPr>
      </w:pPr>
    </w:p>
    <w:p w14:paraId="250D3B3C" w14:textId="77777777" w:rsidR="00485DDD" w:rsidRPr="002B3DAC" w:rsidRDefault="00485DDD" w:rsidP="00864D3D">
      <w:pPr>
        <w:pStyle w:val="Prrafodelista"/>
        <w:numPr>
          <w:ilvl w:val="0"/>
          <w:numId w:val="16"/>
        </w:numPr>
        <w:shd w:val="clear" w:color="auto" w:fill="FFFFFF"/>
        <w:spacing w:before="100" w:beforeAutospacing="1" w:after="100" w:afterAutospacing="1" w:line="240" w:lineRule="auto"/>
        <w:ind w:left="567" w:hanging="567"/>
        <w:jc w:val="both"/>
        <w:rPr>
          <w:rFonts w:ascii="Times New Roman" w:hAnsi="Times New Roman"/>
          <w:sz w:val="24"/>
          <w:szCs w:val="24"/>
        </w:rPr>
      </w:pPr>
      <w:r w:rsidRPr="002B3DAC">
        <w:rPr>
          <w:rFonts w:ascii="Times New Roman" w:hAnsi="Times New Roman"/>
          <w:sz w:val="24"/>
          <w:szCs w:val="24"/>
          <w:u w:val="single"/>
        </w:rPr>
        <w:t>Intr</w:t>
      </w:r>
      <w:r w:rsidR="00D65C87" w:rsidRPr="002B3DAC">
        <w:rPr>
          <w:rFonts w:ascii="Times New Roman" w:hAnsi="Times New Roman"/>
          <w:sz w:val="24"/>
          <w:szCs w:val="24"/>
          <w:u w:val="single"/>
        </w:rPr>
        <w:t>o</w:t>
      </w:r>
      <w:r w:rsidRPr="002B3DAC">
        <w:rPr>
          <w:rFonts w:ascii="Times New Roman" w:hAnsi="Times New Roman"/>
          <w:sz w:val="24"/>
          <w:szCs w:val="24"/>
          <w:u w:val="single"/>
        </w:rPr>
        <w:t xml:space="preserve">ducir mejores garantías </w:t>
      </w:r>
      <w:r w:rsidR="00D65C87" w:rsidRPr="002B3DAC">
        <w:rPr>
          <w:rFonts w:ascii="Times New Roman" w:hAnsi="Times New Roman"/>
          <w:sz w:val="24"/>
          <w:szCs w:val="24"/>
          <w:u w:val="single"/>
        </w:rPr>
        <w:t xml:space="preserve">de cumplimiento del </w:t>
      </w:r>
      <w:r w:rsidR="00A34F6C" w:rsidRPr="002B3DAC">
        <w:rPr>
          <w:rFonts w:ascii="Times New Roman" w:hAnsi="Times New Roman"/>
          <w:sz w:val="24"/>
          <w:szCs w:val="24"/>
          <w:u w:val="single"/>
        </w:rPr>
        <w:t>estándar de nece</w:t>
      </w:r>
      <w:r w:rsidR="004C305E" w:rsidRPr="002B3DAC">
        <w:rPr>
          <w:rFonts w:ascii="Times New Roman" w:hAnsi="Times New Roman"/>
          <w:sz w:val="24"/>
          <w:szCs w:val="24"/>
          <w:u w:val="single"/>
        </w:rPr>
        <w:t>sidad</w:t>
      </w:r>
      <w:r w:rsidR="004C305E" w:rsidRPr="002B3DAC">
        <w:rPr>
          <w:rFonts w:ascii="Times New Roman" w:hAnsi="Times New Roman"/>
          <w:sz w:val="24"/>
          <w:szCs w:val="24"/>
        </w:rPr>
        <w:t xml:space="preserve"> </w:t>
      </w:r>
      <w:r w:rsidRPr="002B3DAC">
        <w:rPr>
          <w:rFonts w:ascii="Times New Roman" w:hAnsi="Times New Roman"/>
          <w:sz w:val="24"/>
          <w:szCs w:val="24"/>
        </w:rPr>
        <w:t xml:space="preserve">exigiendo que </w:t>
      </w:r>
      <w:r w:rsidR="00D65C87" w:rsidRPr="002B3DAC">
        <w:rPr>
          <w:rFonts w:ascii="Times New Roman" w:hAnsi="Times New Roman"/>
          <w:sz w:val="24"/>
          <w:szCs w:val="24"/>
        </w:rPr>
        <w:t>se p</w:t>
      </w:r>
      <w:r w:rsidR="005A5CDE" w:rsidRPr="002B3DAC">
        <w:rPr>
          <w:rFonts w:ascii="Times New Roman" w:hAnsi="Times New Roman"/>
          <w:sz w:val="24"/>
          <w:szCs w:val="24"/>
        </w:rPr>
        <w:t xml:space="preserve">ruebe que las demás alternativas </w:t>
      </w:r>
      <w:r w:rsidR="00597E14" w:rsidRPr="002B3DAC">
        <w:rPr>
          <w:rFonts w:ascii="Times New Roman" w:hAnsi="Times New Roman"/>
          <w:sz w:val="24"/>
          <w:szCs w:val="24"/>
        </w:rPr>
        <w:t xml:space="preserve">no son idóneas, </w:t>
      </w:r>
      <w:r w:rsidRPr="002B3DAC">
        <w:rPr>
          <w:rFonts w:ascii="Times New Roman" w:hAnsi="Times New Roman"/>
          <w:color w:val="000000"/>
          <w:sz w:val="24"/>
          <w:szCs w:val="24"/>
        </w:rPr>
        <w:t>deb</w:t>
      </w:r>
      <w:r w:rsidR="00597E14" w:rsidRPr="002B3DAC">
        <w:rPr>
          <w:rFonts w:ascii="Times New Roman" w:hAnsi="Times New Roman"/>
          <w:color w:val="000000"/>
          <w:sz w:val="24"/>
          <w:szCs w:val="24"/>
        </w:rPr>
        <w:t>i</w:t>
      </w:r>
      <w:r w:rsidRPr="002B3DAC">
        <w:rPr>
          <w:rFonts w:ascii="Times New Roman" w:hAnsi="Times New Roman"/>
          <w:color w:val="000000"/>
          <w:sz w:val="24"/>
          <w:szCs w:val="24"/>
        </w:rPr>
        <w:t>e</w:t>
      </w:r>
      <w:r w:rsidR="00597E14" w:rsidRPr="002B3DAC">
        <w:rPr>
          <w:rFonts w:ascii="Times New Roman" w:hAnsi="Times New Roman"/>
          <w:color w:val="000000"/>
          <w:sz w:val="24"/>
          <w:szCs w:val="24"/>
        </w:rPr>
        <w:t xml:space="preserve">ndo el tribunal </w:t>
      </w:r>
      <w:r w:rsidRPr="002B3DAC">
        <w:rPr>
          <w:rFonts w:ascii="Times New Roman" w:hAnsi="Times New Roman"/>
          <w:color w:val="000000"/>
          <w:sz w:val="24"/>
          <w:szCs w:val="24"/>
        </w:rPr>
        <w:t xml:space="preserve">examinar </w:t>
      </w:r>
      <w:r w:rsidR="00597E14" w:rsidRPr="002B3DAC">
        <w:rPr>
          <w:rFonts w:ascii="Times New Roman" w:hAnsi="Times New Roman"/>
          <w:color w:val="000000"/>
          <w:sz w:val="24"/>
          <w:szCs w:val="24"/>
        </w:rPr>
        <w:t xml:space="preserve">en concreto </w:t>
      </w:r>
      <w:r w:rsidRPr="002B3DAC">
        <w:rPr>
          <w:rFonts w:ascii="Times New Roman" w:hAnsi="Times New Roman"/>
          <w:color w:val="000000"/>
          <w:sz w:val="24"/>
          <w:szCs w:val="24"/>
        </w:rPr>
        <w:t xml:space="preserve">si las alternativas a la </w:t>
      </w:r>
      <w:r w:rsidR="00DB24D4" w:rsidRPr="002B3DAC">
        <w:rPr>
          <w:rFonts w:ascii="Times New Roman" w:hAnsi="Times New Roman"/>
          <w:color w:val="000000"/>
          <w:sz w:val="24"/>
          <w:szCs w:val="24"/>
        </w:rPr>
        <w:t xml:space="preserve">prisión preventiva </w:t>
      </w:r>
      <w:r w:rsidRPr="002B3DAC">
        <w:rPr>
          <w:rFonts w:ascii="Times New Roman" w:hAnsi="Times New Roman"/>
          <w:color w:val="000000"/>
          <w:sz w:val="24"/>
          <w:szCs w:val="24"/>
        </w:rPr>
        <w:t xml:space="preserve">como </w:t>
      </w:r>
      <w:r w:rsidR="00067CE2" w:rsidRPr="002B3DAC">
        <w:rPr>
          <w:rFonts w:ascii="Times New Roman" w:hAnsi="Times New Roman"/>
          <w:color w:val="000000"/>
          <w:sz w:val="24"/>
          <w:szCs w:val="24"/>
        </w:rPr>
        <w:t xml:space="preserve">la firma, </w:t>
      </w:r>
      <w:r w:rsidRPr="002B3DAC">
        <w:rPr>
          <w:rFonts w:ascii="Times New Roman" w:hAnsi="Times New Roman"/>
          <w:color w:val="000000"/>
          <w:sz w:val="24"/>
          <w:szCs w:val="24"/>
        </w:rPr>
        <w:t>la fianza, los brazaletes electrónicos</w:t>
      </w:r>
      <w:r w:rsidR="00597E14" w:rsidRPr="002B3DAC">
        <w:rPr>
          <w:rFonts w:ascii="Times New Roman" w:hAnsi="Times New Roman"/>
          <w:color w:val="000000"/>
          <w:sz w:val="24"/>
          <w:szCs w:val="24"/>
        </w:rPr>
        <w:t>, la reclusión domiciliaria</w:t>
      </w:r>
      <w:r w:rsidR="00067CE2" w:rsidRPr="002B3DAC">
        <w:rPr>
          <w:rFonts w:ascii="Times New Roman" w:hAnsi="Times New Roman"/>
          <w:color w:val="000000"/>
          <w:sz w:val="24"/>
          <w:szCs w:val="24"/>
        </w:rPr>
        <w:t xml:space="preserve">, </w:t>
      </w:r>
      <w:r w:rsidRPr="002B3DAC">
        <w:rPr>
          <w:rFonts w:ascii="Times New Roman" w:hAnsi="Times New Roman"/>
          <w:color w:val="000000"/>
          <w:sz w:val="24"/>
          <w:szCs w:val="24"/>
        </w:rPr>
        <w:t xml:space="preserve">u otras medidas, harían que la </w:t>
      </w:r>
      <w:r w:rsidR="00DB24D4" w:rsidRPr="002B3DAC">
        <w:rPr>
          <w:rFonts w:ascii="Times New Roman" w:hAnsi="Times New Roman"/>
          <w:color w:val="000000"/>
          <w:sz w:val="24"/>
          <w:szCs w:val="24"/>
        </w:rPr>
        <w:t xml:space="preserve">prisión preventiva </w:t>
      </w:r>
      <w:r w:rsidRPr="002B3DAC">
        <w:rPr>
          <w:rFonts w:ascii="Times New Roman" w:hAnsi="Times New Roman"/>
          <w:color w:val="000000"/>
          <w:sz w:val="24"/>
          <w:szCs w:val="24"/>
        </w:rPr>
        <w:t>fuera innecesaria en el caso concreto</w:t>
      </w:r>
      <w:r w:rsidR="002F74B9" w:rsidRPr="002B3DAC">
        <w:rPr>
          <w:rFonts w:ascii="Times New Roman" w:hAnsi="Times New Roman"/>
          <w:b/>
          <w:bCs/>
          <w:color w:val="000000"/>
          <w:sz w:val="24"/>
          <w:szCs w:val="24"/>
        </w:rPr>
        <w:t>.</w:t>
      </w:r>
    </w:p>
    <w:p w14:paraId="07A643A4" w14:textId="77777777" w:rsidR="00067CE2" w:rsidRPr="002B3DAC" w:rsidRDefault="00067CE2" w:rsidP="00864D3D">
      <w:pPr>
        <w:pStyle w:val="Prrafodelista"/>
        <w:ind w:left="567" w:hanging="567"/>
        <w:rPr>
          <w:rFonts w:ascii="Times New Roman" w:hAnsi="Times New Roman"/>
          <w:sz w:val="24"/>
          <w:szCs w:val="24"/>
        </w:rPr>
      </w:pPr>
    </w:p>
    <w:p w14:paraId="107DB210" w14:textId="77777777" w:rsidR="00F42176" w:rsidRPr="002B3DAC" w:rsidRDefault="0006342C" w:rsidP="00864D3D">
      <w:pPr>
        <w:pStyle w:val="Prrafodelista"/>
        <w:numPr>
          <w:ilvl w:val="0"/>
          <w:numId w:val="16"/>
        </w:numPr>
        <w:shd w:val="clear" w:color="auto" w:fill="FFFFFF"/>
        <w:spacing w:before="100" w:beforeAutospacing="1" w:after="100" w:afterAutospacing="1" w:line="240" w:lineRule="auto"/>
        <w:ind w:left="567" w:hanging="567"/>
        <w:jc w:val="both"/>
        <w:rPr>
          <w:rFonts w:ascii="Times New Roman" w:hAnsi="Times New Roman"/>
          <w:sz w:val="24"/>
          <w:szCs w:val="24"/>
        </w:rPr>
      </w:pPr>
      <w:r w:rsidRPr="002B3DAC">
        <w:rPr>
          <w:rFonts w:ascii="Times New Roman" w:hAnsi="Times New Roman"/>
          <w:sz w:val="24"/>
          <w:szCs w:val="24"/>
          <w:u w:val="single"/>
        </w:rPr>
        <w:t xml:space="preserve">Fijar con claridad </w:t>
      </w:r>
      <w:r w:rsidR="00067CE2" w:rsidRPr="002B3DAC">
        <w:rPr>
          <w:rFonts w:ascii="Times New Roman" w:hAnsi="Times New Roman"/>
          <w:sz w:val="24"/>
          <w:szCs w:val="24"/>
          <w:u w:val="single"/>
        </w:rPr>
        <w:t xml:space="preserve">los estándares </w:t>
      </w:r>
      <w:r w:rsidR="00CD11C8" w:rsidRPr="002B3DAC">
        <w:rPr>
          <w:rFonts w:ascii="Times New Roman" w:hAnsi="Times New Roman"/>
          <w:sz w:val="24"/>
          <w:szCs w:val="24"/>
          <w:u w:val="single"/>
        </w:rPr>
        <w:t xml:space="preserve">de prueba </w:t>
      </w:r>
      <w:r w:rsidRPr="002B3DAC">
        <w:rPr>
          <w:rFonts w:ascii="Times New Roman" w:hAnsi="Times New Roman"/>
          <w:sz w:val="24"/>
          <w:szCs w:val="24"/>
          <w:u w:val="single"/>
        </w:rPr>
        <w:t xml:space="preserve">de los presupuestos materiales y de la necesidad de cautela </w:t>
      </w:r>
      <w:r w:rsidR="00CD11C8" w:rsidRPr="002B3DAC">
        <w:rPr>
          <w:rFonts w:ascii="Times New Roman" w:hAnsi="Times New Roman"/>
          <w:sz w:val="24"/>
          <w:szCs w:val="24"/>
          <w:u w:val="single"/>
        </w:rPr>
        <w:t xml:space="preserve">y </w:t>
      </w:r>
      <w:r w:rsidRPr="002B3DAC">
        <w:rPr>
          <w:rFonts w:ascii="Times New Roman" w:hAnsi="Times New Roman"/>
          <w:sz w:val="24"/>
          <w:szCs w:val="24"/>
          <w:u w:val="single"/>
        </w:rPr>
        <w:t xml:space="preserve">los criterios de </w:t>
      </w:r>
      <w:r w:rsidR="00CD11C8" w:rsidRPr="002B3DAC">
        <w:rPr>
          <w:rFonts w:ascii="Times New Roman" w:hAnsi="Times New Roman"/>
          <w:sz w:val="24"/>
          <w:szCs w:val="24"/>
          <w:u w:val="single"/>
        </w:rPr>
        <w:t>determinación de lo que constituye una amenaza presente,</w:t>
      </w:r>
      <w:r w:rsidR="00CD11C8" w:rsidRPr="002B3DAC">
        <w:rPr>
          <w:rFonts w:ascii="Times New Roman" w:hAnsi="Times New Roman"/>
          <w:sz w:val="24"/>
          <w:szCs w:val="24"/>
        </w:rPr>
        <w:t xml:space="preserve"> </w:t>
      </w:r>
      <w:r w:rsidR="00CD11C8" w:rsidRPr="002B3DAC">
        <w:rPr>
          <w:rFonts w:ascii="Times New Roman" w:hAnsi="Times New Roman"/>
          <w:sz w:val="24"/>
          <w:szCs w:val="24"/>
          <w:u w:val="single"/>
        </w:rPr>
        <w:t xml:space="preserve">directa e imperativa para justificar la </w:t>
      </w:r>
      <w:r w:rsidRPr="002B3DAC">
        <w:rPr>
          <w:rFonts w:ascii="Times New Roman" w:hAnsi="Times New Roman"/>
          <w:sz w:val="24"/>
          <w:szCs w:val="24"/>
          <w:u w:val="single"/>
        </w:rPr>
        <w:t xml:space="preserve">privación de libertad </w:t>
      </w:r>
      <w:r w:rsidR="00CD11C8" w:rsidRPr="002B3DAC">
        <w:rPr>
          <w:rFonts w:ascii="Times New Roman" w:hAnsi="Times New Roman"/>
          <w:color w:val="000000"/>
          <w:sz w:val="24"/>
          <w:szCs w:val="24"/>
          <w:u w:val="single"/>
        </w:rPr>
        <w:t xml:space="preserve">de personas que se considera conllevan riesgo procesal, </w:t>
      </w:r>
      <w:r w:rsidR="00950C90" w:rsidRPr="002B3DAC">
        <w:rPr>
          <w:rFonts w:ascii="Times New Roman" w:hAnsi="Times New Roman"/>
          <w:color w:val="000000"/>
          <w:sz w:val="24"/>
          <w:szCs w:val="24"/>
          <w:u w:val="single"/>
        </w:rPr>
        <w:t>social o personal</w:t>
      </w:r>
      <w:r w:rsidR="002F74B9" w:rsidRPr="002B3DAC">
        <w:rPr>
          <w:rFonts w:ascii="Times New Roman" w:hAnsi="Times New Roman"/>
          <w:color w:val="000000"/>
          <w:sz w:val="24"/>
          <w:szCs w:val="24"/>
        </w:rPr>
        <w:t xml:space="preserve">. </w:t>
      </w:r>
      <w:r w:rsidR="00950C90" w:rsidRPr="002B3DAC">
        <w:rPr>
          <w:rFonts w:ascii="Times New Roman" w:hAnsi="Times New Roman"/>
          <w:color w:val="000000"/>
          <w:sz w:val="24"/>
          <w:szCs w:val="24"/>
        </w:rPr>
        <w:t>L</w:t>
      </w:r>
      <w:r w:rsidR="004D7C5A" w:rsidRPr="002B3DAC">
        <w:rPr>
          <w:rFonts w:ascii="Times New Roman" w:hAnsi="Times New Roman"/>
          <w:color w:val="000000"/>
          <w:sz w:val="24"/>
          <w:szCs w:val="24"/>
        </w:rPr>
        <w:t xml:space="preserve">a carga de la prueba de demostrar </w:t>
      </w:r>
      <w:r w:rsidR="00E5174E" w:rsidRPr="002B3DAC">
        <w:rPr>
          <w:rFonts w:ascii="Times New Roman" w:hAnsi="Times New Roman"/>
          <w:sz w:val="24"/>
          <w:szCs w:val="24"/>
        </w:rPr>
        <w:t xml:space="preserve">los presupuestos materiales y las circunstancias constitutivas de la necesidad de cautela </w:t>
      </w:r>
      <w:r w:rsidR="00DB24D4" w:rsidRPr="002B3DAC">
        <w:rPr>
          <w:rFonts w:ascii="Times New Roman" w:hAnsi="Times New Roman"/>
          <w:color w:val="000000"/>
          <w:sz w:val="24"/>
          <w:szCs w:val="24"/>
        </w:rPr>
        <w:t xml:space="preserve">corresponde </w:t>
      </w:r>
      <w:r w:rsidR="00DB24D4" w:rsidRPr="002B3DAC">
        <w:rPr>
          <w:rFonts w:ascii="Times New Roman" w:hAnsi="Times New Roman"/>
          <w:sz w:val="24"/>
          <w:szCs w:val="24"/>
        </w:rPr>
        <w:t>al o los persecutores penales, ya sea el Ministerio Público o los querellantes</w:t>
      </w:r>
      <w:r w:rsidR="00B56D6E" w:rsidRPr="002B3DAC">
        <w:rPr>
          <w:rFonts w:ascii="Times New Roman" w:hAnsi="Times New Roman"/>
          <w:sz w:val="24"/>
          <w:szCs w:val="24"/>
        </w:rPr>
        <w:t>.</w:t>
      </w:r>
      <w:r w:rsidR="0051584F" w:rsidRPr="002B3DAC">
        <w:rPr>
          <w:rFonts w:ascii="Times New Roman" w:hAnsi="Times New Roman"/>
          <w:sz w:val="24"/>
          <w:szCs w:val="24"/>
        </w:rPr>
        <w:t xml:space="preserve"> </w:t>
      </w:r>
    </w:p>
    <w:p w14:paraId="4124CE3A" w14:textId="77777777" w:rsidR="00F42176" w:rsidRPr="002B3DAC" w:rsidRDefault="00F42176" w:rsidP="00864D3D">
      <w:pPr>
        <w:pStyle w:val="Prrafodelista"/>
        <w:ind w:left="567" w:hanging="567"/>
        <w:rPr>
          <w:rFonts w:ascii="Times New Roman" w:hAnsi="Times New Roman"/>
          <w:color w:val="000000"/>
          <w:sz w:val="24"/>
          <w:szCs w:val="24"/>
        </w:rPr>
      </w:pPr>
    </w:p>
    <w:p w14:paraId="3C086CAC" w14:textId="77777777" w:rsidR="00C86CAE" w:rsidRPr="002B3DAC" w:rsidRDefault="00F42176" w:rsidP="00C86CAE">
      <w:pPr>
        <w:pStyle w:val="Prrafodelista"/>
        <w:numPr>
          <w:ilvl w:val="0"/>
          <w:numId w:val="16"/>
        </w:numPr>
        <w:shd w:val="clear" w:color="auto" w:fill="FFFFFF"/>
        <w:spacing w:before="100" w:beforeAutospacing="1" w:after="100" w:afterAutospacing="1" w:line="240" w:lineRule="auto"/>
        <w:ind w:left="567" w:hanging="567"/>
        <w:jc w:val="both"/>
        <w:rPr>
          <w:rFonts w:ascii="Times New Roman" w:hAnsi="Times New Roman"/>
          <w:sz w:val="24"/>
          <w:szCs w:val="24"/>
        </w:rPr>
      </w:pPr>
      <w:r w:rsidRPr="002B3DAC">
        <w:rPr>
          <w:rFonts w:ascii="Times New Roman" w:hAnsi="Times New Roman"/>
          <w:color w:val="000000"/>
          <w:sz w:val="24"/>
          <w:szCs w:val="24"/>
        </w:rPr>
        <w:t xml:space="preserve">Introducir garantías concretas para asegurar el menor tiempo posible de duración de una privación de libertad de mero carácter cautelar, en los casos en que el tribunal niegue a los acusados la libertad bajo </w:t>
      </w:r>
      <w:r w:rsidR="00E5174E" w:rsidRPr="002B3DAC">
        <w:rPr>
          <w:rFonts w:ascii="Times New Roman" w:hAnsi="Times New Roman"/>
          <w:sz w:val="24"/>
          <w:szCs w:val="24"/>
        </w:rPr>
        <w:t>caución</w:t>
      </w:r>
      <w:r w:rsidR="002F74B9" w:rsidRPr="002B3DAC">
        <w:rPr>
          <w:rFonts w:ascii="Times New Roman" w:hAnsi="Times New Roman"/>
          <w:color w:val="000000"/>
          <w:sz w:val="24"/>
          <w:szCs w:val="24"/>
        </w:rPr>
        <w:t xml:space="preserve">, </w:t>
      </w:r>
      <w:r w:rsidRPr="002B3DAC">
        <w:rPr>
          <w:rFonts w:ascii="Times New Roman" w:hAnsi="Times New Roman"/>
          <w:color w:val="000000"/>
          <w:sz w:val="24"/>
          <w:szCs w:val="24"/>
        </w:rPr>
        <w:t>para que éstos deben ser juzgados lo más rápidamente posible.</w:t>
      </w:r>
    </w:p>
    <w:p w14:paraId="2A3DE804" w14:textId="77777777" w:rsidR="001D449C" w:rsidRPr="002B3DAC" w:rsidRDefault="00FC5404" w:rsidP="00A564A4">
      <w:pPr>
        <w:shd w:val="clear" w:color="auto" w:fill="FFFFFF"/>
        <w:spacing w:before="100" w:beforeAutospacing="1" w:after="100" w:afterAutospacing="1" w:line="240" w:lineRule="auto"/>
        <w:jc w:val="both"/>
        <w:rPr>
          <w:rFonts w:ascii="Times New Roman" w:hAnsi="Times New Roman"/>
          <w:b/>
          <w:bCs/>
          <w:color w:val="000000"/>
          <w:sz w:val="24"/>
          <w:szCs w:val="24"/>
        </w:rPr>
      </w:pPr>
      <w:r w:rsidRPr="002B3DAC">
        <w:rPr>
          <w:rFonts w:ascii="Times New Roman" w:hAnsi="Times New Roman"/>
          <w:b/>
          <w:bCs/>
          <w:color w:val="000000"/>
          <w:sz w:val="24"/>
          <w:szCs w:val="24"/>
        </w:rPr>
        <w:t>Por todo lo anteriormente</w:t>
      </w:r>
      <w:r w:rsidR="00405332" w:rsidRPr="002B3DAC">
        <w:rPr>
          <w:rFonts w:ascii="Times New Roman" w:hAnsi="Times New Roman"/>
          <w:b/>
          <w:bCs/>
          <w:color w:val="000000"/>
          <w:sz w:val="24"/>
          <w:szCs w:val="24"/>
        </w:rPr>
        <w:t xml:space="preserve"> </w:t>
      </w:r>
      <w:r w:rsidRPr="002B3DAC">
        <w:rPr>
          <w:rFonts w:ascii="Times New Roman" w:hAnsi="Times New Roman"/>
          <w:b/>
          <w:bCs/>
          <w:color w:val="000000"/>
          <w:sz w:val="24"/>
          <w:szCs w:val="24"/>
        </w:rPr>
        <w:t>expuesto, los que suscriben, v</w:t>
      </w:r>
      <w:r w:rsidR="00405332" w:rsidRPr="002B3DAC">
        <w:rPr>
          <w:rFonts w:ascii="Times New Roman" w:hAnsi="Times New Roman"/>
          <w:b/>
          <w:bCs/>
          <w:color w:val="000000"/>
          <w:sz w:val="24"/>
          <w:szCs w:val="24"/>
        </w:rPr>
        <w:t>enimos en presentar el siguiente proyecto de ley:</w:t>
      </w:r>
    </w:p>
    <w:p w14:paraId="2B6EEAD5" w14:textId="77777777" w:rsidR="005E5859" w:rsidRDefault="005E5859" w:rsidP="002B3DAC">
      <w:pPr>
        <w:shd w:val="clear" w:color="auto" w:fill="FFFFFF"/>
        <w:spacing w:before="100" w:beforeAutospacing="1" w:after="100" w:afterAutospacing="1" w:line="240" w:lineRule="auto"/>
        <w:jc w:val="both"/>
        <w:rPr>
          <w:rFonts w:ascii="Times New Roman" w:hAnsi="Times New Roman"/>
          <w:sz w:val="24"/>
          <w:szCs w:val="24"/>
        </w:rPr>
      </w:pPr>
    </w:p>
    <w:p w14:paraId="5FE557FC" w14:textId="514DA990" w:rsidR="00E56A52" w:rsidRPr="002B3DAC" w:rsidRDefault="00936C72" w:rsidP="002B3DAC">
      <w:pPr>
        <w:shd w:val="clear" w:color="auto" w:fill="FFFFFF"/>
        <w:spacing w:before="100" w:beforeAutospacing="1" w:after="100" w:afterAutospacing="1" w:line="240" w:lineRule="auto"/>
        <w:jc w:val="both"/>
        <w:rPr>
          <w:rFonts w:ascii="Times New Roman" w:hAnsi="Times New Roman"/>
          <w:b/>
          <w:bCs/>
          <w:sz w:val="24"/>
          <w:szCs w:val="24"/>
        </w:rPr>
      </w:pPr>
      <w:r w:rsidRPr="002B3DAC">
        <w:rPr>
          <w:rFonts w:ascii="Times New Roman" w:hAnsi="Times New Roman"/>
          <w:b/>
          <w:bCs/>
          <w:sz w:val="24"/>
          <w:szCs w:val="24"/>
        </w:rPr>
        <w:t>Proyecto de Ley</w:t>
      </w:r>
    </w:p>
    <w:p w14:paraId="7C6D40D9" w14:textId="77777777" w:rsidR="001D449C" w:rsidRPr="002B3DAC" w:rsidRDefault="001D449C" w:rsidP="004379DE">
      <w:pPr>
        <w:shd w:val="clear" w:color="auto" w:fill="FFFFFF"/>
        <w:spacing w:before="100" w:beforeAutospacing="1" w:after="100" w:afterAutospacing="1" w:line="240" w:lineRule="auto"/>
        <w:jc w:val="both"/>
        <w:rPr>
          <w:rFonts w:ascii="Times New Roman" w:hAnsi="Times New Roman"/>
          <w:b/>
          <w:bCs/>
          <w:sz w:val="24"/>
          <w:szCs w:val="24"/>
        </w:rPr>
      </w:pPr>
    </w:p>
    <w:p w14:paraId="065DD107" w14:textId="77777777" w:rsidR="00841BC7" w:rsidRPr="002B3DAC" w:rsidRDefault="001D449C" w:rsidP="004379DE">
      <w:pPr>
        <w:shd w:val="clear" w:color="auto" w:fill="FFFFFF"/>
        <w:spacing w:before="100" w:beforeAutospacing="1" w:after="100" w:afterAutospacing="1" w:line="240" w:lineRule="auto"/>
        <w:jc w:val="both"/>
        <w:rPr>
          <w:rFonts w:ascii="Times New Roman" w:hAnsi="Times New Roman"/>
          <w:b/>
          <w:bCs/>
          <w:sz w:val="24"/>
          <w:szCs w:val="24"/>
        </w:rPr>
      </w:pPr>
      <w:r w:rsidRPr="002B3DAC">
        <w:rPr>
          <w:rFonts w:ascii="Times New Roman" w:hAnsi="Times New Roman"/>
          <w:b/>
          <w:bCs/>
          <w:sz w:val="24"/>
          <w:szCs w:val="24"/>
        </w:rPr>
        <w:t>Introdúzcanse las siguientes modificaciones al Código Procesal Penal:</w:t>
      </w:r>
    </w:p>
    <w:p w14:paraId="5828A753" w14:textId="77777777" w:rsidR="001D449C" w:rsidRPr="002B3DAC" w:rsidRDefault="001D449C" w:rsidP="004379DE">
      <w:pPr>
        <w:shd w:val="clear" w:color="auto" w:fill="FFFFFF"/>
        <w:spacing w:before="100" w:beforeAutospacing="1" w:after="100" w:afterAutospacing="1" w:line="240" w:lineRule="auto"/>
        <w:jc w:val="both"/>
        <w:rPr>
          <w:rFonts w:ascii="Times New Roman" w:hAnsi="Times New Roman"/>
          <w:b/>
          <w:bCs/>
          <w:sz w:val="24"/>
          <w:szCs w:val="24"/>
        </w:rPr>
      </w:pPr>
    </w:p>
    <w:p w14:paraId="2AA7F452" w14:textId="77777777" w:rsidR="00CD5210" w:rsidRPr="002B3DAC" w:rsidRDefault="003671F3" w:rsidP="00C60AAA">
      <w:pPr>
        <w:pStyle w:val="Prrafodelista"/>
        <w:numPr>
          <w:ilvl w:val="0"/>
          <w:numId w:val="29"/>
        </w:numPr>
        <w:shd w:val="clear" w:color="auto" w:fill="FFFFFF"/>
        <w:spacing w:before="100" w:beforeAutospacing="1" w:after="100" w:afterAutospacing="1" w:line="240" w:lineRule="auto"/>
        <w:jc w:val="both"/>
        <w:rPr>
          <w:rFonts w:ascii="Times New Roman" w:hAnsi="Times New Roman"/>
          <w:b/>
          <w:bCs/>
          <w:sz w:val="24"/>
          <w:szCs w:val="24"/>
        </w:rPr>
      </w:pPr>
      <w:r w:rsidRPr="002B3DAC">
        <w:rPr>
          <w:rFonts w:ascii="Times New Roman" w:hAnsi="Times New Roman"/>
          <w:b/>
          <w:bCs/>
          <w:sz w:val="24"/>
          <w:szCs w:val="24"/>
        </w:rPr>
        <w:t>Agréguense nuevos inciso tercero y cuarto al artículo 127</w:t>
      </w:r>
      <w:r w:rsidR="001D449C" w:rsidRPr="002B3DAC">
        <w:rPr>
          <w:rFonts w:ascii="Times New Roman" w:hAnsi="Times New Roman"/>
          <w:b/>
          <w:bCs/>
          <w:sz w:val="24"/>
          <w:szCs w:val="24"/>
        </w:rPr>
        <w:t xml:space="preserve">, </w:t>
      </w:r>
      <w:r w:rsidRPr="002B3DAC">
        <w:rPr>
          <w:rFonts w:ascii="Times New Roman" w:hAnsi="Times New Roman"/>
          <w:b/>
          <w:bCs/>
          <w:sz w:val="24"/>
          <w:szCs w:val="24"/>
        </w:rPr>
        <w:t>del siguiente tenor, pasando el actual tercero a ser cuarto, y así sucesivamente:</w:t>
      </w:r>
    </w:p>
    <w:p w14:paraId="0854A71D" w14:textId="77777777" w:rsidR="00CD5210" w:rsidRPr="002B3DAC" w:rsidRDefault="00CD5210" w:rsidP="00405332">
      <w:pPr>
        <w:spacing w:before="100" w:beforeAutospacing="1" w:after="100" w:afterAutospacing="1" w:line="240" w:lineRule="auto"/>
        <w:jc w:val="both"/>
        <w:rPr>
          <w:rFonts w:ascii="Times New Roman" w:eastAsia="Times New Roman" w:hAnsi="Times New Roman"/>
          <w:color w:val="2E2E2E"/>
          <w:sz w:val="24"/>
          <w:szCs w:val="24"/>
          <w:lang w:eastAsia="es-CL"/>
        </w:rPr>
      </w:pPr>
      <w:r w:rsidRPr="002B3DAC">
        <w:rPr>
          <w:rFonts w:ascii="Times New Roman" w:hAnsi="Times New Roman"/>
          <w:sz w:val="24"/>
          <w:szCs w:val="24"/>
        </w:rPr>
        <w:t xml:space="preserve">En los casos referidos en los incisos </w:t>
      </w:r>
      <w:r w:rsidR="008558C0" w:rsidRPr="002B3DAC">
        <w:rPr>
          <w:rFonts w:ascii="Times New Roman" w:hAnsi="Times New Roman"/>
          <w:sz w:val="24"/>
          <w:szCs w:val="24"/>
        </w:rPr>
        <w:t xml:space="preserve">precedentes </w:t>
      </w:r>
      <w:r w:rsidRPr="002B3DAC">
        <w:rPr>
          <w:rFonts w:ascii="Times New Roman" w:hAnsi="Times New Roman"/>
          <w:sz w:val="24"/>
          <w:szCs w:val="24"/>
        </w:rPr>
        <w:t>de esta disposición, además de acreditar</w:t>
      </w:r>
      <w:r w:rsidR="00B56D6E" w:rsidRPr="002B3DAC">
        <w:rPr>
          <w:rFonts w:ascii="Times New Roman" w:hAnsi="Times New Roman"/>
          <w:sz w:val="24"/>
          <w:szCs w:val="24"/>
        </w:rPr>
        <w:t xml:space="preserve">, en cada caso, los hechos </w:t>
      </w:r>
      <w:r w:rsidRPr="002B3DAC">
        <w:rPr>
          <w:rFonts w:ascii="Times New Roman" w:hAnsi="Times New Roman"/>
          <w:sz w:val="24"/>
          <w:szCs w:val="24"/>
        </w:rPr>
        <w:t xml:space="preserve">que permitan sospechar que la comparecencia pueda verse demorada o dificultada, </w:t>
      </w:r>
      <w:r w:rsidR="008558C0" w:rsidRPr="002B3DAC">
        <w:rPr>
          <w:rFonts w:ascii="Times New Roman" w:hAnsi="Times New Roman"/>
          <w:sz w:val="24"/>
          <w:szCs w:val="24"/>
        </w:rPr>
        <w:t>o de concurrir los hech</w:t>
      </w:r>
      <w:r w:rsidR="00AC21A2" w:rsidRPr="002B3DAC">
        <w:rPr>
          <w:rFonts w:ascii="Times New Roman" w:hAnsi="Times New Roman"/>
          <w:sz w:val="24"/>
          <w:szCs w:val="24"/>
        </w:rPr>
        <w:t>os</w:t>
      </w:r>
      <w:r w:rsidR="008558C0" w:rsidRPr="002B3DAC">
        <w:rPr>
          <w:rFonts w:ascii="Times New Roman" w:hAnsi="Times New Roman"/>
          <w:sz w:val="24"/>
          <w:szCs w:val="24"/>
        </w:rPr>
        <w:t xml:space="preserve"> referidos </w:t>
      </w:r>
      <w:r w:rsidR="00AC21A2" w:rsidRPr="002B3DAC">
        <w:rPr>
          <w:rFonts w:ascii="Times New Roman" w:hAnsi="Times New Roman"/>
          <w:sz w:val="24"/>
          <w:szCs w:val="24"/>
        </w:rPr>
        <w:t xml:space="preserve">en el inciso segundo y tercero, </w:t>
      </w:r>
      <w:r w:rsidRPr="002B3DAC">
        <w:rPr>
          <w:rFonts w:ascii="Times New Roman" w:hAnsi="Times New Roman"/>
          <w:sz w:val="24"/>
          <w:szCs w:val="24"/>
        </w:rPr>
        <w:t xml:space="preserve">el ministerio público deberá fundar su solicitud en </w:t>
      </w:r>
      <w:r w:rsidR="00692FE4" w:rsidRPr="002B3DAC">
        <w:rPr>
          <w:rFonts w:ascii="Times New Roman" w:hAnsi="Times New Roman"/>
          <w:sz w:val="24"/>
          <w:szCs w:val="24"/>
        </w:rPr>
        <w:t>var</w:t>
      </w:r>
      <w:r w:rsidR="00A10CFA" w:rsidRPr="002B3DAC">
        <w:rPr>
          <w:rFonts w:ascii="Times New Roman" w:hAnsi="Times New Roman"/>
          <w:sz w:val="24"/>
          <w:szCs w:val="24"/>
        </w:rPr>
        <w:t xml:space="preserve">iados </w:t>
      </w:r>
      <w:r w:rsidRPr="002B3DAC">
        <w:rPr>
          <w:rFonts w:ascii="Times New Roman" w:hAnsi="Times New Roman"/>
          <w:sz w:val="24"/>
          <w:szCs w:val="24"/>
        </w:rPr>
        <w:t>antecedentes</w:t>
      </w:r>
      <w:r w:rsidRPr="002B3DAC">
        <w:rPr>
          <w:rFonts w:ascii="Times New Roman" w:eastAsia="Times New Roman" w:hAnsi="Times New Roman"/>
          <w:color w:val="2E2E2E"/>
          <w:sz w:val="24"/>
          <w:szCs w:val="24"/>
          <w:lang w:eastAsia="es-CL"/>
        </w:rPr>
        <w:t xml:space="preserve"> </w:t>
      </w:r>
      <w:r w:rsidR="00A10CFA" w:rsidRPr="002B3DAC">
        <w:rPr>
          <w:rFonts w:ascii="Times New Roman" w:eastAsia="Times New Roman" w:hAnsi="Times New Roman"/>
          <w:color w:val="2E2E2E"/>
          <w:sz w:val="24"/>
          <w:szCs w:val="24"/>
          <w:lang w:eastAsia="es-CL"/>
        </w:rPr>
        <w:t xml:space="preserve">concretos y </w:t>
      </w:r>
      <w:r w:rsidR="00E919E4" w:rsidRPr="002B3DAC">
        <w:rPr>
          <w:rFonts w:ascii="Times New Roman" w:eastAsia="Times New Roman" w:hAnsi="Times New Roman"/>
          <w:color w:val="2E2E2E"/>
          <w:sz w:val="24"/>
          <w:szCs w:val="24"/>
          <w:lang w:eastAsia="es-CL"/>
        </w:rPr>
        <w:t xml:space="preserve">precisos </w:t>
      </w:r>
      <w:r w:rsidRPr="002B3DAC">
        <w:rPr>
          <w:rFonts w:ascii="Times New Roman" w:eastAsia="Times New Roman" w:hAnsi="Times New Roman"/>
          <w:color w:val="2E2E2E"/>
          <w:sz w:val="24"/>
          <w:szCs w:val="24"/>
          <w:lang w:eastAsia="es-CL"/>
        </w:rPr>
        <w:t xml:space="preserve">que avalen indicativamente la comisión de un hecho punible y la atribución de ese suceso al imputado, y </w:t>
      </w:r>
      <w:r w:rsidR="003E47E8" w:rsidRPr="002B3DAC">
        <w:rPr>
          <w:rFonts w:ascii="Times New Roman" w:eastAsia="Times New Roman" w:hAnsi="Times New Roman"/>
          <w:sz w:val="24"/>
          <w:szCs w:val="24"/>
          <w:lang w:eastAsia="es-CL"/>
        </w:rPr>
        <w:t xml:space="preserve">aportar los datos informativos </w:t>
      </w:r>
      <w:r w:rsidRPr="002B3DAC">
        <w:rPr>
          <w:rFonts w:ascii="Times New Roman" w:eastAsia="Times New Roman" w:hAnsi="Times New Roman"/>
          <w:color w:val="2E2E2E"/>
          <w:sz w:val="24"/>
          <w:szCs w:val="24"/>
          <w:lang w:eastAsia="es-CL"/>
        </w:rPr>
        <w:t>correspondientes.</w:t>
      </w:r>
    </w:p>
    <w:p w14:paraId="329BB54A" w14:textId="77777777" w:rsidR="003671F3" w:rsidRPr="002B3DAC" w:rsidRDefault="00CD5210" w:rsidP="00405332">
      <w:pPr>
        <w:spacing w:before="100" w:beforeAutospacing="1" w:after="100" w:afterAutospacing="1" w:line="240" w:lineRule="auto"/>
        <w:jc w:val="both"/>
        <w:rPr>
          <w:rFonts w:ascii="Times New Roman" w:hAnsi="Times New Roman"/>
          <w:sz w:val="24"/>
          <w:szCs w:val="24"/>
        </w:rPr>
      </w:pPr>
      <w:r w:rsidRPr="002B3DAC">
        <w:rPr>
          <w:rFonts w:ascii="Times New Roman" w:eastAsia="Times New Roman" w:hAnsi="Times New Roman"/>
          <w:color w:val="2E2E2E"/>
          <w:sz w:val="24"/>
          <w:szCs w:val="24"/>
          <w:lang w:eastAsia="es-CL"/>
        </w:rPr>
        <w:t xml:space="preserve">El juez podrá </w:t>
      </w:r>
      <w:r w:rsidRPr="002B3DAC">
        <w:rPr>
          <w:rFonts w:ascii="Times New Roman" w:hAnsi="Times New Roman"/>
          <w:sz w:val="24"/>
          <w:szCs w:val="24"/>
        </w:rPr>
        <w:t>ordenar la detención del imputado, si estima razonadamente que los antecedentes aportados por el ministerio público permiten concluir la existencia de fundadas sospechas acerca de la comisión del hecho punible y la participación del imputado</w:t>
      </w:r>
      <w:r w:rsidR="00AC21A2" w:rsidRPr="002B3DAC">
        <w:rPr>
          <w:rFonts w:ascii="Times New Roman" w:hAnsi="Times New Roman"/>
          <w:sz w:val="24"/>
          <w:szCs w:val="24"/>
        </w:rPr>
        <w:t>.</w:t>
      </w:r>
      <w:r w:rsidR="00E939DD" w:rsidRPr="002B3DAC">
        <w:rPr>
          <w:rFonts w:ascii="Times New Roman" w:hAnsi="Times New Roman"/>
          <w:sz w:val="24"/>
          <w:szCs w:val="24"/>
        </w:rPr>
        <w:t xml:space="preserve"> La detención decretada sin cumplir con dicho estándar de suficiencia constituye detención arbitraria.</w:t>
      </w:r>
    </w:p>
    <w:p w14:paraId="1A86A2BD" w14:textId="77777777" w:rsidR="00024BF6" w:rsidRPr="002B3DAC" w:rsidRDefault="00024BF6" w:rsidP="00405332">
      <w:pPr>
        <w:spacing w:before="100" w:beforeAutospacing="1" w:after="100" w:afterAutospacing="1" w:line="240" w:lineRule="auto"/>
        <w:jc w:val="both"/>
        <w:rPr>
          <w:rFonts w:ascii="Times New Roman" w:hAnsi="Times New Roman"/>
          <w:sz w:val="24"/>
          <w:szCs w:val="24"/>
        </w:rPr>
      </w:pPr>
    </w:p>
    <w:p w14:paraId="3A1DF1BF" w14:textId="77777777" w:rsidR="00CD5210" w:rsidRPr="002B3DAC" w:rsidRDefault="00CD5210" w:rsidP="00CD5210">
      <w:pPr>
        <w:pStyle w:val="Prrafodelista"/>
        <w:numPr>
          <w:ilvl w:val="0"/>
          <w:numId w:val="27"/>
        </w:numPr>
        <w:shd w:val="clear" w:color="auto" w:fill="FFFFFF"/>
        <w:spacing w:before="100" w:beforeAutospacing="1" w:after="100" w:afterAutospacing="1" w:line="240" w:lineRule="auto"/>
        <w:jc w:val="both"/>
        <w:rPr>
          <w:rFonts w:ascii="Times New Roman" w:hAnsi="Times New Roman"/>
          <w:b/>
          <w:bCs/>
          <w:sz w:val="24"/>
          <w:szCs w:val="24"/>
        </w:rPr>
      </w:pPr>
      <w:r w:rsidRPr="002B3DAC">
        <w:rPr>
          <w:rFonts w:ascii="Times New Roman" w:hAnsi="Times New Roman"/>
          <w:b/>
          <w:bCs/>
          <w:sz w:val="24"/>
          <w:szCs w:val="24"/>
        </w:rPr>
        <w:t>Agr</w:t>
      </w:r>
      <w:r w:rsidR="003671F3" w:rsidRPr="002B3DAC">
        <w:rPr>
          <w:rFonts w:ascii="Times New Roman" w:hAnsi="Times New Roman"/>
          <w:b/>
          <w:bCs/>
          <w:sz w:val="24"/>
          <w:szCs w:val="24"/>
        </w:rPr>
        <w:t>é</w:t>
      </w:r>
      <w:r w:rsidRPr="002B3DAC">
        <w:rPr>
          <w:rFonts w:ascii="Times New Roman" w:hAnsi="Times New Roman"/>
          <w:b/>
          <w:bCs/>
          <w:sz w:val="24"/>
          <w:szCs w:val="24"/>
        </w:rPr>
        <w:t>g</w:t>
      </w:r>
      <w:r w:rsidR="003671F3" w:rsidRPr="002B3DAC">
        <w:rPr>
          <w:rFonts w:ascii="Times New Roman" w:hAnsi="Times New Roman"/>
          <w:b/>
          <w:bCs/>
          <w:sz w:val="24"/>
          <w:szCs w:val="24"/>
        </w:rPr>
        <w:t>uese</w:t>
      </w:r>
      <w:r w:rsidR="00472786" w:rsidRPr="002B3DAC">
        <w:rPr>
          <w:rFonts w:ascii="Times New Roman" w:hAnsi="Times New Roman"/>
          <w:b/>
          <w:bCs/>
          <w:sz w:val="24"/>
          <w:szCs w:val="24"/>
        </w:rPr>
        <w:t xml:space="preserve"> en el inciso final del artículo 127, a continuación del punto final , que pasa a ser seguido, la siguiente oración:</w:t>
      </w:r>
    </w:p>
    <w:p w14:paraId="29CFF1FF" w14:textId="77777777" w:rsidR="00E63163" w:rsidRPr="002B3DAC" w:rsidRDefault="00472786" w:rsidP="00E939DD">
      <w:pPr>
        <w:shd w:val="clear" w:color="auto" w:fill="FFFFFF"/>
        <w:spacing w:before="100" w:beforeAutospacing="1" w:after="100" w:afterAutospacing="1" w:line="240" w:lineRule="auto"/>
        <w:jc w:val="both"/>
        <w:rPr>
          <w:rFonts w:ascii="Times New Roman" w:hAnsi="Times New Roman"/>
          <w:sz w:val="24"/>
          <w:szCs w:val="24"/>
        </w:rPr>
      </w:pPr>
      <w:r w:rsidRPr="002B3DAC">
        <w:rPr>
          <w:rFonts w:ascii="Times New Roman" w:hAnsi="Times New Roman"/>
          <w:sz w:val="24"/>
          <w:szCs w:val="24"/>
        </w:rPr>
        <w:t>La resolución que la conceda será apelable por la Defensoría Penal Publica o el defensor particular del imputado</w:t>
      </w:r>
      <w:r w:rsidR="00003BB2" w:rsidRPr="002B3DAC">
        <w:rPr>
          <w:rFonts w:ascii="Times New Roman" w:hAnsi="Times New Roman"/>
          <w:sz w:val="24"/>
          <w:szCs w:val="24"/>
        </w:rPr>
        <w:t>. El plazo para la interposición del recurso de apelación comenzará a correr a partir de la fecha en la que la orden de detención se</w:t>
      </w:r>
      <w:r w:rsidR="00405332" w:rsidRPr="002B3DAC">
        <w:rPr>
          <w:rFonts w:ascii="Times New Roman" w:hAnsi="Times New Roman"/>
          <w:sz w:val="24"/>
          <w:szCs w:val="24"/>
        </w:rPr>
        <w:t xml:space="preserve">a puesta </w:t>
      </w:r>
      <w:r w:rsidR="00003BB2" w:rsidRPr="002B3DAC">
        <w:rPr>
          <w:rFonts w:ascii="Times New Roman" w:hAnsi="Times New Roman"/>
          <w:sz w:val="24"/>
          <w:szCs w:val="24"/>
        </w:rPr>
        <w:t>en conocimiento del imputado.</w:t>
      </w:r>
    </w:p>
    <w:p w14:paraId="298393A9" w14:textId="77777777" w:rsidR="00024BF6" w:rsidRPr="002B3DAC" w:rsidRDefault="00024BF6" w:rsidP="00E939DD">
      <w:pPr>
        <w:shd w:val="clear" w:color="auto" w:fill="FFFFFF"/>
        <w:spacing w:before="100" w:beforeAutospacing="1" w:after="100" w:afterAutospacing="1" w:line="240" w:lineRule="auto"/>
        <w:jc w:val="both"/>
        <w:rPr>
          <w:rFonts w:ascii="Times New Roman" w:hAnsi="Times New Roman"/>
          <w:b/>
          <w:bCs/>
          <w:sz w:val="24"/>
          <w:szCs w:val="24"/>
        </w:rPr>
      </w:pPr>
    </w:p>
    <w:p w14:paraId="37C493EF" w14:textId="77777777" w:rsidR="003671F3" w:rsidRPr="002B3DAC" w:rsidRDefault="003671F3" w:rsidP="003671F3">
      <w:pPr>
        <w:pStyle w:val="Prrafodelista"/>
        <w:numPr>
          <w:ilvl w:val="0"/>
          <w:numId w:val="27"/>
        </w:numPr>
        <w:shd w:val="clear" w:color="auto" w:fill="FFFFFF"/>
        <w:spacing w:before="100" w:beforeAutospacing="1" w:after="100" w:afterAutospacing="1" w:line="240" w:lineRule="auto"/>
        <w:jc w:val="both"/>
        <w:rPr>
          <w:rFonts w:ascii="Times New Roman" w:hAnsi="Times New Roman"/>
          <w:b/>
          <w:bCs/>
          <w:sz w:val="24"/>
          <w:szCs w:val="24"/>
        </w:rPr>
      </w:pPr>
      <w:r w:rsidRPr="002B3DAC">
        <w:rPr>
          <w:rFonts w:ascii="Times New Roman" w:hAnsi="Times New Roman"/>
          <w:b/>
          <w:bCs/>
          <w:sz w:val="24"/>
          <w:szCs w:val="24"/>
        </w:rPr>
        <w:t>Agréguese nuevos inciso segundo y tercero al art</w:t>
      </w:r>
      <w:r w:rsidR="008A4FA8" w:rsidRPr="002B3DAC">
        <w:rPr>
          <w:rFonts w:ascii="Times New Roman" w:hAnsi="Times New Roman"/>
          <w:b/>
          <w:bCs/>
          <w:sz w:val="24"/>
          <w:szCs w:val="24"/>
        </w:rPr>
        <w:t>í</w:t>
      </w:r>
      <w:r w:rsidRPr="002B3DAC">
        <w:rPr>
          <w:rFonts w:ascii="Times New Roman" w:hAnsi="Times New Roman"/>
          <w:b/>
          <w:bCs/>
          <w:sz w:val="24"/>
          <w:szCs w:val="24"/>
        </w:rPr>
        <w:t>culo 139 del siguiente tenor:</w:t>
      </w:r>
    </w:p>
    <w:p w14:paraId="0B6C13FD" w14:textId="77777777" w:rsidR="003671F3" w:rsidRPr="002B3DAC" w:rsidRDefault="003671F3" w:rsidP="003671F3">
      <w:pPr>
        <w:shd w:val="clear" w:color="auto" w:fill="FFFFFF"/>
        <w:spacing w:before="100" w:beforeAutospacing="1" w:after="100" w:afterAutospacing="1" w:line="240" w:lineRule="auto"/>
        <w:jc w:val="both"/>
        <w:rPr>
          <w:rFonts w:ascii="Times New Roman" w:eastAsia="Times New Roman" w:hAnsi="Times New Roman"/>
          <w:color w:val="2E2E2E"/>
          <w:sz w:val="24"/>
          <w:szCs w:val="24"/>
          <w:lang w:eastAsia="es-CL"/>
        </w:rPr>
      </w:pPr>
      <w:r w:rsidRPr="002B3DAC">
        <w:rPr>
          <w:rFonts w:ascii="Times New Roman" w:hAnsi="Times New Roman"/>
          <w:sz w:val="24"/>
          <w:szCs w:val="24"/>
        </w:rPr>
        <w:t>El ministerio público deberá acreditar</w:t>
      </w:r>
      <w:r w:rsidRPr="002B3DAC">
        <w:rPr>
          <w:rFonts w:ascii="Times New Roman" w:eastAsia="Times New Roman" w:hAnsi="Times New Roman"/>
          <w:color w:val="2E2E2E"/>
          <w:sz w:val="24"/>
          <w:szCs w:val="24"/>
          <w:lang w:eastAsia="es-CL"/>
        </w:rPr>
        <w:t xml:space="preserve"> </w:t>
      </w:r>
      <w:r w:rsidR="003543D3" w:rsidRPr="002B3DAC">
        <w:rPr>
          <w:rFonts w:ascii="Times New Roman" w:eastAsia="Times New Roman" w:hAnsi="Times New Roman"/>
          <w:sz w:val="24"/>
          <w:szCs w:val="24"/>
          <w:lang w:eastAsia="es-CL"/>
        </w:rPr>
        <w:t xml:space="preserve">los presupuestos materiales y la necesidad de cautela </w:t>
      </w:r>
      <w:r w:rsidR="00D6310A" w:rsidRPr="002B3DAC">
        <w:rPr>
          <w:rFonts w:ascii="Times New Roman" w:eastAsia="Times New Roman" w:hAnsi="Times New Roman"/>
          <w:color w:val="2E2E2E"/>
          <w:sz w:val="24"/>
          <w:szCs w:val="24"/>
          <w:lang w:eastAsia="es-CL"/>
        </w:rPr>
        <w:t>mediante evidencia concreta, clara, precisa, y variada</w:t>
      </w:r>
      <w:r w:rsidRPr="002B3DAC">
        <w:rPr>
          <w:rFonts w:ascii="Times New Roman" w:eastAsia="Times New Roman" w:hAnsi="Times New Roman"/>
          <w:color w:val="2E2E2E"/>
          <w:sz w:val="24"/>
          <w:szCs w:val="24"/>
          <w:lang w:eastAsia="es-CL"/>
        </w:rPr>
        <w:t xml:space="preserve"> que permitan</w:t>
      </w:r>
      <w:r w:rsidR="00572367" w:rsidRPr="002B3DAC">
        <w:rPr>
          <w:rFonts w:ascii="Times New Roman" w:eastAsia="Times New Roman" w:hAnsi="Times New Roman"/>
          <w:color w:val="2E2E2E"/>
          <w:sz w:val="24"/>
          <w:szCs w:val="24"/>
          <w:lang w:eastAsia="es-CL"/>
        </w:rPr>
        <w:t xml:space="preserve"> </w:t>
      </w:r>
      <w:r w:rsidR="004F4B7A" w:rsidRPr="002B3DAC">
        <w:rPr>
          <w:rFonts w:ascii="Times New Roman" w:eastAsia="Times New Roman" w:hAnsi="Times New Roman"/>
          <w:color w:val="2E2E2E"/>
          <w:sz w:val="24"/>
          <w:szCs w:val="24"/>
          <w:lang w:eastAsia="es-CL"/>
        </w:rPr>
        <w:t>inferir</w:t>
      </w:r>
      <w:r w:rsidRPr="002B3DAC">
        <w:rPr>
          <w:rFonts w:ascii="Times New Roman" w:eastAsia="Times New Roman" w:hAnsi="Times New Roman"/>
          <w:color w:val="2E2E2E"/>
          <w:sz w:val="24"/>
          <w:szCs w:val="24"/>
          <w:lang w:eastAsia="es-CL"/>
        </w:rPr>
        <w:t xml:space="preserve"> </w:t>
      </w:r>
      <w:r w:rsidR="009E75E4" w:rsidRPr="002B3DAC">
        <w:rPr>
          <w:rFonts w:ascii="Times New Roman" w:eastAsia="Times New Roman" w:hAnsi="Times New Roman"/>
          <w:sz w:val="24"/>
          <w:szCs w:val="24"/>
          <w:lang w:eastAsia="es-CL"/>
        </w:rPr>
        <w:t xml:space="preserve">éstos con </w:t>
      </w:r>
      <w:r w:rsidRPr="002B3DAC">
        <w:rPr>
          <w:rFonts w:ascii="Times New Roman" w:eastAsia="Times New Roman" w:hAnsi="Times New Roman"/>
          <w:sz w:val="24"/>
          <w:szCs w:val="24"/>
          <w:lang w:eastAsia="es-CL"/>
        </w:rPr>
        <w:t>un alto grado</w:t>
      </w:r>
      <w:r w:rsidR="003543D3" w:rsidRPr="002B3DAC">
        <w:rPr>
          <w:rFonts w:ascii="Times New Roman" w:eastAsia="Times New Roman" w:hAnsi="Times New Roman"/>
          <w:sz w:val="24"/>
          <w:szCs w:val="24"/>
          <w:lang w:eastAsia="es-CL"/>
        </w:rPr>
        <w:t xml:space="preserve"> de probabilidad</w:t>
      </w:r>
      <w:r w:rsidR="009E75E4" w:rsidRPr="002B3DAC">
        <w:rPr>
          <w:rFonts w:ascii="Times New Roman" w:eastAsia="Times New Roman" w:hAnsi="Times New Roman"/>
          <w:sz w:val="24"/>
          <w:szCs w:val="24"/>
          <w:lang w:eastAsia="es-CL"/>
        </w:rPr>
        <w:t>. La necesidad de cautela se activará frente a</w:t>
      </w:r>
      <w:r w:rsidR="00055437" w:rsidRPr="002B3DAC">
        <w:rPr>
          <w:rFonts w:ascii="Times New Roman" w:eastAsia="Times New Roman" w:hAnsi="Times New Roman"/>
          <w:sz w:val="24"/>
          <w:szCs w:val="24"/>
          <w:lang w:eastAsia="es-CL"/>
        </w:rPr>
        <w:t xml:space="preserve">l </w:t>
      </w:r>
      <w:r w:rsidRPr="002B3DAC">
        <w:rPr>
          <w:rFonts w:ascii="Times New Roman" w:eastAsia="Times New Roman" w:hAnsi="Times New Roman"/>
          <w:sz w:val="24"/>
          <w:szCs w:val="24"/>
          <w:lang w:eastAsia="es-CL"/>
        </w:rPr>
        <w:t>riesgo</w:t>
      </w:r>
      <w:r w:rsidR="00055437" w:rsidRPr="002B3DAC">
        <w:rPr>
          <w:rFonts w:ascii="Times New Roman" w:eastAsia="Times New Roman" w:hAnsi="Times New Roman"/>
          <w:sz w:val="24"/>
          <w:szCs w:val="24"/>
          <w:lang w:eastAsia="es-CL"/>
        </w:rPr>
        <w:t xml:space="preserve"> objetivo </w:t>
      </w:r>
      <w:r w:rsidRPr="002B3DAC">
        <w:rPr>
          <w:rFonts w:ascii="Times New Roman" w:eastAsia="Times New Roman" w:hAnsi="Times New Roman"/>
          <w:sz w:val="24"/>
          <w:szCs w:val="24"/>
          <w:lang w:eastAsia="es-CL"/>
        </w:rPr>
        <w:t xml:space="preserve">para </w:t>
      </w:r>
      <w:r w:rsidR="00055437" w:rsidRPr="002B3DAC">
        <w:rPr>
          <w:rFonts w:ascii="Times New Roman" w:eastAsia="Times New Roman" w:hAnsi="Times New Roman"/>
          <w:sz w:val="24"/>
          <w:szCs w:val="24"/>
          <w:lang w:eastAsia="es-CL"/>
        </w:rPr>
        <w:t xml:space="preserve">el </w:t>
      </w:r>
      <w:r w:rsidR="00DF5ED6" w:rsidRPr="002B3DAC">
        <w:rPr>
          <w:rFonts w:ascii="Times New Roman" w:eastAsia="Times New Roman" w:hAnsi="Times New Roman"/>
          <w:sz w:val="24"/>
          <w:szCs w:val="24"/>
          <w:lang w:eastAsia="es-CL"/>
        </w:rPr>
        <w:t>esclarecimiento de los hechos y eventual aplicación de la ley penal al imputado</w:t>
      </w:r>
      <w:r w:rsidR="00055437" w:rsidRPr="002B3DAC">
        <w:rPr>
          <w:rFonts w:ascii="Times New Roman" w:eastAsia="Times New Roman" w:hAnsi="Times New Roman"/>
          <w:sz w:val="24"/>
          <w:szCs w:val="24"/>
          <w:lang w:eastAsia="es-CL"/>
        </w:rPr>
        <w:t>,</w:t>
      </w:r>
      <w:r w:rsidR="00DF5ED6" w:rsidRPr="002B3DAC">
        <w:rPr>
          <w:rFonts w:ascii="Times New Roman" w:eastAsia="Times New Roman" w:hAnsi="Times New Roman"/>
          <w:sz w:val="24"/>
          <w:szCs w:val="24"/>
          <w:lang w:eastAsia="es-CL"/>
        </w:rPr>
        <w:t xml:space="preserve"> y para la seguridad de la víctima</w:t>
      </w:r>
      <w:r w:rsidR="00636A43" w:rsidRPr="002B3DAC">
        <w:rPr>
          <w:rFonts w:ascii="Times New Roman" w:eastAsia="Times New Roman" w:hAnsi="Times New Roman"/>
          <w:sz w:val="24"/>
          <w:szCs w:val="24"/>
          <w:lang w:eastAsia="es-CL"/>
        </w:rPr>
        <w:t>.</w:t>
      </w:r>
      <w:r w:rsidR="00B02E7B" w:rsidRPr="002B3DAC">
        <w:rPr>
          <w:rFonts w:ascii="Times New Roman" w:eastAsia="Times New Roman" w:hAnsi="Times New Roman"/>
          <w:sz w:val="24"/>
          <w:szCs w:val="24"/>
          <w:lang w:eastAsia="es-CL"/>
        </w:rPr>
        <w:t xml:space="preserve"> </w:t>
      </w:r>
      <w:r w:rsidR="00636A43" w:rsidRPr="002B3DAC">
        <w:rPr>
          <w:rFonts w:ascii="Times New Roman" w:eastAsia="Times New Roman" w:hAnsi="Times New Roman"/>
          <w:sz w:val="24"/>
          <w:szCs w:val="24"/>
          <w:lang w:eastAsia="es-CL"/>
        </w:rPr>
        <w:t>Del mismo modo, deberá acreditar</w:t>
      </w:r>
      <w:r w:rsidR="00DF5ED6" w:rsidRPr="002B3DAC">
        <w:rPr>
          <w:rFonts w:ascii="Times New Roman" w:eastAsia="Times New Roman" w:hAnsi="Times New Roman"/>
          <w:sz w:val="24"/>
          <w:szCs w:val="24"/>
          <w:lang w:eastAsia="es-CL"/>
        </w:rPr>
        <w:t xml:space="preserve"> </w:t>
      </w:r>
      <w:r w:rsidRPr="002B3DAC">
        <w:rPr>
          <w:rFonts w:ascii="Times New Roman" w:hAnsi="Times New Roman"/>
          <w:sz w:val="24"/>
          <w:szCs w:val="24"/>
        </w:rPr>
        <w:t>los antecedentes</w:t>
      </w:r>
      <w:r w:rsidRPr="002B3DAC">
        <w:rPr>
          <w:rFonts w:ascii="Times New Roman" w:eastAsia="Times New Roman" w:hAnsi="Times New Roman"/>
          <w:color w:val="2E2E2E"/>
          <w:sz w:val="24"/>
          <w:szCs w:val="24"/>
          <w:lang w:eastAsia="es-CL"/>
        </w:rPr>
        <w:t xml:space="preserve"> de hecho que permitan sostener razonablemente que, cada una de las demás medidas cautelares </w:t>
      </w:r>
      <w:r w:rsidRPr="002B3DAC">
        <w:rPr>
          <w:rFonts w:ascii="Times New Roman" w:eastAsia="Times New Roman" w:hAnsi="Times New Roman"/>
          <w:sz w:val="24"/>
          <w:szCs w:val="24"/>
          <w:lang w:eastAsia="es-CL"/>
        </w:rPr>
        <w:t>personales</w:t>
      </w:r>
      <w:r w:rsidR="00DF5ED6" w:rsidRPr="002B3DAC">
        <w:rPr>
          <w:rFonts w:ascii="Times New Roman" w:eastAsia="Times New Roman" w:hAnsi="Times New Roman"/>
          <w:sz w:val="24"/>
          <w:szCs w:val="24"/>
          <w:lang w:eastAsia="es-CL"/>
        </w:rPr>
        <w:t xml:space="preserve"> no son idóneas para el caso de que se trata</w:t>
      </w:r>
      <w:r w:rsidR="00B02E7B" w:rsidRPr="002B3DAC">
        <w:rPr>
          <w:rFonts w:ascii="Times New Roman" w:eastAsia="Times New Roman" w:hAnsi="Times New Roman"/>
          <w:color w:val="2E2E2E"/>
          <w:sz w:val="24"/>
          <w:szCs w:val="24"/>
          <w:lang w:eastAsia="es-CL"/>
        </w:rPr>
        <w:t>.</w:t>
      </w:r>
    </w:p>
    <w:p w14:paraId="4C47946C" w14:textId="77777777" w:rsidR="003671F3" w:rsidRPr="002B3DAC" w:rsidRDefault="003671F3" w:rsidP="003671F3">
      <w:pPr>
        <w:shd w:val="clear" w:color="auto" w:fill="FFFFFF"/>
        <w:spacing w:before="100" w:beforeAutospacing="1" w:after="100" w:afterAutospacing="1" w:line="240" w:lineRule="auto"/>
        <w:jc w:val="both"/>
        <w:rPr>
          <w:rFonts w:ascii="Times New Roman" w:hAnsi="Times New Roman"/>
          <w:sz w:val="24"/>
          <w:szCs w:val="24"/>
        </w:rPr>
      </w:pPr>
      <w:r w:rsidRPr="002B3DAC">
        <w:rPr>
          <w:rFonts w:ascii="Times New Roman" w:eastAsia="Times New Roman" w:hAnsi="Times New Roman"/>
          <w:color w:val="2E2E2E"/>
          <w:sz w:val="24"/>
          <w:szCs w:val="24"/>
          <w:lang w:eastAsia="es-CL"/>
        </w:rPr>
        <w:t xml:space="preserve">El juez no podrá </w:t>
      </w:r>
      <w:r w:rsidRPr="002B3DAC">
        <w:rPr>
          <w:rFonts w:ascii="Times New Roman" w:hAnsi="Times New Roman"/>
          <w:sz w:val="24"/>
          <w:szCs w:val="24"/>
        </w:rPr>
        <w:t>ordenar la prisión preventiva del imputado fundado en la sola alegación de existencia de peligro,</w:t>
      </w:r>
      <w:r w:rsidR="00D10ADB" w:rsidRPr="002B3DAC">
        <w:rPr>
          <w:rFonts w:ascii="Times New Roman" w:hAnsi="Times New Roman"/>
          <w:sz w:val="24"/>
          <w:szCs w:val="24"/>
        </w:rPr>
        <w:t xml:space="preserve"> </w:t>
      </w:r>
      <w:r w:rsidRPr="002B3DAC">
        <w:rPr>
          <w:rFonts w:ascii="Times New Roman" w:hAnsi="Times New Roman"/>
          <w:sz w:val="24"/>
          <w:szCs w:val="24"/>
        </w:rPr>
        <w:t xml:space="preserve">ni basado </w:t>
      </w:r>
      <w:r w:rsidR="00D6310A" w:rsidRPr="002B3DAC">
        <w:rPr>
          <w:rFonts w:ascii="Times New Roman" w:hAnsi="Times New Roman"/>
          <w:sz w:val="24"/>
          <w:szCs w:val="24"/>
        </w:rPr>
        <w:t>exclusivamente</w:t>
      </w:r>
      <w:r w:rsidRPr="002B3DAC">
        <w:rPr>
          <w:rFonts w:ascii="Times New Roman" w:hAnsi="Times New Roman"/>
          <w:sz w:val="24"/>
          <w:szCs w:val="24"/>
        </w:rPr>
        <w:t xml:space="preserve"> en los mismos antecedentes aportados por el ministerio público respecto de la comisión del hecho punible y </w:t>
      </w:r>
      <w:r w:rsidR="00BD30C6" w:rsidRPr="002B3DAC">
        <w:rPr>
          <w:rFonts w:ascii="Times New Roman" w:hAnsi="Times New Roman"/>
          <w:sz w:val="24"/>
          <w:szCs w:val="24"/>
        </w:rPr>
        <w:t xml:space="preserve">la atribución de </w:t>
      </w:r>
      <w:r w:rsidR="00896164" w:rsidRPr="002B3DAC">
        <w:rPr>
          <w:rFonts w:ascii="Times New Roman" w:hAnsi="Times New Roman"/>
          <w:sz w:val="24"/>
          <w:szCs w:val="24"/>
        </w:rPr>
        <w:t xml:space="preserve">ese suceso al </w:t>
      </w:r>
      <w:r w:rsidR="00BD30C6" w:rsidRPr="002B3DAC">
        <w:rPr>
          <w:rFonts w:ascii="Times New Roman" w:hAnsi="Times New Roman"/>
          <w:sz w:val="24"/>
          <w:szCs w:val="24"/>
        </w:rPr>
        <w:t>imputado</w:t>
      </w:r>
      <w:r w:rsidR="003E2A9A" w:rsidRPr="002B3DAC">
        <w:rPr>
          <w:rFonts w:ascii="Times New Roman" w:hAnsi="Times New Roman"/>
          <w:sz w:val="24"/>
          <w:szCs w:val="24"/>
        </w:rPr>
        <w:t>.</w:t>
      </w:r>
    </w:p>
    <w:p w14:paraId="7115BFF5" w14:textId="77777777" w:rsidR="0071407C" w:rsidRPr="002B3DAC" w:rsidRDefault="003E2A9A" w:rsidP="00B87520">
      <w:pPr>
        <w:shd w:val="clear" w:color="auto" w:fill="FFFFFF"/>
        <w:spacing w:before="100" w:beforeAutospacing="1" w:after="100" w:afterAutospacing="1" w:line="240" w:lineRule="auto"/>
        <w:jc w:val="both"/>
        <w:rPr>
          <w:rFonts w:ascii="Times New Roman" w:eastAsia="Times New Roman" w:hAnsi="Times New Roman"/>
          <w:sz w:val="24"/>
          <w:szCs w:val="24"/>
          <w:lang w:eastAsia="es-CL"/>
        </w:rPr>
      </w:pPr>
      <w:r w:rsidRPr="002B3DAC">
        <w:rPr>
          <w:rFonts w:ascii="Times New Roman" w:eastAsia="Times New Roman" w:hAnsi="Times New Roman"/>
          <w:color w:val="2E2E2E"/>
          <w:sz w:val="24"/>
          <w:szCs w:val="24"/>
          <w:lang w:eastAsia="es-CL"/>
        </w:rPr>
        <w:t xml:space="preserve">Dilucidada la concurrencia de los presupuestos materiales y de la necesidad de cautela, </w:t>
      </w:r>
      <w:r w:rsidR="00D83427" w:rsidRPr="002B3DAC">
        <w:rPr>
          <w:rFonts w:ascii="Times New Roman" w:eastAsia="Times New Roman" w:hAnsi="Times New Roman"/>
          <w:color w:val="2E2E2E"/>
          <w:sz w:val="24"/>
          <w:szCs w:val="24"/>
          <w:lang w:eastAsia="es-CL"/>
        </w:rPr>
        <w:t xml:space="preserve">el juez </w:t>
      </w:r>
      <w:r w:rsidR="00D10ADB" w:rsidRPr="002B3DAC">
        <w:rPr>
          <w:rFonts w:ascii="Times New Roman" w:eastAsia="Times New Roman" w:hAnsi="Times New Roman"/>
          <w:color w:val="2E2E2E"/>
          <w:sz w:val="24"/>
          <w:szCs w:val="24"/>
          <w:lang w:eastAsia="es-CL"/>
        </w:rPr>
        <w:t>deberá</w:t>
      </w:r>
      <w:r w:rsidRPr="002B3DAC">
        <w:rPr>
          <w:rFonts w:ascii="Times New Roman" w:eastAsia="Times New Roman" w:hAnsi="Times New Roman"/>
          <w:color w:val="2E2E2E"/>
          <w:sz w:val="24"/>
          <w:szCs w:val="24"/>
          <w:lang w:eastAsia="es-CL"/>
        </w:rPr>
        <w:t xml:space="preserve"> realizar el juicio de proporcionalidad exigido en </w:t>
      </w:r>
      <w:r w:rsidR="00747FDE" w:rsidRPr="002B3DAC">
        <w:rPr>
          <w:rFonts w:ascii="Times New Roman" w:eastAsia="Times New Roman" w:hAnsi="Times New Roman"/>
          <w:color w:val="2E2E2E"/>
          <w:sz w:val="24"/>
          <w:szCs w:val="24"/>
          <w:lang w:eastAsia="es-CL"/>
        </w:rPr>
        <w:t>e</w:t>
      </w:r>
      <w:r w:rsidR="00AD39B0" w:rsidRPr="002B3DAC">
        <w:rPr>
          <w:rFonts w:ascii="Times New Roman" w:eastAsia="Times New Roman" w:hAnsi="Times New Roman"/>
          <w:color w:val="2E2E2E"/>
          <w:sz w:val="24"/>
          <w:szCs w:val="24"/>
          <w:lang w:eastAsia="es-CL"/>
        </w:rPr>
        <w:t xml:space="preserve">l inciso primero de esta norma </w:t>
      </w:r>
      <w:r w:rsidRPr="002B3DAC">
        <w:rPr>
          <w:rFonts w:ascii="Times New Roman" w:eastAsia="Times New Roman" w:hAnsi="Times New Roman"/>
          <w:color w:val="2E2E2E"/>
          <w:sz w:val="24"/>
          <w:szCs w:val="24"/>
          <w:lang w:eastAsia="es-CL"/>
        </w:rPr>
        <w:t xml:space="preserve">y </w:t>
      </w:r>
      <w:r w:rsidR="00AD39B0" w:rsidRPr="002B3DAC">
        <w:rPr>
          <w:rFonts w:ascii="Times New Roman" w:eastAsia="Times New Roman" w:hAnsi="Times New Roman"/>
          <w:color w:val="2E2E2E"/>
          <w:sz w:val="24"/>
          <w:szCs w:val="24"/>
          <w:lang w:eastAsia="es-CL"/>
        </w:rPr>
        <w:t xml:space="preserve">en el artículo </w:t>
      </w:r>
      <w:r w:rsidRPr="002B3DAC">
        <w:rPr>
          <w:rFonts w:ascii="Times New Roman" w:eastAsia="Times New Roman" w:hAnsi="Times New Roman"/>
          <w:color w:val="2E2E2E"/>
          <w:sz w:val="24"/>
          <w:szCs w:val="24"/>
          <w:lang w:eastAsia="es-CL"/>
        </w:rPr>
        <w:t>141 de</w:t>
      </w:r>
      <w:r w:rsidR="00C472A2" w:rsidRPr="002B3DAC">
        <w:rPr>
          <w:rFonts w:ascii="Times New Roman" w:eastAsia="Times New Roman" w:hAnsi="Times New Roman"/>
          <w:color w:val="2E2E2E"/>
          <w:sz w:val="24"/>
          <w:szCs w:val="24"/>
          <w:lang w:eastAsia="es-CL"/>
        </w:rPr>
        <w:t xml:space="preserve"> este mismo Código</w:t>
      </w:r>
      <w:r w:rsidR="00E0629B" w:rsidRPr="002B3DAC">
        <w:rPr>
          <w:rFonts w:ascii="Times New Roman" w:eastAsia="Times New Roman" w:hAnsi="Times New Roman"/>
          <w:color w:val="2E2E2E"/>
          <w:sz w:val="24"/>
          <w:szCs w:val="24"/>
          <w:lang w:eastAsia="es-CL"/>
        </w:rPr>
        <w:t>,</w:t>
      </w:r>
      <w:r w:rsidR="00D83427" w:rsidRPr="002B3DAC">
        <w:rPr>
          <w:rFonts w:ascii="Times New Roman" w:eastAsia="Times New Roman" w:hAnsi="Times New Roman"/>
          <w:color w:val="2E2E2E"/>
          <w:sz w:val="24"/>
          <w:szCs w:val="24"/>
          <w:lang w:eastAsia="es-CL"/>
        </w:rPr>
        <w:t xml:space="preserve"> </w:t>
      </w:r>
      <w:r w:rsidR="0054271F" w:rsidRPr="002B3DAC">
        <w:rPr>
          <w:rFonts w:ascii="Times New Roman" w:eastAsia="Times New Roman" w:hAnsi="Times New Roman"/>
          <w:color w:val="2E2E2E"/>
          <w:sz w:val="24"/>
          <w:szCs w:val="24"/>
          <w:lang w:eastAsia="es-CL"/>
        </w:rPr>
        <w:t>y un control de exceso a la luz</w:t>
      </w:r>
      <w:r w:rsidRPr="002B3DAC">
        <w:rPr>
          <w:rFonts w:ascii="Times New Roman" w:eastAsia="Times New Roman" w:hAnsi="Times New Roman"/>
          <w:color w:val="2E2E2E"/>
          <w:sz w:val="24"/>
          <w:szCs w:val="24"/>
          <w:lang w:eastAsia="es-CL"/>
        </w:rPr>
        <w:t xml:space="preserve"> de </w:t>
      </w:r>
      <w:r w:rsidR="00D83427" w:rsidRPr="002B3DAC">
        <w:rPr>
          <w:rFonts w:ascii="Times New Roman" w:eastAsia="Times New Roman" w:hAnsi="Times New Roman"/>
          <w:color w:val="2E2E2E"/>
          <w:sz w:val="24"/>
          <w:szCs w:val="24"/>
          <w:lang w:eastAsia="es-CL"/>
        </w:rPr>
        <w:t xml:space="preserve">la </w:t>
      </w:r>
      <w:r w:rsidRPr="002B3DAC">
        <w:rPr>
          <w:rFonts w:ascii="Times New Roman" w:eastAsia="Times New Roman" w:hAnsi="Times New Roman"/>
          <w:color w:val="2E2E2E"/>
          <w:sz w:val="24"/>
          <w:szCs w:val="24"/>
          <w:lang w:eastAsia="es-CL"/>
        </w:rPr>
        <w:t xml:space="preserve">pena </w:t>
      </w:r>
      <w:r w:rsidR="00C75D67" w:rsidRPr="002B3DAC">
        <w:rPr>
          <w:rFonts w:ascii="Times New Roman" w:eastAsia="Times New Roman" w:hAnsi="Times New Roman"/>
          <w:sz w:val="24"/>
          <w:szCs w:val="24"/>
          <w:lang w:eastAsia="es-CL"/>
        </w:rPr>
        <w:t xml:space="preserve">probable a imponer en el caso de condena y la intensidad de la medida cautelar </w:t>
      </w:r>
      <w:r w:rsidR="0054271F" w:rsidRPr="002B3DAC">
        <w:rPr>
          <w:rFonts w:ascii="Times New Roman" w:eastAsia="Times New Roman" w:hAnsi="Times New Roman"/>
          <w:sz w:val="24"/>
          <w:szCs w:val="24"/>
          <w:lang w:eastAsia="es-CL"/>
        </w:rPr>
        <w:t xml:space="preserve">de </w:t>
      </w:r>
      <w:r w:rsidR="00747FDE" w:rsidRPr="002B3DAC">
        <w:rPr>
          <w:rFonts w:ascii="Times New Roman" w:eastAsia="Times New Roman" w:hAnsi="Times New Roman"/>
          <w:sz w:val="24"/>
          <w:szCs w:val="24"/>
          <w:lang w:eastAsia="es-CL"/>
        </w:rPr>
        <w:t xml:space="preserve">prisión preventiva </w:t>
      </w:r>
      <w:r w:rsidR="00C472A2" w:rsidRPr="002B3DAC">
        <w:rPr>
          <w:rFonts w:ascii="Times New Roman" w:eastAsia="Times New Roman" w:hAnsi="Times New Roman"/>
          <w:sz w:val="24"/>
          <w:szCs w:val="24"/>
          <w:lang w:eastAsia="es-CL"/>
        </w:rPr>
        <w:t>solicitada.</w:t>
      </w:r>
    </w:p>
    <w:p w14:paraId="6A721A34" w14:textId="77777777" w:rsidR="00024BF6" w:rsidRPr="002B3DAC" w:rsidRDefault="00024BF6" w:rsidP="00B87520">
      <w:pPr>
        <w:shd w:val="clear" w:color="auto" w:fill="FFFFFF"/>
        <w:spacing w:before="100" w:beforeAutospacing="1" w:after="100" w:afterAutospacing="1" w:line="240" w:lineRule="auto"/>
        <w:jc w:val="both"/>
        <w:rPr>
          <w:rFonts w:ascii="Times New Roman" w:eastAsia="Times New Roman" w:hAnsi="Times New Roman"/>
          <w:sz w:val="24"/>
          <w:szCs w:val="24"/>
          <w:lang w:eastAsia="es-CL"/>
        </w:rPr>
      </w:pPr>
    </w:p>
    <w:p w14:paraId="36643500" w14:textId="77777777" w:rsidR="0019587A" w:rsidRPr="002B3DAC" w:rsidRDefault="0019587A" w:rsidP="003671F3">
      <w:pPr>
        <w:pStyle w:val="Prrafodelista"/>
        <w:numPr>
          <w:ilvl w:val="0"/>
          <w:numId w:val="27"/>
        </w:numPr>
        <w:shd w:val="clear" w:color="auto" w:fill="FFFFFF"/>
        <w:spacing w:before="100" w:beforeAutospacing="1" w:after="100" w:afterAutospacing="1" w:line="240" w:lineRule="auto"/>
        <w:jc w:val="both"/>
        <w:rPr>
          <w:rFonts w:ascii="Times New Roman" w:hAnsi="Times New Roman"/>
          <w:b/>
          <w:bCs/>
          <w:sz w:val="24"/>
          <w:szCs w:val="24"/>
        </w:rPr>
      </w:pPr>
      <w:r w:rsidRPr="002B3DAC">
        <w:rPr>
          <w:rFonts w:ascii="Times New Roman" w:hAnsi="Times New Roman"/>
          <w:b/>
          <w:bCs/>
          <w:sz w:val="24"/>
          <w:szCs w:val="24"/>
        </w:rPr>
        <w:t>Modifíquese el artículo 140 de la siguiente forma:</w:t>
      </w:r>
    </w:p>
    <w:p w14:paraId="3D52215C" w14:textId="77777777" w:rsidR="0071407C" w:rsidRPr="002B3DAC" w:rsidRDefault="0071407C" w:rsidP="0071407C">
      <w:pPr>
        <w:pStyle w:val="Prrafodelista"/>
        <w:shd w:val="clear" w:color="auto" w:fill="FFFFFF"/>
        <w:spacing w:before="100" w:beforeAutospacing="1" w:after="100" w:afterAutospacing="1" w:line="240" w:lineRule="auto"/>
        <w:jc w:val="both"/>
        <w:rPr>
          <w:rFonts w:ascii="Times New Roman" w:hAnsi="Times New Roman"/>
          <w:b/>
          <w:bCs/>
          <w:sz w:val="24"/>
          <w:szCs w:val="24"/>
        </w:rPr>
      </w:pPr>
    </w:p>
    <w:p w14:paraId="12D69087" w14:textId="77777777" w:rsidR="0019587A" w:rsidRPr="002B3DAC" w:rsidRDefault="0019587A" w:rsidP="00024BF6">
      <w:pPr>
        <w:pStyle w:val="Prrafodelista"/>
        <w:shd w:val="clear" w:color="auto" w:fill="FFFFFF"/>
        <w:spacing w:before="100" w:beforeAutospacing="1" w:after="100" w:afterAutospacing="1" w:line="240" w:lineRule="auto"/>
        <w:rPr>
          <w:rFonts w:ascii="Times New Roman" w:hAnsi="Times New Roman"/>
          <w:b/>
          <w:bCs/>
          <w:sz w:val="24"/>
          <w:szCs w:val="24"/>
        </w:rPr>
      </w:pPr>
    </w:p>
    <w:p w14:paraId="4C73572B" w14:textId="77777777" w:rsidR="00C37FFA" w:rsidRPr="002B3DAC" w:rsidRDefault="003671F3" w:rsidP="00024BF6">
      <w:pPr>
        <w:pStyle w:val="Prrafodelista"/>
        <w:numPr>
          <w:ilvl w:val="0"/>
          <w:numId w:val="31"/>
        </w:numPr>
        <w:shd w:val="clear" w:color="auto" w:fill="FFFFFF"/>
        <w:tabs>
          <w:tab w:val="left" w:pos="567"/>
        </w:tabs>
        <w:spacing w:before="100" w:beforeAutospacing="1" w:after="100" w:afterAutospacing="1" w:line="240" w:lineRule="auto"/>
        <w:ind w:left="0" w:firstLine="0"/>
        <w:jc w:val="both"/>
        <w:rPr>
          <w:rFonts w:ascii="Times New Roman" w:hAnsi="Times New Roman"/>
          <w:b/>
          <w:bCs/>
          <w:sz w:val="24"/>
          <w:szCs w:val="24"/>
        </w:rPr>
      </w:pPr>
      <w:r w:rsidRPr="002B3DAC">
        <w:rPr>
          <w:rFonts w:ascii="Times New Roman" w:hAnsi="Times New Roman"/>
          <w:b/>
          <w:bCs/>
          <w:sz w:val="24"/>
          <w:szCs w:val="24"/>
        </w:rPr>
        <w:t xml:space="preserve">Agréguese </w:t>
      </w:r>
      <w:r w:rsidR="00CC7FD9" w:rsidRPr="002B3DAC">
        <w:rPr>
          <w:rFonts w:ascii="Times New Roman" w:hAnsi="Times New Roman"/>
          <w:b/>
          <w:bCs/>
          <w:sz w:val="24"/>
          <w:szCs w:val="24"/>
        </w:rPr>
        <w:t xml:space="preserve">en </w:t>
      </w:r>
      <w:r w:rsidR="00C37FFA" w:rsidRPr="002B3DAC">
        <w:rPr>
          <w:rFonts w:ascii="Times New Roman" w:hAnsi="Times New Roman"/>
          <w:b/>
          <w:bCs/>
          <w:sz w:val="24"/>
          <w:szCs w:val="24"/>
        </w:rPr>
        <w:t>la letra a) del inciso primero del artículo 140</w:t>
      </w:r>
      <w:r w:rsidR="0041382D" w:rsidRPr="002B3DAC">
        <w:rPr>
          <w:rFonts w:ascii="Times New Roman" w:hAnsi="Times New Roman"/>
          <w:b/>
          <w:bCs/>
          <w:sz w:val="24"/>
          <w:szCs w:val="24"/>
        </w:rPr>
        <w:t>, entre las palabras</w:t>
      </w:r>
      <w:r w:rsidR="00024BF6" w:rsidRPr="002B3DAC">
        <w:rPr>
          <w:rFonts w:ascii="Times New Roman" w:hAnsi="Times New Roman"/>
          <w:b/>
          <w:bCs/>
          <w:sz w:val="24"/>
          <w:szCs w:val="24"/>
        </w:rPr>
        <w:t xml:space="preserve"> </w:t>
      </w:r>
      <w:r w:rsidR="0041382D" w:rsidRPr="002B3DAC">
        <w:rPr>
          <w:rFonts w:ascii="Times New Roman" w:hAnsi="Times New Roman"/>
          <w:b/>
          <w:bCs/>
          <w:sz w:val="24"/>
          <w:szCs w:val="24"/>
        </w:rPr>
        <w:t>“antecedentes” y “que justificaren”, las</w:t>
      </w:r>
      <w:r w:rsidR="003F358D" w:rsidRPr="002B3DAC">
        <w:rPr>
          <w:rFonts w:ascii="Times New Roman" w:hAnsi="Times New Roman"/>
          <w:b/>
          <w:bCs/>
          <w:sz w:val="24"/>
          <w:szCs w:val="24"/>
        </w:rPr>
        <w:t xml:space="preserve"> siguientes expresiones:</w:t>
      </w:r>
    </w:p>
    <w:p w14:paraId="7FE3FB70" w14:textId="77777777" w:rsidR="003F358D" w:rsidRPr="002B3DAC" w:rsidRDefault="003F358D" w:rsidP="00E939DD">
      <w:pPr>
        <w:pStyle w:val="Prrafodelista"/>
        <w:shd w:val="clear" w:color="auto" w:fill="FFFFFF"/>
        <w:spacing w:before="100" w:beforeAutospacing="1" w:after="100" w:afterAutospacing="1" w:line="240" w:lineRule="auto"/>
        <w:ind w:left="0"/>
        <w:jc w:val="both"/>
        <w:rPr>
          <w:rFonts w:ascii="Times New Roman" w:hAnsi="Times New Roman"/>
          <w:b/>
          <w:bCs/>
          <w:sz w:val="24"/>
          <w:szCs w:val="24"/>
        </w:rPr>
      </w:pPr>
    </w:p>
    <w:p w14:paraId="6831EA53" w14:textId="77777777" w:rsidR="00B01CC4" w:rsidRPr="002B3DAC" w:rsidRDefault="003F358D" w:rsidP="00E939DD">
      <w:pPr>
        <w:pStyle w:val="Prrafodelista"/>
        <w:shd w:val="clear" w:color="auto" w:fill="FFFFFF"/>
        <w:spacing w:before="100" w:beforeAutospacing="1" w:after="100" w:afterAutospacing="1" w:line="240" w:lineRule="auto"/>
        <w:ind w:left="0"/>
        <w:jc w:val="both"/>
        <w:rPr>
          <w:rFonts w:ascii="Times New Roman" w:eastAsia="Times New Roman" w:hAnsi="Times New Roman"/>
          <w:color w:val="2E2E2E"/>
          <w:sz w:val="24"/>
          <w:szCs w:val="24"/>
          <w:lang w:eastAsia="es-CL"/>
        </w:rPr>
      </w:pPr>
      <w:r w:rsidRPr="002B3DAC">
        <w:rPr>
          <w:rFonts w:ascii="Times New Roman" w:eastAsia="Times New Roman" w:hAnsi="Times New Roman"/>
          <w:color w:val="2E2E2E"/>
          <w:sz w:val="24"/>
          <w:szCs w:val="24"/>
          <w:lang w:eastAsia="es-CL"/>
        </w:rPr>
        <w:t>“</w:t>
      </w:r>
      <w:r w:rsidR="003E2A9A" w:rsidRPr="002B3DAC">
        <w:rPr>
          <w:rFonts w:ascii="Times New Roman" w:eastAsia="Times New Roman" w:hAnsi="Times New Roman"/>
          <w:color w:val="2E2E2E"/>
          <w:sz w:val="24"/>
          <w:szCs w:val="24"/>
          <w:lang w:eastAsia="es-CL"/>
        </w:rPr>
        <w:t xml:space="preserve">objetivos, </w:t>
      </w:r>
      <w:r w:rsidRPr="002B3DAC">
        <w:rPr>
          <w:rFonts w:ascii="Times New Roman" w:eastAsia="Times New Roman" w:hAnsi="Times New Roman"/>
          <w:color w:val="2E2E2E"/>
          <w:sz w:val="24"/>
          <w:szCs w:val="24"/>
          <w:lang w:eastAsia="es-CL"/>
        </w:rPr>
        <w:t>concretos, claros, precisos, y variados”</w:t>
      </w:r>
      <w:r w:rsidR="00024BF6" w:rsidRPr="002B3DAC">
        <w:rPr>
          <w:rFonts w:ascii="Times New Roman" w:eastAsia="Times New Roman" w:hAnsi="Times New Roman"/>
          <w:color w:val="2E2E2E"/>
          <w:sz w:val="24"/>
          <w:szCs w:val="24"/>
          <w:lang w:eastAsia="es-CL"/>
        </w:rPr>
        <w:t>.</w:t>
      </w:r>
    </w:p>
    <w:p w14:paraId="5DF76F0E" w14:textId="77777777" w:rsidR="00024BF6" w:rsidRPr="002B3DAC" w:rsidRDefault="00024BF6" w:rsidP="00E939DD">
      <w:pPr>
        <w:pStyle w:val="Prrafodelista"/>
        <w:shd w:val="clear" w:color="auto" w:fill="FFFFFF"/>
        <w:spacing w:before="100" w:beforeAutospacing="1" w:after="100" w:afterAutospacing="1" w:line="240" w:lineRule="auto"/>
        <w:ind w:left="0"/>
        <w:jc w:val="both"/>
        <w:rPr>
          <w:rFonts w:ascii="Times New Roman" w:eastAsia="Times New Roman" w:hAnsi="Times New Roman"/>
          <w:color w:val="2E2E2E"/>
          <w:sz w:val="24"/>
          <w:szCs w:val="24"/>
          <w:lang w:eastAsia="es-CL"/>
        </w:rPr>
      </w:pPr>
    </w:p>
    <w:p w14:paraId="786C646B" w14:textId="77777777" w:rsidR="00B01CC4" w:rsidRPr="002B3DAC" w:rsidRDefault="00B01CC4" w:rsidP="00E939DD">
      <w:pPr>
        <w:pStyle w:val="Prrafodelista"/>
        <w:shd w:val="clear" w:color="auto" w:fill="FFFFFF"/>
        <w:spacing w:before="100" w:beforeAutospacing="1" w:after="100" w:afterAutospacing="1" w:line="240" w:lineRule="auto"/>
        <w:ind w:left="0"/>
        <w:jc w:val="both"/>
        <w:rPr>
          <w:rFonts w:ascii="Times New Roman" w:eastAsia="Times New Roman" w:hAnsi="Times New Roman"/>
          <w:color w:val="2E2E2E"/>
          <w:sz w:val="24"/>
          <w:szCs w:val="24"/>
          <w:lang w:eastAsia="es-CL"/>
        </w:rPr>
      </w:pPr>
    </w:p>
    <w:p w14:paraId="71555222" w14:textId="77777777" w:rsidR="00B01CC4" w:rsidRPr="002B3DAC" w:rsidRDefault="00DE5F78" w:rsidP="00E939DD">
      <w:pPr>
        <w:pStyle w:val="Prrafodelista"/>
        <w:numPr>
          <w:ilvl w:val="0"/>
          <w:numId w:val="31"/>
        </w:numPr>
        <w:shd w:val="clear" w:color="auto" w:fill="FFFFFF"/>
        <w:spacing w:before="100" w:beforeAutospacing="1" w:after="100" w:afterAutospacing="1" w:line="240" w:lineRule="auto"/>
        <w:ind w:left="0" w:firstLine="0"/>
        <w:jc w:val="both"/>
        <w:rPr>
          <w:rFonts w:ascii="Times New Roman" w:hAnsi="Times New Roman"/>
          <w:b/>
          <w:bCs/>
          <w:sz w:val="24"/>
          <w:szCs w:val="24"/>
        </w:rPr>
      </w:pPr>
      <w:r w:rsidRPr="002B3DAC">
        <w:rPr>
          <w:rFonts w:ascii="Times New Roman" w:hAnsi="Times New Roman"/>
          <w:b/>
          <w:bCs/>
          <w:sz w:val="24"/>
          <w:szCs w:val="24"/>
        </w:rPr>
        <w:t xml:space="preserve">Sustituir </w:t>
      </w:r>
      <w:r w:rsidR="007C1D0A" w:rsidRPr="002B3DAC">
        <w:rPr>
          <w:rFonts w:ascii="Times New Roman" w:hAnsi="Times New Roman"/>
          <w:b/>
          <w:bCs/>
          <w:sz w:val="24"/>
          <w:szCs w:val="24"/>
        </w:rPr>
        <w:t xml:space="preserve">en la letra b) del inciso primero del artículo 140 </w:t>
      </w:r>
      <w:r w:rsidRPr="002B3DAC">
        <w:rPr>
          <w:rFonts w:ascii="Times New Roman" w:hAnsi="Times New Roman"/>
          <w:b/>
          <w:bCs/>
          <w:sz w:val="24"/>
          <w:szCs w:val="24"/>
        </w:rPr>
        <w:t xml:space="preserve">la palabra “antecedentes” por la siguiente frase: </w:t>
      </w:r>
    </w:p>
    <w:p w14:paraId="713CC687" w14:textId="77777777" w:rsidR="00024BF6" w:rsidRPr="002B3DAC" w:rsidRDefault="00DE5F78" w:rsidP="00C60AAA">
      <w:pPr>
        <w:shd w:val="clear" w:color="auto" w:fill="FFFFFF"/>
        <w:spacing w:before="100" w:beforeAutospacing="1" w:after="100" w:afterAutospacing="1" w:line="240" w:lineRule="auto"/>
        <w:jc w:val="both"/>
        <w:rPr>
          <w:rFonts w:ascii="Times New Roman" w:eastAsia="Times New Roman" w:hAnsi="Times New Roman"/>
          <w:color w:val="2E2E2E"/>
          <w:sz w:val="24"/>
          <w:szCs w:val="24"/>
          <w:lang w:eastAsia="es-CL"/>
        </w:rPr>
      </w:pPr>
      <w:r w:rsidRPr="002B3DAC">
        <w:rPr>
          <w:rFonts w:ascii="Times New Roman" w:hAnsi="Times New Roman"/>
          <w:b/>
          <w:bCs/>
          <w:sz w:val="24"/>
          <w:szCs w:val="24"/>
        </w:rPr>
        <w:t>“</w:t>
      </w:r>
      <w:r w:rsidR="00B01CC4" w:rsidRPr="002B3DAC">
        <w:rPr>
          <w:rFonts w:ascii="Times New Roman" w:hAnsi="Times New Roman"/>
          <w:sz w:val="24"/>
          <w:szCs w:val="24"/>
        </w:rPr>
        <w:t>va</w:t>
      </w:r>
      <w:r w:rsidR="00DF5ED6" w:rsidRPr="002B3DAC">
        <w:rPr>
          <w:rFonts w:ascii="Times New Roman" w:hAnsi="Times New Roman"/>
          <w:sz w:val="24"/>
          <w:szCs w:val="24"/>
        </w:rPr>
        <w:t>riados antecedentes de calidad</w:t>
      </w:r>
      <w:r w:rsidR="00B01CC4" w:rsidRPr="002B3DAC">
        <w:rPr>
          <w:rFonts w:ascii="Times New Roman" w:hAnsi="Times New Roman"/>
          <w:sz w:val="24"/>
          <w:szCs w:val="24"/>
        </w:rPr>
        <w:t xml:space="preserve">, es decir, objetivos, </w:t>
      </w:r>
      <w:r w:rsidR="00B01CC4" w:rsidRPr="002B3DAC">
        <w:rPr>
          <w:rFonts w:ascii="Times New Roman" w:eastAsia="Times New Roman" w:hAnsi="Times New Roman"/>
          <w:color w:val="2E2E2E"/>
          <w:sz w:val="24"/>
          <w:szCs w:val="24"/>
          <w:lang w:eastAsia="es-CL"/>
        </w:rPr>
        <w:t>concretos, claros y precisos</w:t>
      </w:r>
      <w:r w:rsidR="00B01CC4" w:rsidRPr="002B3DAC">
        <w:rPr>
          <w:rFonts w:ascii="Times New Roman" w:hAnsi="Times New Roman"/>
          <w:sz w:val="24"/>
          <w:szCs w:val="24"/>
        </w:rPr>
        <w:t xml:space="preserve"> que integrados de modo coherente</w:t>
      </w:r>
      <w:r w:rsidR="00F91DB2" w:rsidRPr="002B3DAC">
        <w:rPr>
          <w:rFonts w:ascii="Times New Roman" w:hAnsi="Times New Roman"/>
          <w:sz w:val="24"/>
          <w:szCs w:val="24"/>
        </w:rPr>
        <w:t xml:space="preserve"> con una versión preliminar de los hechos</w:t>
      </w:r>
      <w:r w:rsidR="00B01CC4" w:rsidRPr="002B3DAC">
        <w:rPr>
          <w:rFonts w:ascii="Times New Roman" w:eastAsia="Times New Roman" w:hAnsi="Times New Roman"/>
          <w:color w:val="2E2E2E"/>
          <w:sz w:val="24"/>
          <w:szCs w:val="24"/>
          <w:lang w:eastAsia="es-CL"/>
        </w:rPr>
        <w:t>”</w:t>
      </w:r>
      <w:r w:rsidR="00024BF6" w:rsidRPr="002B3DAC">
        <w:rPr>
          <w:rFonts w:ascii="Times New Roman" w:eastAsia="Times New Roman" w:hAnsi="Times New Roman"/>
          <w:color w:val="2E2E2E"/>
          <w:sz w:val="24"/>
          <w:szCs w:val="24"/>
          <w:lang w:eastAsia="es-CL"/>
        </w:rPr>
        <w:t>.</w:t>
      </w:r>
    </w:p>
    <w:p w14:paraId="439923B3" w14:textId="77777777" w:rsidR="00CC7FD9" w:rsidRPr="002B3DAC" w:rsidRDefault="00B01CC4" w:rsidP="00C60AAA">
      <w:pPr>
        <w:shd w:val="clear" w:color="auto" w:fill="FFFFFF"/>
        <w:spacing w:before="100" w:beforeAutospacing="1" w:after="100" w:afterAutospacing="1" w:line="240" w:lineRule="auto"/>
        <w:jc w:val="both"/>
        <w:rPr>
          <w:rFonts w:ascii="Times New Roman" w:eastAsia="Times New Roman" w:hAnsi="Times New Roman"/>
          <w:color w:val="2E2E2E"/>
          <w:sz w:val="24"/>
          <w:szCs w:val="24"/>
          <w:lang w:eastAsia="es-CL"/>
        </w:rPr>
      </w:pPr>
      <w:r w:rsidRPr="002B3DAC">
        <w:rPr>
          <w:rFonts w:ascii="Times New Roman" w:eastAsia="Times New Roman" w:hAnsi="Times New Roman"/>
          <w:color w:val="2E2E2E"/>
          <w:sz w:val="24"/>
          <w:szCs w:val="24"/>
          <w:lang w:eastAsia="es-CL"/>
        </w:rPr>
        <w:t xml:space="preserve"> </w:t>
      </w:r>
    </w:p>
    <w:p w14:paraId="64FB7134" w14:textId="77777777" w:rsidR="00CC7FD9" w:rsidRPr="002B3DAC" w:rsidRDefault="00CC7FD9" w:rsidP="00E939DD">
      <w:pPr>
        <w:pStyle w:val="Prrafodelista"/>
        <w:numPr>
          <w:ilvl w:val="0"/>
          <w:numId w:val="31"/>
        </w:numPr>
        <w:shd w:val="clear" w:color="auto" w:fill="FFFFFF"/>
        <w:spacing w:before="100" w:beforeAutospacing="1" w:after="100" w:afterAutospacing="1" w:line="240" w:lineRule="auto"/>
        <w:ind w:left="0" w:firstLine="0"/>
        <w:jc w:val="both"/>
        <w:rPr>
          <w:rFonts w:ascii="Times New Roman" w:hAnsi="Times New Roman"/>
          <w:b/>
          <w:bCs/>
          <w:sz w:val="24"/>
          <w:szCs w:val="24"/>
        </w:rPr>
      </w:pPr>
      <w:r w:rsidRPr="002B3DAC">
        <w:rPr>
          <w:rFonts w:ascii="Times New Roman" w:hAnsi="Times New Roman"/>
          <w:b/>
          <w:bCs/>
          <w:sz w:val="24"/>
          <w:szCs w:val="24"/>
        </w:rPr>
        <w:t xml:space="preserve">Agréguese </w:t>
      </w:r>
      <w:r w:rsidR="00B01CC4" w:rsidRPr="002B3DAC">
        <w:rPr>
          <w:rFonts w:ascii="Times New Roman" w:hAnsi="Times New Roman"/>
          <w:b/>
          <w:bCs/>
          <w:sz w:val="24"/>
          <w:szCs w:val="24"/>
        </w:rPr>
        <w:t>en la letra c) del inciso primero del artículo 140 entre la</w:t>
      </w:r>
      <w:r w:rsidR="00C92742" w:rsidRPr="002B3DAC">
        <w:rPr>
          <w:rFonts w:ascii="Times New Roman" w:hAnsi="Times New Roman"/>
          <w:b/>
          <w:bCs/>
          <w:sz w:val="24"/>
          <w:szCs w:val="24"/>
        </w:rPr>
        <w:t>s</w:t>
      </w:r>
      <w:r w:rsidR="00B01CC4" w:rsidRPr="002B3DAC">
        <w:rPr>
          <w:rFonts w:ascii="Times New Roman" w:hAnsi="Times New Roman"/>
          <w:b/>
          <w:bCs/>
          <w:sz w:val="24"/>
          <w:szCs w:val="24"/>
        </w:rPr>
        <w:t xml:space="preserve"> palabra</w:t>
      </w:r>
      <w:r w:rsidR="00C92742" w:rsidRPr="002B3DAC">
        <w:rPr>
          <w:rFonts w:ascii="Times New Roman" w:hAnsi="Times New Roman"/>
          <w:b/>
          <w:bCs/>
          <w:sz w:val="24"/>
          <w:szCs w:val="24"/>
        </w:rPr>
        <w:t xml:space="preserve">s </w:t>
      </w:r>
      <w:r w:rsidR="00B01CC4" w:rsidRPr="002B3DAC">
        <w:rPr>
          <w:rFonts w:ascii="Times New Roman" w:hAnsi="Times New Roman"/>
          <w:b/>
          <w:bCs/>
          <w:sz w:val="24"/>
          <w:szCs w:val="24"/>
        </w:rPr>
        <w:t>“que” y la “la prisión”</w:t>
      </w:r>
      <w:r w:rsidR="00C92742" w:rsidRPr="002B3DAC">
        <w:rPr>
          <w:rFonts w:ascii="Times New Roman" w:hAnsi="Times New Roman"/>
          <w:b/>
          <w:bCs/>
          <w:sz w:val="24"/>
          <w:szCs w:val="24"/>
        </w:rPr>
        <w:t>, la siguiente frase:</w:t>
      </w:r>
    </w:p>
    <w:p w14:paraId="1D32B64D" w14:textId="77777777" w:rsidR="000D6F50" w:rsidRPr="002B3DAC" w:rsidRDefault="0019587A" w:rsidP="0071407C">
      <w:pPr>
        <w:shd w:val="clear" w:color="auto" w:fill="FFFFFF"/>
        <w:spacing w:before="100" w:beforeAutospacing="1" w:after="0" w:line="240" w:lineRule="auto"/>
        <w:jc w:val="both"/>
        <w:rPr>
          <w:rFonts w:ascii="Times New Roman" w:hAnsi="Times New Roman"/>
          <w:sz w:val="24"/>
          <w:szCs w:val="24"/>
        </w:rPr>
      </w:pPr>
      <w:r w:rsidRPr="002B3DAC">
        <w:rPr>
          <w:rFonts w:ascii="Times New Roman" w:hAnsi="Times New Roman"/>
          <w:sz w:val="24"/>
          <w:szCs w:val="24"/>
        </w:rPr>
        <w:t xml:space="preserve"> </w:t>
      </w:r>
      <w:r w:rsidR="007B7B47" w:rsidRPr="002B3DAC">
        <w:rPr>
          <w:rFonts w:ascii="Times New Roman" w:hAnsi="Times New Roman"/>
          <w:sz w:val="24"/>
          <w:szCs w:val="24"/>
        </w:rPr>
        <w:t>“</w:t>
      </w:r>
      <w:r w:rsidR="00B01CC4" w:rsidRPr="002B3DAC">
        <w:rPr>
          <w:rFonts w:ascii="Times New Roman" w:hAnsi="Times New Roman"/>
          <w:sz w:val="24"/>
          <w:szCs w:val="24"/>
        </w:rPr>
        <w:t>atendidas las especiales circunstancias del caso que se juzga</w:t>
      </w:r>
      <w:r w:rsidR="00C92742" w:rsidRPr="002B3DAC">
        <w:rPr>
          <w:rFonts w:ascii="Times New Roman" w:hAnsi="Times New Roman"/>
          <w:sz w:val="24"/>
          <w:szCs w:val="24"/>
        </w:rPr>
        <w:t xml:space="preserve"> concretamente </w:t>
      </w:r>
      <w:r w:rsidR="007B7B47" w:rsidRPr="002B3DAC">
        <w:rPr>
          <w:rFonts w:ascii="Times New Roman" w:hAnsi="Times New Roman"/>
          <w:sz w:val="24"/>
          <w:szCs w:val="24"/>
        </w:rPr>
        <w:t>descritas y fundadas</w:t>
      </w:r>
      <w:r w:rsidR="00C92742" w:rsidRPr="002B3DAC">
        <w:rPr>
          <w:rFonts w:ascii="Times New Roman" w:hAnsi="Times New Roman"/>
          <w:sz w:val="24"/>
          <w:szCs w:val="24"/>
        </w:rPr>
        <w:t xml:space="preserve"> </w:t>
      </w:r>
      <w:r w:rsidR="007B7B47" w:rsidRPr="002B3DAC">
        <w:rPr>
          <w:rFonts w:ascii="Times New Roman" w:hAnsi="Times New Roman"/>
          <w:sz w:val="24"/>
          <w:szCs w:val="24"/>
        </w:rPr>
        <w:t>por el juzgador”</w:t>
      </w:r>
      <w:r w:rsidR="0071407C" w:rsidRPr="002B3DAC">
        <w:rPr>
          <w:rFonts w:ascii="Times New Roman" w:hAnsi="Times New Roman"/>
          <w:sz w:val="24"/>
          <w:szCs w:val="24"/>
        </w:rPr>
        <w:t>.</w:t>
      </w:r>
      <w:r w:rsidR="00B01CC4" w:rsidRPr="002B3DAC">
        <w:rPr>
          <w:rFonts w:ascii="Times New Roman" w:hAnsi="Times New Roman"/>
          <w:sz w:val="24"/>
          <w:szCs w:val="24"/>
        </w:rPr>
        <w:t xml:space="preserve">  </w:t>
      </w:r>
    </w:p>
    <w:p w14:paraId="3D887CB8" w14:textId="77777777" w:rsidR="0071407C" w:rsidRPr="002B3DAC" w:rsidRDefault="0071407C" w:rsidP="00E939DD">
      <w:pPr>
        <w:shd w:val="clear" w:color="auto" w:fill="FFFFFF"/>
        <w:spacing w:before="100" w:beforeAutospacing="1" w:after="100" w:afterAutospacing="1" w:line="240" w:lineRule="auto"/>
        <w:jc w:val="both"/>
        <w:rPr>
          <w:rFonts w:ascii="Times New Roman" w:hAnsi="Times New Roman"/>
          <w:sz w:val="24"/>
          <w:szCs w:val="24"/>
        </w:rPr>
      </w:pPr>
    </w:p>
    <w:p w14:paraId="38256308" w14:textId="77777777" w:rsidR="0071407C" w:rsidRPr="002B3DAC" w:rsidRDefault="00392800" w:rsidP="0071407C">
      <w:pPr>
        <w:pStyle w:val="Prrafodelista"/>
        <w:numPr>
          <w:ilvl w:val="0"/>
          <w:numId w:val="40"/>
        </w:numPr>
        <w:shd w:val="clear" w:color="auto" w:fill="FFFFFF"/>
        <w:spacing w:before="100" w:beforeAutospacing="1" w:after="100" w:afterAutospacing="1" w:line="240" w:lineRule="auto"/>
        <w:ind w:left="0" w:firstLine="0"/>
        <w:jc w:val="both"/>
        <w:rPr>
          <w:rFonts w:ascii="Times New Roman" w:hAnsi="Times New Roman"/>
          <w:b/>
          <w:bCs/>
          <w:sz w:val="24"/>
          <w:szCs w:val="24"/>
        </w:rPr>
      </w:pPr>
      <w:r w:rsidRPr="002B3DAC">
        <w:rPr>
          <w:rFonts w:ascii="Times New Roman" w:hAnsi="Times New Roman"/>
          <w:b/>
          <w:bCs/>
          <w:sz w:val="24"/>
          <w:szCs w:val="24"/>
        </w:rPr>
        <w:t xml:space="preserve"> Sustitúyase en la letra c) del inciso primero del artículo 140 la frase </w:t>
      </w:r>
      <w:r w:rsidRPr="002B3DAC">
        <w:rPr>
          <w:rFonts w:ascii="Times New Roman" w:hAnsi="Times New Roman"/>
          <w:sz w:val="24"/>
          <w:szCs w:val="24"/>
        </w:rPr>
        <w:t>“o del ofendido, o que existe “, por la siguiente: “por existir riesgo”</w:t>
      </w:r>
      <w:r w:rsidR="0071407C" w:rsidRPr="002B3DAC">
        <w:rPr>
          <w:rFonts w:ascii="Times New Roman" w:hAnsi="Times New Roman"/>
          <w:sz w:val="24"/>
          <w:szCs w:val="24"/>
        </w:rPr>
        <w:t>.</w:t>
      </w:r>
    </w:p>
    <w:p w14:paraId="0D54E8A0" w14:textId="77777777" w:rsidR="0071407C" w:rsidRPr="002B3DAC" w:rsidRDefault="0071407C" w:rsidP="0071407C">
      <w:pPr>
        <w:pStyle w:val="Prrafodelista"/>
        <w:shd w:val="clear" w:color="auto" w:fill="FFFFFF"/>
        <w:spacing w:before="100" w:beforeAutospacing="1" w:after="100" w:afterAutospacing="1" w:line="240" w:lineRule="auto"/>
        <w:ind w:left="0"/>
        <w:jc w:val="both"/>
        <w:rPr>
          <w:rFonts w:ascii="Times New Roman" w:hAnsi="Times New Roman"/>
          <w:b/>
          <w:bCs/>
          <w:sz w:val="24"/>
          <w:szCs w:val="24"/>
        </w:rPr>
      </w:pPr>
    </w:p>
    <w:p w14:paraId="0D6CF6E1" w14:textId="77777777" w:rsidR="00392800" w:rsidRPr="002B3DAC" w:rsidRDefault="00392800" w:rsidP="00392800">
      <w:pPr>
        <w:pStyle w:val="Prrafodelista"/>
        <w:shd w:val="clear" w:color="auto" w:fill="FFFFFF"/>
        <w:spacing w:before="100" w:beforeAutospacing="1" w:after="100" w:afterAutospacing="1" w:line="240" w:lineRule="auto"/>
        <w:jc w:val="both"/>
        <w:rPr>
          <w:rFonts w:ascii="Times New Roman" w:hAnsi="Times New Roman"/>
          <w:b/>
          <w:bCs/>
          <w:sz w:val="24"/>
          <w:szCs w:val="24"/>
        </w:rPr>
      </w:pPr>
    </w:p>
    <w:p w14:paraId="2847C46C" w14:textId="77777777" w:rsidR="00024BF6" w:rsidRPr="002B3DAC" w:rsidRDefault="00024BF6" w:rsidP="00392800">
      <w:pPr>
        <w:pStyle w:val="Prrafodelista"/>
        <w:shd w:val="clear" w:color="auto" w:fill="FFFFFF"/>
        <w:spacing w:before="100" w:beforeAutospacing="1" w:after="100" w:afterAutospacing="1" w:line="240" w:lineRule="auto"/>
        <w:jc w:val="both"/>
        <w:rPr>
          <w:rFonts w:ascii="Times New Roman" w:hAnsi="Times New Roman"/>
          <w:b/>
          <w:bCs/>
          <w:sz w:val="24"/>
          <w:szCs w:val="24"/>
        </w:rPr>
      </w:pPr>
    </w:p>
    <w:p w14:paraId="64471CED" w14:textId="77777777" w:rsidR="008F5877" w:rsidRPr="002B3DAC" w:rsidRDefault="00392800" w:rsidP="0071407C">
      <w:pPr>
        <w:pStyle w:val="Prrafodelista"/>
        <w:numPr>
          <w:ilvl w:val="0"/>
          <w:numId w:val="40"/>
        </w:numPr>
        <w:shd w:val="clear" w:color="auto" w:fill="FFFFFF"/>
        <w:spacing w:before="100" w:beforeAutospacing="1" w:after="100" w:afterAutospacing="1" w:line="240" w:lineRule="auto"/>
        <w:ind w:left="0" w:firstLine="0"/>
        <w:jc w:val="both"/>
        <w:rPr>
          <w:rFonts w:ascii="Times New Roman" w:hAnsi="Times New Roman"/>
          <w:b/>
          <w:bCs/>
          <w:sz w:val="24"/>
          <w:szCs w:val="24"/>
        </w:rPr>
      </w:pPr>
      <w:r w:rsidRPr="002B3DAC">
        <w:rPr>
          <w:rFonts w:ascii="Times New Roman" w:hAnsi="Times New Roman"/>
          <w:b/>
          <w:bCs/>
          <w:sz w:val="24"/>
          <w:szCs w:val="24"/>
        </w:rPr>
        <w:t xml:space="preserve">Agréguese en la letra c) del inciso primero del artículo 140 entre las palabras “fuga” y “conforme”, la siguiente frase: </w:t>
      </w:r>
      <w:r w:rsidRPr="002B3DAC">
        <w:rPr>
          <w:rFonts w:ascii="Times New Roman" w:hAnsi="Times New Roman"/>
          <w:sz w:val="24"/>
          <w:szCs w:val="24"/>
        </w:rPr>
        <w:t>“o para la seguridad del ofendido”</w:t>
      </w:r>
      <w:r w:rsidR="008F5877" w:rsidRPr="002B3DAC">
        <w:rPr>
          <w:rFonts w:ascii="Times New Roman" w:hAnsi="Times New Roman"/>
          <w:sz w:val="24"/>
          <w:szCs w:val="24"/>
        </w:rPr>
        <w:t>.</w:t>
      </w:r>
    </w:p>
    <w:p w14:paraId="172DAB0F" w14:textId="77777777" w:rsidR="0071407C" w:rsidRPr="002B3DAC" w:rsidRDefault="0071407C" w:rsidP="0071407C">
      <w:pPr>
        <w:pStyle w:val="Prrafodelista"/>
        <w:shd w:val="clear" w:color="auto" w:fill="FFFFFF"/>
        <w:spacing w:before="100" w:beforeAutospacing="1" w:after="100" w:afterAutospacing="1" w:line="240" w:lineRule="auto"/>
        <w:ind w:left="0"/>
        <w:jc w:val="both"/>
        <w:rPr>
          <w:rFonts w:ascii="Times New Roman" w:hAnsi="Times New Roman"/>
          <w:b/>
          <w:bCs/>
          <w:sz w:val="24"/>
          <w:szCs w:val="24"/>
        </w:rPr>
      </w:pPr>
    </w:p>
    <w:p w14:paraId="4E0814B2" w14:textId="77777777" w:rsidR="008F5877" w:rsidRPr="002B3DAC" w:rsidRDefault="008F5877" w:rsidP="008F5877">
      <w:pPr>
        <w:pStyle w:val="Prrafodelista"/>
        <w:rPr>
          <w:rFonts w:ascii="Times New Roman" w:hAnsi="Times New Roman"/>
          <w:b/>
          <w:bCs/>
          <w:sz w:val="24"/>
          <w:szCs w:val="24"/>
        </w:rPr>
      </w:pPr>
    </w:p>
    <w:p w14:paraId="270EDDFC" w14:textId="77777777" w:rsidR="00C91F00" w:rsidRPr="002B3DAC" w:rsidRDefault="008F5877" w:rsidP="0071407C">
      <w:pPr>
        <w:pStyle w:val="Prrafodelista"/>
        <w:numPr>
          <w:ilvl w:val="0"/>
          <w:numId w:val="40"/>
        </w:numPr>
        <w:shd w:val="clear" w:color="auto" w:fill="FFFFFF"/>
        <w:spacing w:before="100" w:beforeAutospacing="1" w:after="100" w:afterAutospacing="1" w:line="240" w:lineRule="auto"/>
        <w:ind w:left="0" w:firstLine="0"/>
        <w:jc w:val="both"/>
        <w:rPr>
          <w:rFonts w:ascii="Times New Roman" w:hAnsi="Times New Roman"/>
          <w:b/>
          <w:bCs/>
          <w:sz w:val="24"/>
          <w:szCs w:val="24"/>
        </w:rPr>
      </w:pPr>
      <w:r w:rsidRPr="002B3DAC">
        <w:rPr>
          <w:rFonts w:ascii="Times New Roman" w:hAnsi="Times New Roman"/>
          <w:b/>
          <w:bCs/>
          <w:sz w:val="24"/>
          <w:szCs w:val="24"/>
        </w:rPr>
        <w:t xml:space="preserve">Sustitúyase </w:t>
      </w:r>
      <w:r w:rsidR="00C91F00" w:rsidRPr="002B3DAC">
        <w:rPr>
          <w:rFonts w:ascii="Times New Roman" w:hAnsi="Times New Roman"/>
          <w:b/>
          <w:bCs/>
          <w:sz w:val="24"/>
          <w:szCs w:val="24"/>
        </w:rPr>
        <w:t>en</w:t>
      </w:r>
      <w:r w:rsidRPr="002B3DAC">
        <w:rPr>
          <w:rFonts w:ascii="Times New Roman" w:hAnsi="Times New Roman"/>
          <w:b/>
          <w:bCs/>
          <w:sz w:val="24"/>
          <w:szCs w:val="24"/>
        </w:rPr>
        <w:t xml:space="preserve"> el inciso </w:t>
      </w:r>
      <w:r w:rsidR="00C91F00" w:rsidRPr="002B3DAC">
        <w:rPr>
          <w:rFonts w:ascii="Times New Roman" w:hAnsi="Times New Roman"/>
          <w:b/>
          <w:bCs/>
          <w:sz w:val="24"/>
          <w:szCs w:val="24"/>
        </w:rPr>
        <w:t xml:space="preserve">tercero </w:t>
      </w:r>
      <w:r w:rsidRPr="002B3DAC">
        <w:rPr>
          <w:rFonts w:ascii="Times New Roman" w:hAnsi="Times New Roman"/>
          <w:b/>
          <w:bCs/>
          <w:sz w:val="24"/>
          <w:szCs w:val="24"/>
        </w:rPr>
        <w:t xml:space="preserve">del artículo 140 la frase </w:t>
      </w:r>
      <w:r w:rsidRPr="002B3DAC">
        <w:rPr>
          <w:rFonts w:ascii="Times New Roman" w:hAnsi="Times New Roman"/>
          <w:sz w:val="24"/>
          <w:szCs w:val="24"/>
        </w:rPr>
        <w:t>“</w:t>
      </w:r>
      <w:r w:rsidRPr="002B3DAC">
        <w:rPr>
          <w:rFonts w:ascii="Times New Roman" w:hAnsi="Times New Roman"/>
          <w:color w:val="333333"/>
          <w:sz w:val="24"/>
          <w:szCs w:val="24"/>
        </w:rPr>
        <w:t>resulta o no peligrosa para la seguridad de la sociedad</w:t>
      </w:r>
      <w:r w:rsidRPr="002B3DAC">
        <w:rPr>
          <w:rFonts w:ascii="Times New Roman" w:hAnsi="Times New Roman"/>
          <w:sz w:val="24"/>
          <w:szCs w:val="24"/>
        </w:rPr>
        <w:t xml:space="preserve"> “, por la siguiente: </w:t>
      </w:r>
      <w:r w:rsidR="00C91F00" w:rsidRPr="002B3DAC">
        <w:rPr>
          <w:rFonts w:ascii="Times New Roman" w:hAnsi="Times New Roman"/>
          <w:sz w:val="24"/>
          <w:szCs w:val="24"/>
        </w:rPr>
        <w:t>“constituye un peligro de fuga”.</w:t>
      </w:r>
    </w:p>
    <w:p w14:paraId="0066E6EA" w14:textId="77777777" w:rsidR="00C91F00" w:rsidRPr="002B3DAC" w:rsidRDefault="00C91F00" w:rsidP="00C91F00">
      <w:pPr>
        <w:pStyle w:val="Prrafodelista"/>
        <w:rPr>
          <w:rFonts w:ascii="Times New Roman" w:hAnsi="Times New Roman"/>
          <w:b/>
          <w:bCs/>
          <w:sz w:val="24"/>
          <w:szCs w:val="24"/>
        </w:rPr>
      </w:pPr>
    </w:p>
    <w:p w14:paraId="06B554BC" w14:textId="77777777" w:rsidR="00024BF6" w:rsidRPr="002B3DAC" w:rsidRDefault="00024BF6" w:rsidP="00C91F00">
      <w:pPr>
        <w:pStyle w:val="Prrafodelista"/>
        <w:rPr>
          <w:rFonts w:ascii="Times New Roman" w:hAnsi="Times New Roman"/>
          <w:b/>
          <w:bCs/>
          <w:sz w:val="24"/>
          <w:szCs w:val="24"/>
        </w:rPr>
      </w:pPr>
    </w:p>
    <w:p w14:paraId="75806CD6" w14:textId="77777777" w:rsidR="00C91F00" w:rsidRPr="002B3DAC" w:rsidRDefault="00C91F00" w:rsidP="0071407C">
      <w:pPr>
        <w:pStyle w:val="Prrafodelista"/>
        <w:numPr>
          <w:ilvl w:val="0"/>
          <w:numId w:val="40"/>
        </w:numPr>
        <w:shd w:val="clear" w:color="auto" w:fill="FFFFFF"/>
        <w:spacing w:before="100" w:beforeAutospacing="1" w:after="100" w:afterAutospacing="1" w:line="240" w:lineRule="auto"/>
        <w:ind w:left="0" w:firstLine="0"/>
        <w:jc w:val="both"/>
        <w:rPr>
          <w:rFonts w:ascii="Times New Roman" w:hAnsi="Times New Roman"/>
          <w:b/>
          <w:bCs/>
          <w:sz w:val="24"/>
          <w:szCs w:val="24"/>
        </w:rPr>
      </w:pPr>
      <w:r w:rsidRPr="002B3DAC">
        <w:rPr>
          <w:rFonts w:ascii="Times New Roman" w:hAnsi="Times New Roman"/>
          <w:b/>
          <w:bCs/>
          <w:sz w:val="24"/>
          <w:szCs w:val="24"/>
        </w:rPr>
        <w:t xml:space="preserve">Elimínese del inciso tercero del articulo 140 la frase: </w:t>
      </w:r>
      <w:r w:rsidRPr="002B3DAC">
        <w:rPr>
          <w:rFonts w:ascii="Times New Roman" w:hAnsi="Times New Roman"/>
          <w:sz w:val="24"/>
          <w:szCs w:val="24"/>
        </w:rPr>
        <w:t>“</w:t>
      </w:r>
      <w:r w:rsidRPr="002B3DAC">
        <w:rPr>
          <w:rFonts w:ascii="Times New Roman" w:hAnsi="Times New Roman"/>
          <w:color w:val="333333"/>
          <w:sz w:val="24"/>
          <w:szCs w:val="24"/>
        </w:rPr>
        <w:t>la gravedad de la pena asignada al delito”</w:t>
      </w:r>
      <w:r w:rsidRPr="002B3DAC">
        <w:rPr>
          <w:rFonts w:ascii="Times New Roman" w:hAnsi="Times New Roman"/>
          <w:b/>
          <w:bCs/>
          <w:sz w:val="24"/>
          <w:szCs w:val="24"/>
        </w:rPr>
        <w:t>-</w:t>
      </w:r>
    </w:p>
    <w:p w14:paraId="5ADC5354" w14:textId="77777777" w:rsidR="00C91F00" w:rsidRPr="002B3DAC" w:rsidRDefault="00C91F00" w:rsidP="00C91F00">
      <w:pPr>
        <w:pStyle w:val="Prrafodelista"/>
        <w:rPr>
          <w:rFonts w:ascii="Times New Roman" w:hAnsi="Times New Roman"/>
          <w:b/>
          <w:bCs/>
          <w:sz w:val="24"/>
          <w:szCs w:val="24"/>
        </w:rPr>
      </w:pPr>
    </w:p>
    <w:p w14:paraId="5175A956" w14:textId="77777777" w:rsidR="00024BF6" w:rsidRPr="002B3DAC" w:rsidRDefault="00024BF6" w:rsidP="00C91F00">
      <w:pPr>
        <w:pStyle w:val="Prrafodelista"/>
        <w:rPr>
          <w:rFonts w:ascii="Times New Roman" w:hAnsi="Times New Roman"/>
          <w:b/>
          <w:bCs/>
          <w:sz w:val="24"/>
          <w:szCs w:val="24"/>
        </w:rPr>
      </w:pPr>
    </w:p>
    <w:p w14:paraId="29EE30B2" w14:textId="77777777" w:rsidR="00C91F00" w:rsidRPr="002B3DAC" w:rsidRDefault="00C91F00" w:rsidP="00C91F00">
      <w:pPr>
        <w:pStyle w:val="Prrafodelista"/>
        <w:shd w:val="clear" w:color="auto" w:fill="FFFFFF"/>
        <w:spacing w:before="100" w:beforeAutospacing="1" w:after="100" w:afterAutospacing="1" w:line="240" w:lineRule="auto"/>
        <w:jc w:val="both"/>
        <w:rPr>
          <w:rFonts w:ascii="Times New Roman" w:hAnsi="Times New Roman"/>
          <w:b/>
          <w:bCs/>
          <w:sz w:val="24"/>
          <w:szCs w:val="24"/>
        </w:rPr>
      </w:pPr>
    </w:p>
    <w:p w14:paraId="31CED815" w14:textId="77777777" w:rsidR="00C91F00" w:rsidRPr="002B3DAC" w:rsidRDefault="00C91F00" w:rsidP="0071407C">
      <w:pPr>
        <w:pStyle w:val="Prrafodelista"/>
        <w:numPr>
          <w:ilvl w:val="0"/>
          <w:numId w:val="40"/>
        </w:numPr>
        <w:shd w:val="clear" w:color="auto" w:fill="FFFFFF"/>
        <w:spacing w:before="100" w:beforeAutospacing="1" w:after="100" w:afterAutospacing="1" w:line="240" w:lineRule="auto"/>
        <w:ind w:left="0" w:firstLine="0"/>
        <w:jc w:val="both"/>
        <w:rPr>
          <w:rFonts w:ascii="Times New Roman" w:hAnsi="Times New Roman"/>
          <w:b/>
          <w:bCs/>
          <w:sz w:val="24"/>
          <w:szCs w:val="24"/>
        </w:rPr>
      </w:pPr>
      <w:r w:rsidRPr="002B3DAC">
        <w:rPr>
          <w:rFonts w:ascii="Times New Roman" w:hAnsi="Times New Roman"/>
          <w:b/>
          <w:bCs/>
          <w:sz w:val="24"/>
          <w:szCs w:val="24"/>
        </w:rPr>
        <w:t xml:space="preserve">Sustitúyase en el inciso cuarto del artículo 140 la frase </w:t>
      </w:r>
      <w:r w:rsidRPr="002B3DAC">
        <w:rPr>
          <w:rFonts w:ascii="Times New Roman" w:hAnsi="Times New Roman"/>
          <w:sz w:val="24"/>
          <w:szCs w:val="24"/>
        </w:rPr>
        <w:t>“</w:t>
      </w:r>
      <w:r w:rsidRPr="002B3DAC">
        <w:rPr>
          <w:rFonts w:ascii="Times New Roman" w:hAnsi="Times New Roman"/>
          <w:color w:val="333333"/>
          <w:sz w:val="24"/>
          <w:szCs w:val="24"/>
        </w:rPr>
        <w:t>para la seguridad de la sociedad</w:t>
      </w:r>
      <w:r w:rsidRPr="002B3DAC">
        <w:rPr>
          <w:rFonts w:ascii="Times New Roman" w:hAnsi="Times New Roman"/>
          <w:sz w:val="24"/>
          <w:szCs w:val="24"/>
        </w:rPr>
        <w:t xml:space="preserve"> “, por la siguiente: “de fuga”.</w:t>
      </w:r>
    </w:p>
    <w:p w14:paraId="6744790A" w14:textId="77777777" w:rsidR="00C91F00" w:rsidRPr="002B3DAC" w:rsidRDefault="00C91F00" w:rsidP="00C91F00">
      <w:pPr>
        <w:pStyle w:val="Prrafodelista"/>
        <w:shd w:val="clear" w:color="auto" w:fill="FFFFFF"/>
        <w:spacing w:before="100" w:beforeAutospacing="1" w:after="100" w:afterAutospacing="1" w:line="240" w:lineRule="auto"/>
        <w:jc w:val="both"/>
        <w:rPr>
          <w:rFonts w:ascii="Times New Roman" w:hAnsi="Times New Roman"/>
          <w:b/>
          <w:bCs/>
          <w:sz w:val="24"/>
          <w:szCs w:val="24"/>
        </w:rPr>
      </w:pPr>
    </w:p>
    <w:p w14:paraId="48E4658D" w14:textId="77777777" w:rsidR="00C91F00" w:rsidRPr="002B3DAC" w:rsidRDefault="00C91F00" w:rsidP="00C91F00">
      <w:pPr>
        <w:pStyle w:val="Prrafodelista"/>
        <w:rPr>
          <w:rFonts w:ascii="Times New Roman" w:hAnsi="Times New Roman"/>
          <w:b/>
          <w:bCs/>
          <w:sz w:val="24"/>
          <w:szCs w:val="24"/>
        </w:rPr>
      </w:pPr>
    </w:p>
    <w:p w14:paraId="7D18A1CB" w14:textId="77777777" w:rsidR="00024BF6" w:rsidRPr="002B3DAC" w:rsidRDefault="00024BF6" w:rsidP="00C91F00">
      <w:pPr>
        <w:pStyle w:val="Prrafodelista"/>
        <w:rPr>
          <w:rFonts w:ascii="Times New Roman" w:hAnsi="Times New Roman"/>
          <w:b/>
          <w:bCs/>
          <w:sz w:val="24"/>
          <w:szCs w:val="24"/>
        </w:rPr>
      </w:pPr>
    </w:p>
    <w:p w14:paraId="3503E534" w14:textId="77777777" w:rsidR="00E939DD" w:rsidRPr="002B3DAC" w:rsidRDefault="007B7AB7" w:rsidP="0071407C">
      <w:pPr>
        <w:pStyle w:val="Prrafodelista"/>
        <w:numPr>
          <w:ilvl w:val="0"/>
          <w:numId w:val="40"/>
        </w:numPr>
        <w:shd w:val="clear" w:color="auto" w:fill="FFFFFF"/>
        <w:spacing w:before="100" w:beforeAutospacing="1" w:after="100" w:afterAutospacing="1" w:line="240" w:lineRule="auto"/>
        <w:ind w:left="0" w:firstLine="0"/>
        <w:jc w:val="both"/>
        <w:rPr>
          <w:rFonts w:ascii="Times New Roman" w:hAnsi="Times New Roman"/>
          <w:b/>
          <w:bCs/>
          <w:sz w:val="24"/>
          <w:szCs w:val="24"/>
        </w:rPr>
      </w:pPr>
      <w:r w:rsidRPr="002B3DAC">
        <w:rPr>
          <w:rFonts w:ascii="Times New Roman" w:hAnsi="Times New Roman"/>
          <w:b/>
          <w:bCs/>
          <w:sz w:val="24"/>
          <w:szCs w:val="24"/>
        </w:rPr>
        <w:t>Elimínese del inciso cuart</w:t>
      </w:r>
      <w:r w:rsidR="002805DC" w:rsidRPr="002B3DAC">
        <w:rPr>
          <w:rFonts w:ascii="Times New Roman" w:hAnsi="Times New Roman"/>
          <w:b/>
          <w:bCs/>
          <w:sz w:val="24"/>
          <w:szCs w:val="24"/>
        </w:rPr>
        <w:t>o del articulo 140 la frase</w:t>
      </w:r>
      <w:r w:rsidR="002805DC" w:rsidRPr="002B3DAC">
        <w:rPr>
          <w:rFonts w:ascii="Times New Roman" w:hAnsi="Times New Roman"/>
          <w:sz w:val="24"/>
          <w:szCs w:val="24"/>
        </w:rPr>
        <w:t>:</w:t>
      </w:r>
      <w:r w:rsidR="002805DC" w:rsidRPr="002B3DAC">
        <w:rPr>
          <w:rFonts w:ascii="Times New Roman" w:hAnsi="Times New Roman"/>
          <w:color w:val="333333"/>
          <w:sz w:val="24"/>
          <w:szCs w:val="24"/>
        </w:rPr>
        <w:t xml:space="preserve"> “cuando los delitos imputados tengan asignada pena de crimen en la ley que los consagra”.</w:t>
      </w:r>
    </w:p>
    <w:p w14:paraId="717CCA7D" w14:textId="77777777" w:rsidR="00024BF6" w:rsidRPr="002B3DAC" w:rsidRDefault="00024BF6" w:rsidP="00024BF6">
      <w:pPr>
        <w:pStyle w:val="Prrafodelista"/>
        <w:shd w:val="clear" w:color="auto" w:fill="FFFFFF"/>
        <w:spacing w:before="100" w:beforeAutospacing="1" w:after="100" w:afterAutospacing="1" w:line="240" w:lineRule="auto"/>
        <w:ind w:left="0"/>
        <w:jc w:val="both"/>
        <w:rPr>
          <w:rFonts w:ascii="Times New Roman" w:hAnsi="Times New Roman"/>
          <w:b/>
          <w:bCs/>
          <w:sz w:val="24"/>
          <w:szCs w:val="24"/>
        </w:rPr>
      </w:pPr>
    </w:p>
    <w:p w14:paraId="5B710C01" w14:textId="77777777" w:rsidR="0071407C" w:rsidRPr="002B3DAC" w:rsidRDefault="0071407C" w:rsidP="0071407C">
      <w:pPr>
        <w:pStyle w:val="Prrafodelista"/>
        <w:shd w:val="clear" w:color="auto" w:fill="FFFFFF"/>
        <w:spacing w:before="100" w:beforeAutospacing="1" w:after="100" w:afterAutospacing="1" w:line="240" w:lineRule="auto"/>
        <w:ind w:left="0"/>
        <w:jc w:val="both"/>
        <w:rPr>
          <w:rFonts w:ascii="Times New Roman" w:hAnsi="Times New Roman"/>
          <w:b/>
          <w:bCs/>
          <w:sz w:val="24"/>
          <w:szCs w:val="24"/>
        </w:rPr>
      </w:pPr>
    </w:p>
    <w:p w14:paraId="1AE6601A" w14:textId="77777777" w:rsidR="00007FF3" w:rsidRPr="002B3DAC" w:rsidRDefault="00007FF3" w:rsidP="00007FF3">
      <w:pPr>
        <w:pStyle w:val="Prrafodelista"/>
        <w:shd w:val="clear" w:color="auto" w:fill="FFFFFF"/>
        <w:spacing w:before="100" w:beforeAutospacing="1" w:after="100" w:afterAutospacing="1" w:line="240" w:lineRule="auto"/>
        <w:jc w:val="both"/>
        <w:rPr>
          <w:rFonts w:ascii="Times New Roman" w:hAnsi="Times New Roman"/>
          <w:b/>
          <w:bCs/>
          <w:sz w:val="24"/>
          <w:szCs w:val="24"/>
        </w:rPr>
      </w:pPr>
    </w:p>
    <w:p w14:paraId="130181D7" w14:textId="77777777" w:rsidR="00BA1446" w:rsidRPr="002B3DAC" w:rsidRDefault="00BA1446" w:rsidP="00392800">
      <w:pPr>
        <w:pStyle w:val="Prrafodelista"/>
        <w:numPr>
          <w:ilvl w:val="0"/>
          <w:numId w:val="40"/>
        </w:numPr>
        <w:shd w:val="clear" w:color="auto" w:fill="FFFFFF"/>
        <w:spacing w:before="100" w:beforeAutospacing="1" w:after="100" w:afterAutospacing="1" w:line="240" w:lineRule="auto"/>
        <w:ind w:hanging="720"/>
        <w:jc w:val="both"/>
        <w:rPr>
          <w:rFonts w:ascii="Times New Roman" w:hAnsi="Times New Roman"/>
          <w:b/>
          <w:bCs/>
          <w:sz w:val="24"/>
          <w:szCs w:val="24"/>
        </w:rPr>
      </w:pPr>
      <w:r w:rsidRPr="002B3DAC">
        <w:rPr>
          <w:rFonts w:ascii="Times New Roman" w:hAnsi="Times New Roman"/>
          <w:b/>
          <w:bCs/>
          <w:sz w:val="24"/>
          <w:szCs w:val="24"/>
        </w:rPr>
        <w:t>Agreg</w:t>
      </w:r>
      <w:r w:rsidR="00007FF3" w:rsidRPr="002B3DAC">
        <w:rPr>
          <w:rFonts w:ascii="Times New Roman" w:hAnsi="Times New Roman"/>
          <w:b/>
          <w:bCs/>
          <w:sz w:val="24"/>
          <w:szCs w:val="24"/>
        </w:rPr>
        <w:t>a</w:t>
      </w:r>
      <w:r w:rsidRPr="002B3DAC">
        <w:rPr>
          <w:rFonts w:ascii="Times New Roman" w:hAnsi="Times New Roman"/>
          <w:b/>
          <w:bCs/>
          <w:sz w:val="24"/>
          <w:szCs w:val="24"/>
        </w:rPr>
        <w:t>se en el inciso quinto del articulo 140</w:t>
      </w:r>
      <w:r w:rsidR="00007FF3" w:rsidRPr="002B3DAC">
        <w:rPr>
          <w:rFonts w:ascii="Times New Roman" w:hAnsi="Times New Roman"/>
          <w:b/>
          <w:bCs/>
          <w:sz w:val="24"/>
          <w:szCs w:val="24"/>
        </w:rPr>
        <w:t>, a continuación del punto final, que pasa a ser seguido, el siguiente párrafo:</w:t>
      </w:r>
    </w:p>
    <w:p w14:paraId="3BDED804" w14:textId="77777777" w:rsidR="00007FF3" w:rsidRPr="002B3DAC" w:rsidRDefault="00007FF3" w:rsidP="00007FF3">
      <w:pPr>
        <w:pStyle w:val="Prrafodelista"/>
        <w:rPr>
          <w:rFonts w:ascii="Times New Roman" w:hAnsi="Times New Roman"/>
          <w:b/>
          <w:bCs/>
          <w:sz w:val="24"/>
          <w:szCs w:val="24"/>
        </w:rPr>
      </w:pPr>
    </w:p>
    <w:p w14:paraId="6F11F328" w14:textId="77777777" w:rsidR="00007FF3" w:rsidRPr="002B3DAC" w:rsidRDefault="0071407C" w:rsidP="00007FF3">
      <w:pPr>
        <w:pStyle w:val="NormalWeb"/>
        <w:spacing w:before="0" w:beforeAutospacing="0" w:after="0" w:afterAutospacing="0"/>
        <w:jc w:val="both"/>
        <w:textAlignment w:val="baseline"/>
        <w:rPr>
          <w:color w:val="333333"/>
        </w:rPr>
      </w:pPr>
      <w:r w:rsidRPr="002B3DAC">
        <w:rPr>
          <w:color w:val="333333"/>
        </w:rPr>
        <w:t>“</w:t>
      </w:r>
      <w:r w:rsidR="00007FF3" w:rsidRPr="002B3DAC">
        <w:rPr>
          <w:color w:val="333333"/>
        </w:rPr>
        <w:t xml:space="preserve">En especial, tratándose de víctimas de </w:t>
      </w:r>
      <w:r w:rsidR="00007FF3" w:rsidRPr="002B3DAC">
        <w:t xml:space="preserve">delitos  tipificados </w:t>
      </w:r>
      <w:r w:rsidR="00007FF3" w:rsidRPr="002B3DAC">
        <w:rPr>
          <w:color w:val="333333"/>
        </w:rPr>
        <w:t>en el artículo 14 de la ley  N°20.066</w:t>
      </w:r>
      <w:r w:rsidRPr="002B3DAC">
        <w:rPr>
          <w:color w:val="333333"/>
        </w:rPr>
        <w:t xml:space="preserve">, </w:t>
      </w:r>
      <w:r w:rsidR="00007FF3" w:rsidRPr="002B3DAC">
        <w:rPr>
          <w:color w:val="333333"/>
        </w:rPr>
        <w:t xml:space="preserve">390 bis, 390 ter , 403 bis, 403 ter del  código penal ,  delitos cometidos en contra de mujeres en contexto de violencia intrafamiliar y </w:t>
      </w:r>
      <w:r w:rsidR="00007FF3" w:rsidRPr="002B3DAC">
        <w:t>cualquier otro cometido por razón de género, constituyen antecedentes calificados la situación de dependencia económica de la víctima respecto del ofensor; que aquella esté embarazada, se trate de un niño o niña, una persona adulta mayor, una persona en situación de discapacidad o que tenga una condición que la haga vulnerable; que  los hechos hayan ocurrido en presencia de menores de edad; el ofensor oponga o haya opuesto, de manera violenta, su negativa a aceptar el término de una relación afectiva que ha mantenido con la víctima ; que tenga antecedentes de  drogadicción o alcoholismo, psiquiátricos o psicológicos que denoten características de personalidad violenta; la existencia de una o más denuncias por violencia intrafamiliar en su contra, condena previa por violencia intrafamiliar, procesos pendientes o condenas previas por crimen o simple delito contra las personas o por alguno de los delitos establecidos en los párrafos 5 y 6 del Título VII, del Libro Segundo del Código Penal</w:t>
      </w:r>
      <w:r w:rsidR="00007FF3" w:rsidRPr="002B3DAC">
        <w:rPr>
          <w:rStyle w:val="Refdenotaalpie"/>
        </w:rPr>
        <w:footnoteReference w:id="52"/>
      </w:r>
      <w:r w:rsidR="00007FF3" w:rsidRPr="002B3DAC">
        <w:t>, o por infracción de la ley N°17.798</w:t>
      </w:r>
      <w:r w:rsidR="00007FF3" w:rsidRPr="002B3DAC">
        <w:rPr>
          <w:rStyle w:val="Refdenotaalpie"/>
        </w:rPr>
        <w:footnoteReference w:id="53"/>
      </w:r>
      <w:r w:rsidRPr="002B3DAC">
        <w:t>.”</w:t>
      </w:r>
      <w:r w:rsidR="00007FF3" w:rsidRPr="002B3DAC">
        <w:t xml:space="preserve"> </w:t>
      </w:r>
    </w:p>
    <w:p w14:paraId="4E7A313A" w14:textId="77777777" w:rsidR="00024BF6" w:rsidRPr="002B3DAC" w:rsidRDefault="00024BF6" w:rsidP="002805DC">
      <w:pPr>
        <w:jc w:val="both"/>
        <w:rPr>
          <w:rFonts w:ascii="Times New Roman" w:hAnsi="Times New Roman"/>
          <w:sz w:val="24"/>
          <w:szCs w:val="24"/>
        </w:rPr>
      </w:pPr>
    </w:p>
    <w:p w14:paraId="40BF5390" w14:textId="77777777" w:rsidR="000D6F50" w:rsidRPr="002B3DAC" w:rsidRDefault="001C5DF0" w:rsidP="0019587A">
      <w:pPr>
        <w:pStyle w:val="Prrafodelista"/>
        <w:numPr>
          <w:ilvl w:val="0"/>
          <w:numId w:val="27"/>
        </w:numPr>
        <w:jc w:val="both"/>
        <w:rPr>
          <w:rFonts w:ascii="Times New Roman" w:hAnsi="Times New Roman"/>
          <w:b/>
          <w:bCs/>
          <w:sz w:val="24"/>
          <w:szCs w:val="24"/>
        </w:rPr>
      </w:pPr>
      <w:r w:rsidRPr="002B3DAC">
        <w:rPr>
          <w:rFonts w:ascii="Times New Roman" w:hAnsi="Times New Roman"/>
          <w:b/>
          <w:bCs/>
          <w:sz w:val="24"/>
          <w:szCs w:val="24"/>
        </w:rPr>
        <w:t>Mo</w:t>
      </w:r>
      <w:r w:rsidR="005F1761" w:rsidRPr="002B3DAC">
        <w:rPr>
          <w:rFonts w:ascii="Times New Roman" w:hAnsi="Times New Roman"/>
          <w:b/>
          <w:bCs/>
          <w:sz w:val="24"/>
          <w:szCs w:val="24"/>
        </w:rPr>
        <w:t>difíquese el articulo 142 de la siguiente forma:</w:t>
      </w:r>
    </w:p>
    <w:p w14:paraId="06F59ED2" w14:textId="77777777" w:rsidR="000A2D26" w:rsidRPr="002B3DAC" w:rsidRDefault="000A2D26" w:rsidP="000A2D26">
      <w:pPr>
        <w:pStyle w:val="Prrafodelista"/>
        <w:jc w:val="both"/>
        <w:rPr>
          <w:rFonts w:ascii="Times New Roman" w:hAnsi="Times New Roman"/>
          <w:b/>
          <w:bCs/>
          <w:sz w:val="24"/>
          <w:szCs w:val="24"/>
        </w:rPr>
      </w:pPr>
    </w:p>
    <w:p w14:paraId="17DA9A29" w14:textId="77777777" w:rsidR="00E854F1" w:rsidRPr="002B3DAC" w:rsidRDefault="00E854F1" w:rsidP="000A2D26">
      <w:pPr>
        <w:pStyle w:val="Prrafodelista"/>
        <w:numPr>
          <w:ilvl w:val="0"/>
          <w:numId w:val="38"/>
        </w:numPr>
        <w:ind w:hanging="720"/>
        <w:jc w:val="both"/>
        <w:rPr>
          <w:rFonts w:ascii="Times New Roman" w:hAnsi="Times New Roman"/>
          <w:b/>
          <w:bCs/>
          <w:sz w:val="24"/>
          <w:szCs w:val="24"/>
        </w:rPr>
      </w:pPr>
      <w:r w:rsidRPr="002B3DAC">
        <w:rPr>
          <w:rFonts w:ascii="Times New Roman" w:hAnsi="Times New Roman"/>
          <w:b/>
          <w:bCs/>
          <w:sz w:val="24"/>
          <w:szCs w:val="24"/>
        </w:rPr>
        <w:t>Agréguese un inciso cuarto nuevo</w:t>
      </w:r>
      <w:r w:rsidR="005B44E1" w:rsidRPr="002B3DAC">
        <w:rPr>
          <w:rFonts w:ascii="Times New Roman" w:hAnsi="Times New Roman"/>
          <w:b/>
          <w:bCs/>
          <w:sz w:val="24"/>
          <w:szCs w:val="24"/>
        </w:rPr>
        <w:t xml:space="preserve"> del siguiente tenor:</w:t>
      </w:r>
    </w:p>
    <w:p w14:paraId="3858CF64" w14:textId="77777777" w:rsidR="001D449C" w:rsidRPr="002B3DAC" w:rsidRDefault="004460A5" w:rsidP="000B66F8">
      <w:pPr>
        <w:shd w:val="clear" w:color="auto" w:fill="FFFFFF"/>
        <w:spacing w:before="100" w:beforeAutospacing="1" w:after="100" w:afterAutospacing="1" w:line="240" w:lineRule="auto"/>
        <w:jc w:val="both"/>
        <w:rPr>
          <w:rFonts w:ascii="Times New Roman" w:eastAsia="Times New Roman" w:hAnsi="Times New Roman"/>
          <w:sz w:val="24"/>
          <w:szCs w:val="24"/>
          <w:lang w:eastAsia="es-CL"/>
        </w:rPr>
      </w:pPr>
      <w:r w:rsidRPr="002B3DAC">
        <w:rPr>
          <w:rFonts w:ascii="Times New Roman" w:hAnsi="Times New Roman"/>
          <w:sz w:val="24"/>
          <w:szCs w:val="24"/>
        </w:rPr>
        <w:t>“</w:t>
      </w:r>
      <w:r w:rsidR="000B66F8" w:rsidRPr="002B3DAC">
        <w:rPr>
          <w:rFonts w:ascii="Times New Roman" w:hAnsi="Times New Roman"/>
          <w:sz w:val="24"/>
          <w:szCs w:val="24"/>
        </w:rPr>
        <w:t xml:space="preserve">El ministerio público </w:t>
      </w:r>
      <w:r w:rsidR="004768C8" w:rsidRPr="002B3DAC">
        <w:rPr>
          <w:rFonts w:ascii="Times New Roman" w:hAnsi="Times New Roman"/>
          <w:sz w:val="24"/>
          <w:szCs w:val="24"/>
        </w:rPr>
        <w:t>y</w:t>
      </w:r>
      <w:r w:rsidR="009F2447" w:rsidRPr="002B3DAC">
        <w:rPr>
          <w:rFonts w:ascii="Times New Roman" w:hAnsi="Times New Roman"/>
          <w:sz w:val="24"/>
          <w:szCs w:val="24"/>
        </w:rPr>
        <w:t xml:space="preserve"> la </w:t>
      </w:r>
      <w:r w:rsidRPr="002B3DAC">
        <w:rPr>
          <w:rFonts w:ascii="Times New Roman" w:hAnsi="Times New Roman"/>
          <w:sz w:val="24"/>
          <w:szCs w:val="24"/>
        </w:rPr>
        <w:t xml:space="preserve">parte </w:t>
      </w:r>
      <w:r w:rsidR="009F2447" w:rsidRPr="002B3DAC">
        <w:rPr>
          <w:rFonts w:ascii="Times New Roman" w:hAnsi="Times New Roman"/>
          <w:sz w:val="24"/>
          <w:szCs w:val="24"/>
        </w:rPr>
        <w:t xml:space="preserve">querellante </w:t>
      </w:r>
      <w:r w:rsidR="000B66F8" w:rsidRPr="002B3DAC">
        <w:rPr>
          <w:rFonts w:ascii="Times New Roman" w:hAnsi="Times New Roman"/>
          <w:sz w:val="24"/>
          <w:szCs w:val="24"/>
        </w:rPr>
        <w:t xml:space="preserve">deberá </w:t>
      </w:r>
      <w:r w:rsidR="00B87141" w:rsidRPr="002B3DAC">
        <w:rPr>
          <w:rFonts w:ascii="Times New Roman" w:hAnsi="Times New Roman"/>
          <w:sz w:val="24"/>
          <w:szCs w:val="24"/>
        </w:rPr>
        <w:t xml:space="preserve">fundar y acreditar, en cada caso concreto, </w:t>
      </w:r>
      <w:r w:rsidR="00263599" w:rsidRPr="002B3DAC">
        <w:rPr>
          <w:rFonts w:ascii="Times New Roman" w:hAnsi="Times New Roman"/>
          <w:sz w:val="24"/>
          <w:szCs w:val="24"/>
        </w:rPr>
        <w:t xml:space="preserve">la concurrencia de los requisitos </w:t>
      </w:r>
      <w:r w:rsidR="00F839B3" w:rsidRPr="002B3DAC">
        <w:rPr>
          <w:rFonts w:ascii="Times New Roman" w:hAnsi="Times New Roman"/>
          <w:sz w:val="24"/>
          <w:szCs w:val="24"/>
        </w:rPr>
        <w:t xml:space="preserve">de procedencia establecido en el articulo 140 mediante evidencia que cumpla con los estándares previstos en el </w:t>
      </w:r>
      <w:r w:rsidR="00B87141" w:rsidRPr="002B3DAC">
        <w:rPr>
          <w:rFonts w:ascii="Times New Roman" w:hAnsi="Times New Roman"/>
          <w:sz w:val="24"/>
          <w:szCs w:val="24"/>
        </w:rPr>
        <w:t>inciso segundo del artículo 139</w:t>
      </w:r>
      <w:r w:rsidR="000A2D26" w:rsidRPr="002B3DAC">
        <w:rPr>
          <w:rFonts w:ascii="Times New Roman" w:hAnsi="Times New Roman"/>
          <w:sz w:val="24"/>
          <w:szCs w:val="24"/>
        </w:rPr>
        <w:t xml:space="preserve"> y </w:t>
      </w:r>
      <w:r w:rsidR="000A2D26" w:rsidRPr="002B3DAC">
        <w:rPr>
          <w:rFonts w:ascii="Times New Roman" w:eastAsia="Times New Roman" w:hAnsi="Times New Roman"/>
          <w:sz w:val="24"/>
          <w:szCs w:val="24"/>
          <w:lang w:eastAsia="es-CL"/>
        </w:rPr>
        <w:t>refutar todas las demás hipótesis plausibles, explicativas de los mismos datos, que sean compatibles con la inocencia".</w:t>
      </w:r>
    </w:p>
    <w:p w14:paraId="42190785" w14:textId="77777777" w:rsidR="005B44E1" w:rsidRPr="002B3DAC" w:rsidRDefault="005B44E1" w:rsidP="000A2D26">
      <w:pPr>
        <w:pStyle w:val="Prrafodelista"/>
        <w:numPr>
          <w:ilvl w:val="0"/>
          <w:numId w:val="38"/>
        </w:numPr>
        <w:ind w:hanging="720"/>
        <w:jc w:val="both"/>
        <w:rPr>
          <w:rFonts w:ascii="Times New Roman" w:hAnsi="Times New Roman"/>
          <w:b/>
          <w:bCs/>
          <w:sz w:val="24"/>
          <w:szCs w:val="24"/>
        </w:rPr>
      </w:pPr>
      <w:r w:rsidRPr="002B3DAC">
        <w:rPr>
          <w:rFonts w:ascii="Times New Roman" w:hAnsi="Times New Roman"/>
          <w:b/>
          <w:bCs/>
          <w:sz w:val="24"/>
          <w:szCs w:val="24"/>
        </w:rPr>
        <w:t>Agréguese un inciso quinto nuevo con el siguiente texto:</w:t>
      </w:r>
    </w:p>
    <w:p w14:paraId="55424B23" w14:textId="77777777" w:rsidR="007C72DF" w:rsidRPr="002B3DAC" w:rsidRDefault="007C72DF" w:rsidP="007C72DF">
      <w:pPr>
        <w:spacing w:line="240" w:lineRule="auto"/>
        <w:jc w:val="both"/>
        <w:rPr>
          <w:rFonts w:ascii="Times New Roman" w:hAnsi="Times New Roman"/>
          <w:sz w:val="24"/>
          <w:szCs w:val="24"/>
        </w:rPr>
      </w:pPr>
      <w:r w:rsidRPr="002B3DAC">
        <w:rPr>
          <w:rFonts w:ascii="Times New Roman" w:hAnsi="Times New Roman"/>
          <w:sz w:val="24"/>
          <w:szCs w:val="24"/>
        </w:rPr>
        <w:t>“En todo caso, las hipótesis de necesidad previstas en la letra c) del inciso segundo del artículo 140 , no son, por si mismos, justificación suficiente de la prisión preventiva”</w:t>
      </w:r>
      <w:r w:rsidR="0071407C" w:rsidRPr="002B3DAC">
        <w:rPr>
          <w:rFonts w:ascii="Times New Roman" w:hAnsi="Times New Roman"/>
          <w:sz w:val="24"/>
          <w:szCs w:val="24"/>
        </w:rPr>
        <w:t>.</w:t>
      </w:r>
    </w:p>
    <w:p w14:paraId="6B49650A" w14:textId="77777777" w:rsidR="0071407C" w:rsidRPr="002B3DAC" w:rsidRDefault="0071407C" w:rsidP="007C72DF">
      <w:pPr>
        <w:spacing w:line="240" w:lineRule="auto"/>
        <w:jc w:val="both"/>
        <w:rPr>
          <w:rFonts w:ascii="Times New Roman" w:hAnsi="Times New Roman"/>
          <w:sz w:val="24"/>
          <w:szCs w:val="24"/>
        </w:rPr>
      </w:pPr>
    </w:p>
    <w:p w14:paraId="79B61CFA" w14:textId="77777777" w:rsidR="007C72DF" w:rsidRPr="002B3DAC" w:rsidRDefault="000A2D26" w:rsidP="007C72DF">
      <w:pPr>
        <w:pStyle w:val="Prrafodelista"/>
        <w:numPr>
          <w:ilvl w:val="0"/>
          <w:numId w:val="38"/>
        </w:numPr>
        <w:shd w:val="clear" w:color="auto" w:fill="FFFFFF"/>
        <w:spacing w:before="100" w:beforeAutospacing="1" w:after="100" w:afterAutospacing="1" w:line="240" w:lineRule="auto"/>
        <w:ind w:hanging="720"/>
        <w:jc w:val="both"/>
        <w:rPr>
          <w:rFonts w:ascii="Times New Roman" w:hAnsi="Times New Roman"/>
          <w:b/>
          <w:bCs/>
          <w:sz w:val="24"/>
          <w:szCs w:val="24"/>
        </w:rPr>
      </w:pPr>
      <w:r w:rsidRPr="002B3DAC">
        <w:rPr>
          <w:rFonts w:ascii="Times New Roman" w:hAnsi="Times New Roman"/>
          <w:b/>
          <w:bCs/>
          <w:sz w:val="24"/>
          <w:szCs w:val="24"/>
        </w:rPr>
        <w:t>Agréguese un inciso quinto nuevo con el siguiente texto:</w:t>
      </w:r>
    </w:p>
    <w:p w14:paraId="5A8295D5" w14:textId="77777777" w:rsidR="00637D99" w:rsidRPr="002B3DAC" w:rsidRDefault="004768C8" w:rsidP="0071407C">
      <w:pPr>
        <w:shd w:val="clear" w:color="auto" w:fill="FFFFFF"/>
        <w:spacing w:before="100" w:beforeAutospacing="1" w:after="100" w:afterAutospacing="1" w:line="240" w:lineRule="auto"/>
        <w:jc w:val="both"/>
        <w:rPr>
          <w:rFonts w:ascii="Times New Roman" w:hAnsi="Times New Roman"/>
          <w:sz w:val="24"/>
          <w:szCs w:val="24"/>
        </w:rPr>
      </w:pPr>
      <w:r w:rsidRPr="002B3DAC">
        <w:rPr>
          <w:rFonts w:ascii="Times New Roman" w:eastAsia="Times New Roman" w:hAnsi="Times New Roman"/>
          <w:color w:val="2E2E2E"/>
          <w:sz w:val="24"/>
          <w:szCs w:val="24"/>
          <w:lang w:eastAsia="es-CL"/>
        </w:rPr>
        <w:t>“</w:t>
      </w:r>
      <w:r w:rsidR="007C72DF" w:rsidRPr="002B3DAC">
        <w:rPr>
          <w:rFonts w:ascii="Times New Roman" w:eastAsia="Times New Roman" w:hAnsi="Times New Roman"/>
          <w:color w:val="2E2E2E"/>
          <w:sz w:val="24"/>
          <w:szCs w:val="24"/>
          <w:lang w:eastAsia="es-CL"/>
        </w:rPr>
        <w:t xml:space="preserve">El juez no podrá </w:t>
      </w:r>
      <w:r w:rsidR="007C72DF" w:rsidRPr="002B3DAC">
        <w:rPr>
          <w:rFonts w:ascii="Times New Roman" w:hAnsi="Times New Roman"/>
          <w:sz w:val="24"/>
          <w:szCs w:val="24"/>
        </w:rPr>
        <w:t>ordenar la prisión preventiva del imputado fundado en la sola alegación de existencia de peligro, ni basado exclusivamente en los mismos antecedentes aportados por el ministerio público</w:t>
      </w:r>
      <w:r w:rsidR="009F2447" w:rsidRPr="002B3DAC">
        <w:rPr>
          <w:rFonts w:ascii="Times New Roman" w:hAnsi="Times New Roman"/>
          <w:sz w:val="24"/>
          <w:szCs w:val="24"/>
        </w:rPr>
        <w:t xml:space="preserve"> o la querellante</w:t>
      </w:r>
      <w:r w:rsidR="007C72DF" w:rsidRPr="002B3DAC">
        <w:rPr>
          <w:rFonts w:ascii="Times New Roman" w:hAnsi="Times New Roman"/>
          <w:sz w:val="24"/>
          <w:szCs w:val="24"/>
        </w:rPr>
        <w:t xml:space="preserve"> respecto de la comisión del hecho punible y la atribución de ese suceso al imputado.</w:t>
      </w:r>
      <w:r w:rsidR="007C72DF" w:rsidRPr="002B3DAC">
        <w:rPr>
          <w:rFonts w:ascii="Times New Roman" w:hAnsi="Times New Roman"/>
          <w:b/>
          <w:bCs/>
          <w:sz w:val="24"/>
          <w:szCs w:val="24"/>
        </w:rPr>
        <w:t xml:space="preserve"> </w:t>
      </w:r>
      <w:r w:rsidR="007C72DF" w:rsidRPr="002B3DAC">
        <w:rPr>
          <w:rFonts w:ascii="Times New Roman" w:hAnsi="Times New Roman"/>
          <w:sz w:val="24"/>
          <w:szCs w:val="24"/>
        </w:rPr>
        <w:t>Una prisión preventiva decretada en tales términos</w:t>
      </w:r>
      <w:r w:rsidR="00841BC7" w:rsidRPr="002B3DAC">
        <w:rPr>
          <w:rFonts w:ascii="Times New Roman" w:hAnsi="Times New Roman"/>
          <w:sz w:val="24"/>
          <w:szCs w:val="24"/>
        </w:rPr>
        <w:t xml:space="preserve">, </w:t>
      </w:r>
      <w:r w:rsidR="007C72DF" w:rsidRPr="002B3DAC">
        <w:rPr>
          <w:rFonts w:ascii="Times New Roman" w:hAnsi="Times New Roman"/>
          <w:sz w:val="24"/>
          <w:szCs w:val="24"/>
        </w:rPr>
        <w:t>constituye prisión arbitraria”</w:t>
      </w:r>
      <w:r w:rsidR="0071407C" w:rsidRPr="002B3DAC">
        <w:rPr>
          <w:rFonts w:ascii="Times New Roman" w:hAnsi="Times New Roman"/>
          <w:sz w:val="24"/>
          <w:szCs w:val="24"/>
        </w:rPr>
        <w:t>.</w:t>
      </w:r>
    </w:p>
    <w:p w14:paraId="5EBB05B0" w14:textId="77777777" w:rsidR="0071407C" w:rsidRPr="002B3DAC" w:rsidRDefault="0071407C" w:rsidP="0071407C">
      <w:pPr>
        <w:shd w:val="clear" w:color="auto" w:fill="FFFFFF"/>
        <w:spacing w:before="100" w:beforeAutospacing="1" w:after="100" w:afterAutospacing="1" w:line="240" w:lineRule="auto"/>
        <w:jc w:val="both"/>
        <w:rPr>
          <w:rFonts w:ascii="Times New Roman" w:hAnsi="Times New Roman"/>
          <w:sz w:val="24"/>
          <w:szCs w:val="24"/>
        </w:rPr>
      </w:pPr>
    </w:p>
    <w:p w14:paraId="47D60DB3" w14:textId="77777777" w:rsidR="001D449C" w:rsidRPr="002B3DAC" w:rsidRDefault="002C3A95" w:rsidP="001D449C">
      <w:pPr>
        <w:pStyle w:val="Prrafodelista"/>
        <w:numPr>
          <w:ilvl w:val="0"/>
          <w:numId w:val="27"/>
        </w:numPr>
        <w:spacing w:line="254" w:lineRule="auto"/>
        <w:jc w:val="both"/>
        <w:rPr>
          <w:rFonts w:ascii="Times New Roman" w:hAnsi="Times New Roman"/>
          <w:b/>
          <w:bCs/>
          <w:sz w:val="24"/>
          <w:szCs w:val="24"/>
        </w:rPr>
      </w:pPr>
      <w:r w:rsidRPr="002B3DAC">
        <w:rPr>
          <w:rFonts w:ascii="Times New Roman" w:hAnsi="Times New Roman"/>
          <w:b/>
          <w:bCs/>
          <w:sz w:val="24"/>
          <w:szCs w:val="24"/>
        </w:rPr>
        <w:t>Modifíquese el articulo 143 de la siguiente forma:</w:t>
      </w:r>
    </w:p>
    <w:p w14:paraId="79D860EB" w14:textId="77777777" w:rsidR="002A6C4B" w:rsidRPr="002B3DAC" w:rsidRDefault="002A6C4B" w:rsidP="002A6C4B">
      <w:pPr>
        <w:pStyle w:val="Prrafodelista"/>
        <w:spacing w:line="254" w:lineRule="auto"/>
        <w:jc w:val="both"/>
        <w:rPr>
          <w:rFonts w:ascii="Times New Roman" w:hAnsi="Times New Roman"/>
          <w:b/>
          <w:bCs/>
          <w:sz w:val="24"/>
          <w:szCs w:val="24"/>
        </w:rPr>
      </w:pPr>
    </w:p>
    <w:p w14:paraId="7D0B0FDA" w14:textId="77777777" w:rsidR="002A6C4B" w:rsidRPr="002B3DAC" w:rsidRDefault="002A6C4B" w:rsidP="002A6C4B">
      <w:pPr>
        <w:pStyle w:val="Prrafodelista"/>
        <w:numPr>
          <w:ilvl w:val="0"/>
          <w:numId w:val="33"/>
        </w:numPr>
        <w:spacing w:line="254" w:lineRule="auto"/>
        <w:ind w:left="709" w:hanging="709"/>
        <w:jc w:val="both"/>
        <w:rPr>
          <w:rFonts w:ascii="Times New Roman" w:hAnsi="Times New Roman"/>
          <w:b/>
          <w:bCs/>
          <w:sz w:val="24"/>
          <w:szCs w:val="24"/>
        </w:rPr>
      </w:pPr>
      <w:r w:rsidRPr="002B3DAC">
        <w:rPr>
          <w:rFonts w:ascii="Times New Roman" w:hAnsi="Times New Roman"/>
          <w:b/>
          <w:bCs/>
          <w:sz w:val="24"/>
          <w:szCs w:val="24"/>
        </w:rPr>
        <w:t>Agréguese un nuevo inciso segundo del siguiente tenor:</w:t>
      </w:r>
    </w:p>
    <w:p w14:paraId="2C6C2165" w14:textId="77777777" w:rsidR="00525F89" w:rsidRPr="002B3DAC" w:rsidRDefault="00525F89" w:rsidP="00525F89">
      <w:pPr>
        <w:pStyle w:val="Prrafodelista"/>
        <w:spacing w:line="254" w:lineRule="auto"/>
        <w:ind w:left="709"/>
        <w:jc w:val="both"/>
        <w:rPr>
          <w:rFonts w:ascii="Times New Roman" w:hAnsi="Times New Roman"/>
          <w:b/>
          <w:bCs/>
          <w:sz w:val="24"/>
          <w:szCs w:val="24"/>
        </w:rPr>
      </w:pPr>
    </w:p>
    <w:p w14:paraId="4B49FBA1" w14:textId="77777777" w:rsidR="0071407C" w:rsidRPr="002B3DAC" w:rsidRDefault="008B419C" w:rsidP="008B419C">
      <w:pPr>
        <w:spacing w:line="256" w:lineRule="auto"/>
        <w:jc w:val="both"/>
        <w:rPr>
          <w:rFonts w:ascii="Times New Roman" w:hAnsi="Times New Roman"/>
          <w:sz w:val="24"/>
          <w:szCs w:val="24"/>
        </w:rPr>
      </w:pPr>
      <w:r w:rsidRPr="002B3DAC">
        <w:rPr>
          <w:rFonts w:ascii="Times New Roman" w:eastAsia="Times New Roman" w:hAnsi="Times New Roman"/>
          <w:sz w:val="24"/>
          <w:szCs w:val="24"/>
          <w:lang w:eastAsia="es-CL"/>
        </w:rPr>
        <w:t>“El juez no podrá tener por confirmadas las hipótesis de existencia</w:t>
      </w:r>
      <w:r w:rsidR="005810F3" w:rsidRPr="002B3DAC">
        <w:rPr>
          <w:rFonts w:ascii="Times New Roman" w:eastAsia="Times New Roman" w:hAnsi="Times New Roman"/>
          <w:sz w:val="24"/>
          <w:szCs w:val="24"/>
          <w:lang w:eastAsia="es-CL"/>
        </w:rPr>
        <w:t xml:space="preserve"> del hecho</w:t>
      </w:r>
      <w:r w:rsidRPr="002B3DAC">
        <w:rPr>
          <w:rFonts w:ascii="Times New Roman" w:eastAsia="Times New Roman" w:hAnsi="Times New Roman"/>
          <w:sz w:val="24"/>
          <w:szCs w:val="24"/>
          <w:lang w:eastAsia="es-CL"/>
        </w:rPr>
        <w:t xml:space="preserve"> y participación punibles a las que se refieren las letras a) y b) del artículo 140 atendiendo sólo a la cantidad de antecedentes </w:t>
      </w:r>
      <w:r w:rsidR="005810F3" w:rsidRPr="002B3DAC">
        <w:rPr>
          <w:rFonts w:ascii="Times New Roman" w:eastAsia="Times New Roman" w:hAnsi="Times New Roman"/>
          <w:sz w:val="24"/>
          <w:szCs w:val="24"/>
          <w:lang w:eastAsia="es-CL"/>
        </w:rPr>
        <w:t>de cargo</w:t>
      </w:r>
      <w:r w:rsidRPr="002B3DAC">
        <w:rPr>
          <w:rFonts w:ascii="Times New Roman" w:eastAsia="Times New Roman" w:hAnsi="Times New Roman"/>
          <w:sz w:val="24"/>
          <w:szCs w:val="24"/>
          <w:lang w:eastAsia="es-CL"/>
        </w:rPr>
        <w:t xml:space="preserve"> acreditados por el </w:t>
      </w:r>
      <w:r w:rsidR="005810F3" w:rsidRPr="002B3DAC">
        <w:rPr>
          <w:rFonts w:ascii="Times New Roman" w:eastAsia="Times New Roman" w:hAnsi="Times New Roman"/>
          <w:sz w:val="24"/>
          <w:szCs w:val="24"/>
          <w:lang w:eastAsia="es-CL"/>
        </w:rPr>
        <w:t>ente persecutor</w:t>
      </w:r>
      <w:r w:rsidRPr="002B3DAC">
        <w:rPr>
          <w:rFonts w:ascii="Times New Roman" w:eastAsia="Times New Roman" w:hAnsi="Times New Roman"/>
          <w:sz w:val="24"/>
          <w:szCs w:val="24"/>
          <w:lang w:eastAsia="es-CL"/>
        </w:rPr>
        <w:t xml:space="preserve">, sino también a su calidad </w:t>
      </w:r>
      <w:r w:rsidR="00863F96" w:rsidRPr="002B3DAC">
        <w:rPr>
          <w:rFonts w:ascii="Times New Roman" w:eastAsia="Times New Roman" w:hAnsi="Times New Roman"/>
          <w:sz w:val="24"/>
          <w:szCs w:val="24"/>
          <w:lang w:eastAsia="es-CL"/>
        </w:rPr>
        <w:t xml:space="preserve">conforme con los </w:t>
      </w:r>
      <w:r w:rsidR="00863F96" w:rsidRPr="002B3DAC">
        <w:rPr>
          <w:rFonts w:ascii="Times New Roman" w:hAnsi="Times New Roman"/>
          <w:sz w:val="24"/>
          <w:szCs w:val="24"/>
        </w:rPr>
        <w:t>estándares previstos en el inciso segundo del artículo 139</w:t>
      </w:r>
      <w:r w:rsidR="00542D5F" w:rsidRPr="002B3DAC">
        <w:rPr>
          <w:rFonts w:ascii="Times New Roman" w:hAnsi="Times New Roman"/>
          <w:sz w:val="24"/>
          <w:szCs w:val="24"/>
        </w:rPr>
        <w:t xml:space="preserve">, </w:t>
      </w:r>
      <w:r w:rsidRPr="002B3DAC">
        <w:rPr>
          <w:rFonts w:ascii="Times New Roman" w:eastAsia="Times New Roman" w:hAnsi="Times New Roman"/>
          <w:sz w:val="24"/>
          <w:szCs w:val="24"/>
          <w:lang w:eastAsia="es-CL"/>
        </w:rPr>
        <w:t>y a su coherencia con la</w:t>
      </w:r>
      <w:r w:rsidRPr="002B3DAC">
        <w:rPr>
          <w:rFonts w:ascii="Times New Roman" w:hAnsi="Times New Roman"/>
          <w:sz w:val="24"/>
          <w:szCs w:val="24"/>
        </w:rPr>
        <w:t xml:space="preserve"> versión preliminar de los hechos que aquel presenta”.</w:t>
      </w:r>
      <w:r w:rsidR="00BC2363" w:rsidRPr="002B3DAC">
        <w:rPr>
          <w:rFonts w:ascii="Times New Roman" w:hAnsi="Times New Roman"/>
          <w:sz w:val="24"/>
          <w:szCs w:val="24"/>
        </w:rPr>
        <w:t xml:space="preserve"> </w:t>
      </w:r>
      <w:r w:rsidR="0036087C" w:rsidRPr="002B3DAC">
        <w:rPr>
          <w:rFonts w:ascii="Times New Roman" w:hAnsi="Times New Roman"/>
          <w:sz w:val="24"/>
          <w:szCs w:val="24"/>
        </w:rPr>
        <w:t xml:space="preserve">La cantidad, calidad y coherencia de </w:t>
      </w:r>
      <w:r w:rsidR="005810F3" w:rsidRPr="002B3DAC">
        <w:rPr>
          <w:rFonts w:ascii="Times New Roman" w:hAnsi="Times New Roman"/>
          <w:sz w:val="24"/>
          <w:szCs w:val="24"/>
        </w:rPr>
        <w:t xml:space="preserve">los datos informativos </w:t>
      </w:r>
      <w:r w:rsidR="0036087C" w:rsidRPr="002B3DAC">
        <w:rPr>
          <w:rFonts w:ascii="Times New Roman" w:hAnsi="Times New Roman"/>
          <w:sz w:val="24"/>
          <w:szCs w:val="24"/>
        </w:rPr>
        <w:t>ha</w:t>
      </w:r>
      <w:r w:rsidR="00BC2363" w:rsidRPr="002B3DAC">
        <w:rPr>
          <w:rFonts w:ascii="Times New Roman" w:hAnsi="Times New Roman"/>
          <w:sz w:val="24"/>
          <w:szCs w:val="24"/>
        </w:rPr>
        <w:t>n de ser expresamente manifestadas por el juez en su resolución”.</w:t>
      </w:r>
    </w:p>
    <w:p w14:paraId="70472474" w14:textId="77777777" w:rsidR="0071407C" w:rsidRPr="002B3DAC" w:rsidRDefault="0071407C" w:rsidP="008B419C">
      <w:pPr>
        <w:spacing w:line="256" w:lineRule="auto"/>
        <w:jc w:val="both"/>
        <w:rPr>
          <w:rFonts w:ascii="Times New Roman" w:eastAsia="Times New Roman" w:hAnsi="Times New Roman"/>
          <w:sz w:val="24"/>
          <w:szCs w:val="24"/>
          <w:lang w:eastAsia="es-CL"/>
        </w:rPr>
      </w:pPr>
    </w:p>
    <w:p w14:paraId="744E7597" w14:textId="77777777" w:rsidR="002A6C4B" w:rsidRPr="002B3DAC" w:rsidRDefault="002A6C4B" w:rsidP="002A6C4B">
      <w:pPr>
        <w:pStyle w:val="Prrafodelista"/>
        <w:numPr>
          <w:ilvl w:val="0"/>
          <w:numId w:val="33"/>
        </w:numPr>
        <w:spacing w:line="254" w:lineRule="auto"/>
        <w:ind w:left="709" w:hanging="709"/>
        <w:jc w:val="both"/>
        <w:rPr>
          <w:rFonts w:ascii="Times New Roman" w:hAnsi="Times New Roman"/>
          <w:b/>
          <w:bCs/>
          <w:sz w:val="24"/>
          <w:szCs w:val="24"/>
        </w:rPr>
      </w:pPr>
      <w:r w:rsidRPr="002B3DAC">
        <w:rPr>
          <w:rFonts w:ascii="Times New Roman" w:hAnsi="Times New Roman"/>
          <w:b/>
          <w:bCs/>
          <w:sz w:val="24"/>
          <w:szCs w:val="24"/>
        </w:rPr>
        <w:t>Agréguese un nuevo inciso tercero del siguiente tenor:</w:t>
      </w:r>
    </w:p>
    <w:p w14:paraId="01022103" w14:textId="77777777" w:rsidR="002A6C4B" w:rsidRPr="002B3DAC" w:rsidRDefault="002A6C4B" w:rsidP="002A6C4B">
      <w:pPr>
        <w:pStyle w:val="Prrafodelista"/>
        <w:rPr>
          <w:rFonts w:ascii="Times New Roman" w:hAnsi="Times New Roman"/>
          <w:b/>
          <w:bCs/>
          <w:sz w:val="24"/>
          <w:szCs w:val="24"/>
        </w:rPr>
      </w:pPr>
    </w:p>
    <w:p w14:paraId="49B92D02" w14:textId="77777777" w:rsidR="009852B2" w:rsidRPr="002B3DAC" w:rsidRDefault="008B419C" w:rsidP="009852B2">
      <w:pPr>
        <w:spacing w:line="254" w:lineRule="auto"/>
        <w:jc w:val="both"/>
        <w:rPr>
          <w:rFonts w:ascii="Times New Roman" w:hAnsi="Times New Roman"/>
          <w:sz w:val="24"/>
          <w:szCs w:val="24"/>
        </w:rPr>
      </w:pPr>
      <w:r w:rsidRPr="002B3DAC">
        <w:rPr>
          <w:rFonts w:ascii="Times New Roman" w:hAnsi="Times New Roman"/>
          <w:sz w:val="24"/>
          <w:szCs w:val="24"/>
        </w:rPr>
        <w:t xml:space="preserve">“Las hipótesis de peligro a que se refiere la letra c) del articulo 140 no se presumen. </w:t>
      </w:r>
      <w:r w:rsidR="00413556" w:rsidRPr="002B3DAC">
        <w:rPr>
          <w:rFonts w:ascii="Times New Roman" w:hAnsi="Times New Roman"/>
          <w:sz w:val="24"/>
          <w:szCs w:val="24"/>
        </w:rPr>
        <w:t>Deberá establecerse mediante un juicio de</w:t>
      </w:r>
      <w:r w:rsidR="00C40821" w:rsidRPr="002B3DAC">
        <w:rPr>
          <w:rFonts w:ascii="Times New Roman" w:hAnsi="Times New Roman"/>
          <w:sz w:val="24"/>
          <w:szCs w:val="24"/>
        </w:rPr>
        <w:t xml:space="preserve"> </w:t>
      </w:r>
      <w:r w:rsidR="00CD7CF5" w:rsidRPr="002B3DAC">
        <w:rPr>
          <w:rFonts w:ascii="Times New Roman" w:hAnsi="Times New Roman"/>
          <w:sz w:val="24"/>
          <w:szCs w:val="24"/>
        </w:rPr>
        <w:t xml:space="preserve">alta probabilidad de </w:t>
      </w:r>
      <w:r w:rsidR="00413556" w:rsidRPr="002B3DAC">
        <w:rPr>
          <w:rFonts w:ascii="Times New Roman" w:hAnsi="Times New Roman"/>
          <w:sz w:val="24"/>
          <w:szCs w:val="24"/>
        </w:rPr>
        <w:t xml:space="preserve">ocurrencia de </w:t>
      </w:r>
      <w:r w:rsidR="00CD7CF5" w:rsidRPr="002B3DAC">
        <w:rPr>
          <w:rFonts w:ascii="Times New Roman" w:eastAsia="Times New Roman" w:hAnsi="Times New Roman"/>
          <w:color w:val="2E2E2E"/>
          <w:sz w:val="24"/>
          <w:szCs w:val="24"/>
          <w:lang w:eastAsia="es-CL"/>
        </w:rPr>
        <w:t>conductas futuras del imputado que pondrían en riesgo</w:t>
      </w:r>
      <w:r w:rsidR="005810F3" w:rsidRPr="002B3DAC">
        <w:rPr>
          <w:rFonts w:ascii="Times New Roman" w:eastAsia="Times New Roman" w:hAnsi="Times New Roman"/>
          <w:color w:val="2E2E2E"/>
          <w:sz w:val="24"/>
          <w:szCs w:val="24"/>
          <w:lang w:eastAsia="es-CL"/>
        </w:rPr>
        <w:t xml:space="preserve"> </w:t>
      </w:r>
      <w:r w:rsidR="005810F3" w:rsidRPr="002B3DAC">
        <w:rPr>
          <w:rFonts w:ascii="Times New Roman" w:eastAsia="Times New Roman" w:hAnsi="Times New Roman"/>
          <w:sz w:val="24"/>
          <w:szCs w:val="24"/>
          <w:lang w:eastAsia="es-CL"/>
        </w:rPr>
        <w:t>los fines del procedimiento y</w:t>
      </w:r>
      <w:r w:rsidR="00CD7CF5" w:rsidRPr="002B3DAC">
        <w:rPr>
          <w:rFonts w:ascii="Times New Roman" w:eastAsia="Times New Roman" w:hAnsi="Times New Roman"/>
          <w:sz w:val="24"/>
          <w:szCs w:val="24"/>
          <w:lang w:eastAsia="es-CL"/>
        </w:rPr>
        <w:t xml:space="preserve"> </w:t>
      </w:r>
      <w:r w:rsidR="00CD7CF5" w:rsidRPr="002B3DAC">
        <w:rPr>
          <w:rFonts w:ascii="Times New Roman" w:eastAsia="Times New Roman" w:hAnsi="Times New Roman"/>
          <w:color w:val="2E2E2E"/>
          <w:sz w:val="24"/>
          <w:szCs w:val="24"/>
          <w:lang w:eastAsia="es-CL"/>
        </w:rPr>
        <w:t xml:space="preserve">la seguridad del ofendido, </w:t>
      </w:r>
      <w:r w:rsidR="00CD7CF5" w:rsidRPr="002B3DAC">
        <w:rPr>
          <w:rFonts w:ascii="Times New Roman" w:hAnsi="Times New Roman"/>
          <w:sz w:val="24"/>
          <w:szCs w:val="24"/>
        </w:rPr>
        <w:t xml:space="preserve">fundado en </w:t>
      </w:r>
      <w:r w:rsidR="00B2708B" w:rsidRPr="002B3DAC">
        <w:rPr>
          <w:rFonts w:ascii="Times New Roman" w:hAnsi="Times New Roman"/>
          <w:sz w:val="24"/>
          <w:szCs w:val="24"/>
        </w:rPr>
        <w:t xml:space="preserve">evidencia </w:t>
      </w:r>
      <w:r w:rsidR="00D65725" w:rsidRPr="002B3DAC">
        <w:rPr>
          <w:rFonts w:ascii="Times New Roman" w:hAnsi="Times New Roman"/>
          <w:sz w:val="24"/>
          <w:szCs w:val="24"/>
        </w:rPr>
        <w:t xml:space="preserve">de calidad </w:t>
      </w:r>
      <w:r w:rsidR="00413556" w:rsidRPr="002B3DAC">
        <w:rPr>
          <w:rFonts w:ascii="Times New Roman" w:hAnsi="Times New Roman"/>
          <w:sz w:val="24"/>
          <w:szCs w:val="24"/>
        </w:rPr>
        <w:t xml:space="preserve">de </w:t>
      </w:r>
      <w:r w:rsidR="00CD7CF5" w:rsidRPr="002B3DAC">
        <w:rPr>
          <w:rFonts w:ascii="Times New Roman" w:hAnsi="Times New Roman"/>
          <w:sz w:val="24"/>
          <w:szCs w:val="24"/>
        </w:rPr>
        <w:t>circunstancias del caso concreto y en máximas de la experiencia</w:t>
      </w:r>
      <w:r w:rsidR="00D65725" w:rsidRPr="002B3DAC">
        <w:rPr>
          <w:rFonts w:ascii="Times New Roman" w:hAnsi="Times New Roman"/>
          <w:sz w:val="24"/>
          <w:szCs w:val="24"/>
        </w:rPr>
        <w:t>.</w:t>
      </w:r>
      <w:r w:rsidR="00462E68" w:rsidRPr="002B3DAC">
        <w:rPr>
          <w:rFonts w:ascii="Times New Roman" w:eastAsia="Times New Roman" w:hAnsi="Times New Roman"/>
          <w:color w:val="2E2E2E"/>
          <w:sz w:val="24"/>
          <w:szCs w:val="24"/>
          <w:lang w:eastAsia="es-CL"/>
        </w:rPr>
        <w:t xml:space="preserve"> Razonamiento que </w:t>
      </w:r>
      <w:r w:rsidR="00462E68" w:rsidRPr="002B3DAC">
        <w:rPr>
          <w:rFonts w:ascii="Times New Roman" w:hAnsi="Times New Roman"/>
          <w:sz w:val="24"/>
          <w:szCs w:val="24"/>
        </w:rPr>
        <w:t>ha de ser expresamente manifestado por el juez en su resolución”.</w:t>
      </w:r>
    </w:p>
    <w:p w14:paraId="0C4AB06A" w14:textId="77777777" w:rsidR="00024BF6" w:rsidRPr="002B3DAC" w:rsidRDefault="00024BF6" w:rsidP="009852B2">
      <w:pPr>
        <w:spacing w:line="254" w:lineRule="auto"/>
        <w:jc w:val="both"/>
        <w:rPr>
          <w:rFonts w:ascii="Times New Roman" w:hAnsi="Times New Roman"/>
          <w:b/>
          <w:bCs/>
          <w:sz w:val="24"/>
          <w:szCs w:val="24"/>
        </w:rPr>
      </w:pPr>
    </w:p>
    <w:p w14:paraId="285E7B32" w14:textId="77777777" w:rsidR="009852B2" w:rsidRPr="002B3DAC" w:rsidRDefault="009852B2" w:rsidP="00BC3AAB">
      <w:pPr>
        <w:pStyle w:val="Prrafodelista"/>
        <w:numPr>
          <w:ilvl w:val="0"/>
          <w:numId w:val="33"/>
        </w:numPr>
        <w:spacing w:line="254" w:lineRule="auto"/>
        <w:ind w:left="709" w:hanging="709"/>
        <w:jc w:val="both"/>
        <w:rPr>
          <w:rFonts w:ascii="Times New Roman" w:hAnsi="Times New Roman"/>
          <w:b/>
          <w:bCs/>
          <w:sz w:val="24"/>
          <w:szCs w:val="24"/>
        </w:rPr>
      </w:pPr>
      <w:r w:rsidRPr="002B3DAC">
        <w:rPr>
          <w:rFonts w:ascii="Times New Roman" w:hAnsi="Times New Roman"/>
          <w:b/>
          <w:bCs/>
          <w:sz w:val="24"/>
          <w:szCs w:val="24"/>
        </w:rPr>
        <w:t>Agréguese un nuevo inciso cuarto del siguiente tenor:</w:t>
      </w:r>
    </w:p>
    <w:p w14:paraId="4BA8F8D7" w14:textId="77777777" w:rsidR="009852B2" w:rsidRPr="002B3DAC" w:rsidRDefault="0071407C" w:rsidP="00BC3AAB">
      <w:pPr>
        <w:jc w:val="both"/>
        <w:rPr>
          <w:rFonts w:ascii="Times New Roman" w:eastAsia="Times New Roman" w:hAnsi="Times New Roman"/>
          <w:color w:val="2E2E2E"/>
          <w:sz w:val="24"/>
          <w:szCs w:val="24"/>
          <w:lang w:eastAsia="es-CL"/>
        </w:rPr>
      </w:pPr>
      <w:r w:rsidRPr="002B3DAC">
        <w:rPr>
          <w:rFonts w:ascii="Times New Roman" w:hAnsi="Times New Roman"/>
          <w:sz w:val="24"/>
          <w:szCs w:val="24"/>
        </w:rPr>
        <w:t>“</w:t>
      </w:r>
      <w:r w:rsidR="009852B2" w:rsidRPr="002B3DAC">
        <w:rPr>
          <w:rFonts w:ascii="Times New Roman" w:hAnsi="Times New Roman"/>
          <w:sz w:val="24"/>
          <w:szCs w:val="24"/>
        </w:rPr>
        <w:t xml:space="preserve">Se expresarán, finalmente, los </w:t>
      </w:r>
      <w:r w:rsidR="000B66F8" w:rsidRPr="002B3DAC">
        <w:rPr>
          <w:rFonts w:ascii="Times New Roman" w:hAnsi="Times New Roman"/>
          <w:sz w:val="24"/>
          <w:szCs w:val="24"/>
        </w:rPr>
        <w:t>antecedentes</w:t>
      </w:r>
      <w:r w:rsidR="000B66F8" w:rsidRPr="002B3DAC">
        <w:rPr>
          <w:rFonts w:ascii="Times New Roman" w:eastAsia="Times New Roman" w:hAnsi="Times New Roman"/>
          <w:color w:val="2E2E2E"/>
          <w:sz w:val="24"/>
          <w:szCs w:val="24"/>
          <w:lang w:eastAsia="es-CL"/>
        </w:rPr>
        <w:t xml:space="preserve"> de hecho que permitan sostener razonablemente que, cada una de las demás medidas cautelares personales, no alcanzan para una cautela suficiente</w:t>
      </w:r>
      <w:r w:rsidRPr="002B3DAC">
        <w:rPr>
          <w:rFonts w:ascii="Times New Roman" w:eastAsia="Times New Roman" w:hAnsi="Times New Roman"/>
          <w:color w:val="2E2E2E"/>
          <w:sz w:val="24"/>
          <w:szCs w:val="24"/>
          <w:lang w:eastAsia="es-CL"/>
        </w:rPr>
        <w:t>”</w:t>
      </w:r>
      <w:r w:rsidR="009852B2" w:rsidRPr="002B3DAC">
        <w:rPr>
          <w:rFonts w:ascii="Times New Roman" w:eastAsia="Times New Roman" w:hAnsi="Times New Roman"/>
          <w:color w:val="2E2E2E"/>
          <w:sz w:val="24"/>
          <w:szCs w:val="24"/>
          <w:lang w:eastAsia="es-CL"/>
        </w:rPr>
        <w:t>.</w:t>
      </w:r>
    </w:p>
    <w:p w14:paraId="2C5F3B7B" w14:textId="77777777" w:rsidR="00C3221C" w:rsidRPr="002B3DAC" w:rsidRDefault="00C3221C" w:rsidP="00BC3AAB">
      <w:pPr>
        <w:jc w:val="both"/>
        <w:rPr>
          <w:rFonts w:ascii="Times New Roman" w:eastAsia="Times New Roman" w:hAnsi="Times New Roman"/>
          <w:color w:val="2E2E2E"/>
          <w:sz w:val="24"/>
          <w:szCs w:val="24"/>
          <w:lang w:eastAsia="es-CL"/>
        </w:rPr>
      </w:pPr>
    </w:p>
    <w:p w14:paraId="5C799C52" w14:textId="77777777" w:rsidR="009852B2" w:rsidRPr="002B3DAC" w:rsidRDefault="009852B2" w:rsidP="009852B2">
      <w:pPr>
        <w:pStyle w:val="Prrafodelista"/>
        <w:numPr>
          <w:ilvl w:val="0"/>
          <w:numId w:val="38"/>
        </w:numPr>
        <w:spacing w:line="252" w:lineRule="auto"/>
        <w:ind w:hanging="720"/>
        <w:jc w:val="both"/>
        <w:rPr>
          <w:rFonts w:ascii="Times New Roman" w:hAnsi="Times New Roman"/>
          <w:b/>
          <w:bCs/>
          <w:sz w:val="24"/>
          <w:szCs w:val="24"/>
        </w:rPr>
      </w:pPr>
      <w:r w:rsidRPr="002B3DAC">
        <w:rPr>
          <w:rFonts w:ascii="Times New Roman" w:hAnsi="Times New Roman"/>
          <w:b/>
          <w:bCs/>
          <w:sz w:val="24"/>
          <w:szCs w:val="24"/>
        </w:rPr>
        <w:t>Agréguese un nuevo inciso quinto del siguiente tenor:</w:t>
      </w:r>
    </w:p>
    <w:p w14:paraId="406EF04C" w14:textId="77777777" w:rsidR="0069700B" w:rsidRPr="002B3DAC" w:rsidRDefault="0071407C" w:rsidP="0069700B">
      <w:pPr>
        <w:jc w:val="both"/>
        <w:rPr>
          <w:rFonts w:ascii="Times New Roman" w:eastAsia="Times New Roman" w:hAnsi="Times New Roman"/>
          <w:sz w:val="24"/>
          <w:szCs w:val="24"/>
          <w:lang w:eastAsia="es-CL"/>
        </w:rPr>
      </w:pPr>
      <w:r w:rsidRPr="002B3DAC">
        <w:rPr>
          <w:rFonts w:ascii="Times New Roman" w:eastAsia="Times New Roman" w:hAnsi="Times New Roman"/>
          <w:sz w:val="24"/>
          <w:szCs w:val="24"/>
          <w:lang w:eastAsia="es-CL"/>
        </w:rPr>
        <w:t>“</w:t>
      </w:r>
      <w:r w:rsidR="0069700B" w:rsidRPr="002B3DAC">
        <w:rPr>
          <w:rFonts w:ascii="Times New Roman" w:eastAsia="Times New Roman" w:hAnsi="Times New Roman"/>
          <w:sz w:val="24"/>
          <w:szCs w:val="24"/>
          <w:lang w:eastAsia="es-CL"/>
        </w:rPr>
        <w:t>Constituye prisión preventiva arbitraria aquella que carece de motivación suficiente conforme a los parámetros establecidos en este artículo</w:t>
      </w:r>
      <w:r w:rsidR="005810F3" w:rsidRPr="002B3DAC">
        <w:rPr>
          <w:rFonts w:ascii="Times New Roman" w:eastAsia="Times New Roman" w:hAnsi="Times New Roman"/>
          <w:sz w:val="24"/>
          <w:szCs w:val="24"/>
          <w:lang w:eastAsia="es-CL"/>
        </w:rPr>
        <w:t xml:space="preserve"> y en los artículos 36 y 143 de este Código</w:t>
      </w:r>
      <w:r w:rsidRPr="002B3DAC">
        <w:rPr>
          <w:rFonts w:ascii="Times New Roman" w:eastAsia="Times New Roman" w:hAnsi="Times New Roman"/>
          <w:sz w:val="24"/>
          <w:szCs w:val="24"/>
          <w:lang w:eastAsia="es-CL"/>
        </w:rPr>
        <w:t>”</w:t>
      </w:r>
      <w:r w:rsidR="0069700B" w:rsidRPr="002B3DAC">
        <w:rPr>
          <w:rFonts w:ascii="Times New Roman" w:eastAsia="Times New Roman" w:hAnsi="Times New Roman"/>
          <w:sz w:val="24"/>
          <w:szCs w:val="24"/>
          <w:lang w:eastAsia="es-CL"/>
        </w:rPr>
        <w:t>.</w:t>
      </w:r>
    </w:p>
    <w:p w14:paraId="7B056CC5" w14:textId="77777777" w:rsidR="00817DE1" w:rsidRPr="002B3DAC" w:rsidRDefault="00817DE1" w:rsidP="00817DE1">
      <w:pPr>
        <w:spacing w:line="254" w:lineRule="auto"/>
        <w:jc w:val="both"/>
        <w:rPr>
          <w:rFonts w:ascii="Times New Roman" w:hAnsi="Times New Roman"/>
          <w:b/>
          <w:bCs/>
          <w:sz w:val="24"/>
          <w:szCs w:val="24"/>
        </w:rPr>
      </w:pPr>
    </w:p>
    <w:p w14:paraId="1A2AC79E" w14:textId="77777777" w:rsidR="00817DE1" w:rsidRPr="002B3DAC" w:rsidRDefault="00DA10E5" w:rsidP="00024BF6">
      <w:pPr>
        <w:pStyle w:val="Prrafodelista"/>
        <w:numPr>
          <w:ilvl w:val="0"/>
          <w:numId w:val="27"/>
        </w:numPr>
        <w:tabs>
          <w:tab w:val="left" w:pos="851"/>
        </w:tabs>
        <w:spacing w:line="254" w:lineRule="auto"/>
        <w:ind w:left="0" w:firstLine="426"/>
        <w:jc w:val="both"/>
        <w:rPr>
          <w:rFonts w:ascii="Times New Roman" w:hAnsi="Times New Roman"/>
          <w:b/>
          <w:bCs/>
          <w:sz w:val="24"/>
          <w:szCs w:val="24"/>
        </w:rPr>
      </w:pPr>
      <w:r w:rsidRPr="002B3DAC">
        <w:rPr>
          <w:rFonts w:ascii="Times New Roman" w:hAnsi="Times New Roman"/>
          <w:sz w:val="24"/>
          <w:szCs w:val="24"/>
        </w:rPr>
        <w:t>Sustituyese en el inciso segundo del articulo 144, la frase “podrá rechazarla de plano; asimismo, podrá” por la palabra</w:t>
      </w:r>
      <w:r w:rsidRPr="002B3DAC">
        <w:rPr>
          <w:rFonts w:ascii="Times New Roman" w:hAnsi="Times New Roman"/>
          <w:b/>
          <w:bCs/>
          <w:sz w:val="24"/>
          <w:szCs w:val="24"/>
        </w:rPr>
        <w:t xml:space="preserve"> “deberá”.</w:t>
      </w:r>
    </w:p>
    <w:p w14:paraId="7638AA39" w14:textId="77777777" w:rsidR="00024BF6" w:rsidRPr="002B3DAC" w:rsidRDefault="00024BF6" w:rsidP="00024BF6">
      <w:pPr>
        <w:pStyle w:val="Prrafodelista"/>
        <w:spacing w:line="254" w:lineRule="auto"/>
        <w:ind w:left="567"/>
        <w:jc w:val="both"/>
        <w:rPr>
          <w:rFonts w:ascii="Times New Roman" w:hAnsi="Times New Roman"/>
          <w:b/>
          <w:bCs/>
          <w:sz w:val="24"/>
          <w:szCs w:val="24"/>
        </w:rPr>
      </w:pPr>
    </w:p>
    <w:p w14:paraId="76E744E4" w14:textId="77777777" w:rsidR="00817DE1" w:rsidRPr="002B3DAC" w:rsidRDefault="00817DE1" w:rsidP="00817DE1">
      <w:pPr>
        <w:pStyle w:val="Prrafodelista"/>
        <w:spacing w:line="254" w:lineRule="auto"/>
        <w:jc w:val="both"/>
        <w:rPr>
          <w:rFonts w:ascii="Times New Roman" w:hAnsi="Times New Roman"/>
          <w:b/>
          <w:bCs/>
          <w:sz w:val="24"/>
          <w:szCs w:val="24"/>
        </w:rPr>
      </w:pPr>
    </w:p>
    <w:p w14:paraId="214AC628" w14:textId="77777777" w:rsidR="002C3A95" w:rsidRPr="002B3DAC" w:rsidRDefault="00024BF6" w:rsidP="00024BF6">
      <w:pPr>
        <w:pStyle w:val="Prrafodelista"/>
        <w:numPr>
          <w:ilvl w:val="0"/>
          <w:numId w:val="27"/>
        </w:numPr>
        <w:spacing w:line="254" w:lineRule="auto"/>
        <w:ind w:hanging="294"/>
        <w:jc w:val="both"/>
        <w:rPr>
          <w:rFonts w:ascii="Times New Roman" w:hAnsi="Times New Roman"/>
          <w:b/>
          <w:bCs/>
          <w:sz w:val="24"/>
          <w:szCs w:val="24"/>
        </w:rPr>
      </w:pPr>
      <w:r w:rsidRPr="002B3DAC">
        <w:rPr>
          <w:rFonts w:ascii="Times New Roman" w:hAnsi="Times New Roman"/>
          <w:b/>
          <w:bCs/>
          <w:sz w:val="24"/>
          <w:szCs w:val="24"/>
        </w:rPr>
        <w:t xml:space="preserve">   </w:t>
      </w:r>
      <w:r w:rsidR="002C3A95" w:rsidRPr="002B3DAC">
        <w:rPr>
          <w:rFonts w:ascii="Times New Roman" w:hAnsi="Times New Roman"/>
          <w:b/>
          <w:bCs/>
          <w:sz w:val="24"/>
          <w:szCs w:val="24"/>
        </w:rPr>
        <w:t>Modifíquese el articulo 145 de la siguiente forma:</w:t>
      </w:r>
    </w:p>
    <w:p w14:paraId="4CA0B297" w14:textId="77777777" w:rsidR="00024BF6" w:rsidRPr="002B3DAC" w:rsidRDefault="00024BF6" w:rsidP="00024BF6">
      <w:pPr>
        <w:pStyle w:val="Prrafodelista"/>
        <w:spacing w:line="254" w:lineRule="auto"/>
        <w:jc w:val="both"/>
        <w:rPr>
          <w:rFonts w:ascii="Times New Roman" w:hAnsi="Times New Roman"/>
          <w:b/>
          <w:bCs/>
          <w:sz w:val="24"/>
          <w:szCs w:val="24"/>
        </w:rPr>
      </w:pPr>
    </w:p>
    <w:p w14:paraId="4BF01E53" w14:textId="77777777" w:rsidR="005B7FAC" w:rsidRPr="002B3DAC" w:rsidRDefault="005B7FAC" w:rsidP="005B7FAC">
      <w:pPr>
        <w:pStyle w:val="Prrafodelista"/>
        <w:spacing w:line="254" w:lineRule="auto"/>
        <w:jc w:val="both"/>
        <w:rPr>
          <w:rFonts w:ascii="Times New Roman" w:hAnsi="Times New Roman"/>
          <w:b/>
          <w:bCs/>
          <w:sz w:val="24"/>
          <w:szCs w:val="24"/>
        </w:rPr>
      </w:pPr>
    </w:p>
    <w:p w14:paraId="55C83D54" w14:textId="77777777" w:rsidR="00F860D4" w:rsidRPr="002B3DAC" w:rsidRDefault="00024BF6" w:rsidP="00616357">
      <w:pPr>
        <w:pStyle w:val="Prrafodelista"/>
        <w:numPr>
          <w:ilvl w:val="0"/>
          <w:numId w:val="35"/>
        </w:numPr>
        <w:spacing w:line="254" w:lineRule="auto"/>
        <w:ind w:hanging="720"/>
        <w:jc w:val="both"/>
        <w:rPr>
          <w:rFonts w:ascii="Times New Roman" w:hAnsi="Times New Roman"/>
          <w:b/>
          <w:bCs/>
          <w:sz w:val="24"/>
          <w:szCs w:val="24"/>
        </w:rPr>
      </w:pPr>
      <w:r w:rsidRPr="002B3DAC">
        <w:rPr>
          <w:rFonts w:ascii="Times New Roman" w:hAnsi="Times New Roman"/>
          <w:b/>
          <w:bCs/>
          <w:sz w:val="24"/>
          <w:szCs w:val="24"/>
        </w:rPr>
        <w:t xml:space="preserve">   </w:t>
      </w:r>
      <w:r w:rsidR="005B7FAC" w:rsidRPr="002B3DAC">
        <w:rPr>
          <w:rFonts w:ascii="Times New Roman" w:hAnsi="Times New Roman"/>
          <w:b/>
          <w:bCs/>
          <w:sz w:val="24"/>
          <w:szCs w:val="24"/>
        </w:rPr>
        <w:t>Sustitúyase en el inciso segundo</w:t>
      </w:r>
      <w:r w:rsidR="00F860D4" w:rsidRPr="002B3DAC">
        <w:rPr>
          <w:rFonts w:ascii="Times New Roman" w:hAnsi="Times New Roman"/>
          <w:b/>
          <w:bCs/>
          <w:sz w:val="24"/>
          <w:szCs w:val="24"/>
        </w:rPr>
        <w:t xml:space="preserve">, </w:t>
      </w:r>
      <w:r w:rsidR="005B7FAC" w:rsidRPr="002B3DAC">
        <w:rPr>
          <w:rFonts w:ascii="Times New Roman" w:hAnsi="Times New Roman"/>
          <w:sz w:val="24"/>
          <w:szCs w:val="24"/>
        </w:rPr>
        <w:t>la palabra “seis” por la palabra “tres”</w:t>
      </w:r>
    </w:p>
    <w:p w14:paraId="7DE59DEC" w14:textId="77777777" w:rsidR="00C07029" w:rsidRPr="002B3DAC" w:rsidRDefault="00C07029" w:rsidP="00C07029">
      <w:pPr>
        <w:pStyle w:val="Prrafodelista"/>
        <w:spacing w:line="254" w:lineRule="auto"/>
        <w:jc w:val="both"/>
        <w:rPr>
          <w:rFonts w:ascii="Times New Roman" w:hAnsi="Times New Roman"/>
          <w:b/>
          <w:bCs/>
          <w:sz w:val="24"/>
          <w:szCs w:val="24"/>
        </w:rPr>
      </w:pPr>
    </w:p>
    <w:p w14:paraId="6CE861D7" w14:textId="77777777" w:rsidR="00B81229" w:rsidRPr="002B3DAC" w:rsidRDefault="00024BF6" w:rsidP="00B81229">
      <w:pPr>
        <w:pStyle w:val="Prrafodelista"/>
        <w:numPr>
          <w:ilvl w:val="0"/>
          <w:numId w:val="35"/>
        </w:numPr>
        <w:ind w:hanging="720"/>
        <w:jc w:val="both"/>
        <w:rPr>
          <w:rFonts w:ascii="Times New Roman" w:hAnsi="Times New Roman"/>
          <w:b/>
          <w:bCs/>
          <w:color w:val="000000"/>
          <w:sz w:val="24"/>
          <w:szCs w:val="24"/>
        </w:rPr>
      </w:pPr>
      <w:r w:rsidRPr="002B3DAC">
        <w:rPr>
          <w:rFonts w:ascii="Times New Roman" w:hAnsi="Times New Roman"/>
          <w:b/>
          <w:bCs/>
          <w:color w:val="000000"/>
          <w:sz w:val="24"/>
          <w:szCs w:val="24"/>
        </w:rPr>
        <w:t xml:space="preserve">  </w:t>
      </w:r>
      <w:r w:rsidR="0074502C" w:rsidRPr="002B3DAC">
        <w:rPr>
          <w:rFonts w:ascii="Times New Roman" w:hAnsi="Times New Roman"/>
          <w:b/>
          <w:bCs/>
          <w:color w:val="000000"/>
          <w:sz w:val="24"/>
          <w:szCs w:val="24"/>
        </w:rPr>
        <w:t xml:space="preserve">Agregase un nuevo inciso </w:t>
      </w:r>
      <w:r w:rsidR="009852B2" w:rsidRPr="002B3DAC">
        <w:rPr>
          <w:rFonts w:ascii="Times New Roman" w:hAnsi="Times New Roman"/>
          <w:b/>
          <w:bCs/>
          <w:color w:val="000000"/>
          <w:sz w:val="24"/>
          <w:szCs w:val="24"/>
        </w:rPr>
        <w:t>cuarto</w:t>
      </w:r>
      <w:r w:rsidR="0074502C" w:rsidRPr="002B3DAC">
        <w:rPr>
          <w:rFonts w:ascii="Times New Roman" w:hAnsi="Times New Roman"/>
          <w:b/>
          <w:bCs/>
          <w:color w:val="000000"/>
          <w:sz w:val="24"/>
          <w:szCs w:val="24"/>
        </w:rPr>
        <w:t xml:space="preserve"> del siguiente tenor:</w:t>
      </w:r>
    </w:p>
    <w:p w14:paraId="29FE5FBB" w14:textId="77777777" w:rsidR="00E5612A" w:rsidRPr="002B3DAC" w:rsidRDefault="00853E3C" w:rsidP="00C07029">
      <w:pPr>
        <w:spacing w:line="254" w:lineRule="auto"/>
        <w:jc w:val="both"/>
        <w:rPr>
          <w:rFonts w:ascii="Times New Roman" w:hAnsi="Times New Roman"/>
          <w:color w:val="000000"/>
          <w:sz w:val="24"/>
          <w:szCs w:val="24"/>
        </w:rPr>
      </w:pPr>
      <w:r w:rsidRPr="002B3DAC">
        <w:rPr>
          <w:rFonts w:ascii="Times New Roman" w:hAnsi="Times New Roman"/>
          <w:color w:val="000000"/>
          <w:sz w:val="24"/>
          <w:szCs w:val="24"/>
        </w:rPr>
        <w:t>“La demora en el cierre de la investigación, no es imputable al sujeto preso.</w:t>
      </w:r>
      <w:r w:rsidR="00B81229" w:rsidRPr="002B3DAC">
        <w:rPr>
          <w:rFonts w:ascii="Times New Roman" w:hAnsi="Times New Roman"/>
          <w:color w:val="000000"/>
          <w:sz w:val="24"/>
          <w:szCs w:val="24"/>
        </w:rPr>
        <w:t xml:space="preserve"> El juez</w:t>
      </w:r>
      <w:r w:rsidRPr="002B3DAC">
        <w:rPr>
          <w:rFonts w:ascii="Times New Roman" w:hAnsi="Times New Roman"/>
          <w:color w:val="000000"/>
          <w:sz w:val="24"/>
          <w:szCs w:val="24"/>
        </w:rPr>
        <w:t xml:space="preserve"> </w:t>
      </w:r>
      <w:r w:rsidR="00B81229" w:rsidRPr="002B3DAC">
        <w:rPr>
          <w:rFonts w:ascii="Times New Roman" w:hAnsi="Times New Roman"/>
          <w:color w:val="000000"/>
          <w:sz w:val="24"/>
          <w:szCs w:val="24"/>
        </w:rPr>
        <w:t>n</w:t>
      </w:r>
      <w:r w:rsidR="005D2942" w:rsidRPr="002B3DAC">
        <w:rPr>
          <w:rFonts w:ascii="Times New Roman" w:hAnsi="Times New Roman"/>
          <w:color w:val="000000"/>
          <w:sz w:val="24"/>
          <w:szCs w:val="24"/>
        </w:rPr>
        <w:t xml:space="preserve">o </w:t>
      </w:r>
      <w:r w:rsidR="00B81229" w:rsidRPr="002B3DAC">
        <w:rPr>
          <w:rFonts w:ascii="Times New Roman" w:hAnsi="Times New Roman"/>
          <w:color w:val="000000"/>
          <w:sz w:val="24"/>
          <w:szCs w:val="24"/>
        </w:rPr>
        <w:t xml:space="preserve">podrá </w:t>
      </w:r>
      <w:r w:rsidR="0074502C" w:rsidRPr="002B3DAC">
        <w:rPr>
          <w:rFonts w:ascii="Times New Roman" w:hAnsi="Times New Roman"/>
          <w:color w:val="000000"/>
          <w:sz w:val="24"/>
          <w:szCs w:val="24"/>
        </w:rPr>
        <w:t xml:space="preserve">estimarla como </w:t>
      </w:r>
      <w:r w:rsidR="005D2942" w:rsidRPr="002B3DAC">
        <w:rPr>
          <w:rFonts w:ascii="Times New Roman" w:hAnsi="Times New Roman"/>
          <w:color w:val="000000"/>
          <w:sz w:val="24"/>
          <w:szCs w:val="24"/>
        </w:rPr>
        <w:t>razón</w:t>
      </w:r>
      <w:r w:rsidR="009C67C8" w:rsidRPr="002B3DAC">
        <w:rPr>
          <w:rFonts w:ascii="Times New Roman" w:hAnsi="Times New Roman"/>
          <w:color w:val="000000"/>
          <w:sz w:val="24"/>
          <w:szCs w:val="24"/>
        </w:rPr>
        <w:t xml:space="preserve"> suficiente para extender la</w:t>
      </w:r>
      <w:r w:rsidR="00B81229" w:rsidRPr="002B3DAC">
        <w:rPr>
          <w:rFonts w:ascii="Times New Roman" w:hAnsi="Times New Roman"/>
          <w:color w:val="000000"/>
          <w:sz w:val="24"/>
          <w:szCs w:val="24"/>
        </w:rPr>
        <w:t xml:space="preserve"> prisión preventiva</w:t>
      </w:r>
      <w:r w:rsidRPr="002B3DAC">
        <w:rPr>
          <w:rFonts w:ascii="Times New Roman" w:hAnsi="Times New Roman"/>
          <w:color w:val="000000"/>
          <w:sz w:val="24"/>
          <w:szCs w:val="24"/>
        </w:rPr>
        <w:t>”</w:t>
      </w:r>
      <w:r w:rsidR="0074502C" w:rsidRPr="002B3DAC">
        <w:rPr>
          <w:rFonts w:ascii="Times New Roman" w:hAnsi="Times New Roman"/>
          <w:color w:val="000000"/>
          <w:sz w:val="24"/>
          <w:szCs w:val="24"/>
        </w:rPr>
        <w:t>.</w:t>
      </w:r>
    </w:p>
    <w:p w14:paraId="1EAB4EB2" w14:textId="77777777" w:rsidR="00E5612A" w:rsidRPr="002B3DAC" w:rsidRDefault="001D449C" w:rsidP="00E5612A">
      <w:pPr>
        <w:pStyle w:val="Prrafodelista"/>
        <w:numPr>
          <w:ilvl w:val="0"/>
          <w:numId w:val="35"/>
        </w:numPr>
        <w:ind w:hanging="720"/>
        <w:jc w:val="both"/>
        <w:rPr>
          <w:rFonts w:ascii="Times New Roman" w:hAnsi="Times New Roman"/>
          <w:b/>
          <w:bCs/>
          <w:sz w:val="24"/>
          <w:szCs w:val="24"/>
        </w:rPr>
      </w:pPr>
      <w:r w:rsidRPr="002B3DAC">
        <w:rPr>
          <w:rFonts w:ascii="Times New Roman" w:hAnsi="Times New Roman"/>
          <w:b/>
          <w:bCs/>
          <w:sz w:val="24"/>
          <w:szCs w:val="24"/>
        </w:rPr>
        <w:t xml:space="preserve">   </w:t>
      </w:r>
      <w:r w:rsidR="00E5612A" w:rsidRPr="002B3DAC">
        <w:rPr>
          <w:rFonts w:ascii="Times New Roman" w:hAnsi="Times New Roman"/>
          <w:b/>
          <w:bCs/>
          <w:sz w:val="24"/>
          <w:szCs w:val="24"/>
        </w:rPr>
        <w:t>Agréguese un nuevo inciso quinto del siguiente tenor:</w:t>
      </w:r>
    </w:p>
    <w:p w14:paraId="2CF6BA43" w14:textId="77777777" w:rsidR="00E939DD" w:rsidRPr="002B3DAC" w:rsidRDefault="00E5612A" w:rsidP="00E8461C">
      <w:pPr>
        <w:jc w:val="both"/>
        <w:rPr>
          <w:rFonts w:ascii="Times New Roman" w:hAnsi="Times New Roman"/>
          <w:sz w:val="24"/>
          <w:szCs w:val="24"/>
        </w:rPr>
      </w:pPr>
      <w:r w:rsidRPr="002B3DAC">
        <w:rPr>
          <w:rFonts w:ascii="Times New Roman" w:hAnsi="Times New Roman"/>
          <w:color w:val="000000"/>
          <w:sz w:val="24"/>
          <w:szCs w:val="24"/>
        </w:rPr>
        <w:t xml:space="preserve">“La prisión preventiva no sujeta a </w:t>
      </w:r>
      <w:r w:rsidR="00573E0F" w:rsidRPr="002B3DAC">
        <w:rPr>
          <w:rFonts w:ascii="Times New Roman" w:hAnsi="Times New Roman"/>
          <w:color w:val="000000"/>
          <w:sz w:val="24"/>
          <w:szCs w:val="24"/>
        </w:rPr>
        <w:t xml:space="preserve">la </w:t>
      </w:r>
      <w:r w:rsidRPr="002B3DAC">
        <w:rPr>
          <w:rFonts w:ascii="Times New Roman" w:hAnsi="Times New Roman"/>
          <w:color w:val="000000"/>
          <w:sz w:val="24"/>
          <w:szCs w:val="24"/>
        </w:rPr>
        <w:t>revisión</w:t>
      </w:r>
      <w:r w:rsidR="00573E0F" w:rsidRPr="002B3DAC">
        <w:rPr>
          <w:rFonts w:ascii="Times New Roman" w:hAnsi="Times New Roman"/>
          <w:color w:val="000000"/>
          <w:sz w:val="24"/>
          <w:szCs w:val="24"/>
        </w:rPr>
        <w:t xml:space="preserve"> periódica que establece la ley, </w:t>
      </w:r>
      <w:r w:rsidRPr="002B3DAC">
        <w:rPr>
          <w:rFonts w:ascii="Times New Roman" w:hAnsi="Times New Roman"/>
          <w:color w:val="000000"/>
          <w:sz w:val="24"/>
          <w:szCs w:val="24"/>
        </w:rPr>
        <w:t>constituye prisión arbitraria</w:t>
      </w:r>
    </w:p>
    <w:p w14:paraId="10546DA4" w14:textId="77777777" w:rsidR="00DA10E5" w:rsidRPr="002B3DAC" w:rsidRDefault="00DA10E5" w:rsidP="00C07029">
      <w:pPr>
        <w:jc w:val="both"/>
        <w:rPr>
          <w:rFonts w:ascii="Times New Roman" w:hAnsi="Times New Roman"/>
          <w:b/>
          <w:bCs/>
          <w:sz w:val="24"/>
          <w:szCs w:val="24"/>
          <w:u w:val="single"/>
        </w:rPr>
      </w:pPr>
    </w:p>
    <w:p w14:paraId="11FEE321" w14:textId="77777777" w:rsidR="00E63163" w:rsidRPr="002B3DAC" w:rsidRDefault="00E63163" w:rsidP="00024BF6">
      <w:pPr>
        <w:pStyle w:val="Prrafodelista"/>
        <w:numPr>
          <w:ilvl w:val="0"/>
          <w:numId w:val="29"/>
        </w:numPr>
        <w:tabs>
          <w:tab w:val="left" w:pos="993"/>
        </w:tabs>
        <w:spacing w:line="254" w:lineRule="auto"/>
        <w:ind w:hanging="153"/>
        <w:jc w:val="both"/>
        <w:rPr>
          <w:rFonts w:ascii="Times New Roman" w:hAnsi="Times New Roman"/>
          <w:b/>
          <w:bCs/>
          <w:sz w:val="24"/>
          <w:szCs w:val="24"/>
        </w:rPr>
      </w:pPr>
      <w:r w:rsidRPr="002B3DAC">
        <w:rPr>
          <w:rFonts w:ascii="Times New Roman" w:hAnsi="Times New Roman"/>
          <w:b/>
          <w:bCs/>
          <w:sz w:val="24"/>
          <w:szCs w:val="24"/>
        </w:rPr>
        <w:t>Elimínese el inciso 2° y el inciso 3° del articulo 149</w:t>
      </w:r>
      <w:r w:rsidR="00024BF6" w:rsidRPr="002B3DAC">
        <w:rPr>
          <w:rFonts w:ascii="Times New Roman" w:hAnsi="Times New Roman"/>
          <w:b/>
          <w:bCs/>
          <w:sz w:val="24"/>
          <w:szCs w:val="24"/>
        </w:rPr>
        <w:t>.</w:t>
      </w:r>
    </w:p>
    <w:p w14:paraId="7A5C2574" w14:textId="77777777" w:rsidR="00E63163" w:rsidRPr="002B3DAC" w:rsidRDefault="00E63163" w:rsidP="00E63163">
      <w:pPr>
        <w:spacing w:line="254" w:lineRule="auto"/>
        <w:jc w:val="both"/>
        <w:rPr>
          <w:rFonts w:ascii="Times New Roman" w:hAnsi="Times New Roman"/>
          <w:b/>
          <w:bCs/>
          <w:color w:val="000000"/>
          <w:sz w:val="24"/>
          <w:szCs w:val="24"/>
        </w:rPr>
      </w:pPr>
    </w:p>
    <w:p w14:paraId="3C15C362" w14:textId="77777777" w:rsidR="00171EC7" w:rsidRPr="002B3DAC" w:rsidRDefault="00E8461C" w:rsidP="00E25B9A">
      <w:pPr>
        <w:pStyle w:val="Prrafodelista"/>
        <w:numPr>
          <w:ilvl w:val="0"/>
          <w:numId w:val="27"/>
        </w:numPr>
        <w:tabs>
          <w:tab w:val="left" w:pos="993"/>
        </w:tabs>
        <w:spacing w:line="254" w:lineRule="auto"/>
        <w:ind w:left="993" w:hanging="567"/>
        <w:jc w:val="both"/>
        <w:rPr>
          <w:rFonts w:ascii="Times New Roman" w:hAnsi="Times New Roman"/>
          <w:b/>
          <w:bCs/>
          <w:color w:val="000000"/>
          <w:sz w:val="24"/>
          <w:szCs w:val="24"/>
        </w:rPr>
      </w:pPr>
      <w:r w:rsidRPr="002B3DAC">
        <w:rPr>
          <w:rFonts w:ascii="Times New Roman" w:hAnsi="Times New Roman"/>
          <w:b/>
          <w:bCs/>
          <w:color w:val="000000"/>
          <w:sz w:val="24"/>
          <w:szCs w:val="24"/>
        </w:rPr>
        <w:t>Agregase un nuevo inciso tercero</w:t>
      </w:r>
      <w:r w:rsidRPr="002B3DAC">
        <w:rPr>
          <w:rFonts w:ascii="Times New Roman" w:hAnsi="Times New Roman"/>
          <w:b/>
          <w:bCs/>
          <w:sz w:val="24"/>
          <w:szCs w:val="24"/>
        </w:rPr>
        <w:t xml:space="preserve"> en</w:t>
      </w:r>
      <w:r w:rsidR="002D5998" w:rsidRPr="002B3DAC">
        <w:rPr>
          <w:rFonts w:ascii="Times New Roman" w:hAnsi="Times New Roman"/>
          <w:b/>
          <w:bCs/>
          <w:sz w:val="24"/>
          <w:szCs w:val="24"/>
        </w:rPr>
        <w:t xml:space="preserve"> el </w:t>
      </w:r>
      <w:r w:rsidR="00841BC7" w:rsidRPr="002B3DAC">
        <w:rPr>
          <w:rFonts w:ascii="Times New Roman" w:hAnsi="Times New Roman"/>
          <w:b/>
          <w:bCs/>
          <w:sz w:val="24"/>
          <w:szCs w:val="24"/>
        </w:rPr>
        <w:t>artículo</w:t>
      </w:r>
      <w:r w:rsidR="002D5998" w:rsidRPr="002B3DAC">
        <w:rPr>
          <w:rFonts w:ascii="Times New Roman" w:hAnsi="Times New Roman"/>
          <w:b/>
          <w:bCs/>
          <w:sz w:val="24"/>
          <w:szCs w:val="24"/>
        </w:rPr>
        <w:t xml:space="preserve"> 152 </w:t>
      </w:r>
      <w:r w:rsidR="00171EC7" w:rsidRPr="002B3DAC">
        <w:rPr>
          <w:rFonts w:ascii="Times New Roman" w:hAnsi="Times New Roman"/>
          <w:b/>
          <w:bCs/>
          <w:color w:val="000000"/>
          <w:sz w:val="24"/>
          <w:szCs w:val="24"/>
        </w:rPr>
        <w:t>del siguiente tenor:</w:t>
      </w:r>
    </w:p>
    <w:p w14:paraId="29F56457" w14:textId="77777777" w:rsidR="00841BC7" w:rsidRPr="002B3DAC" w:rsidRDefault="00171EC7" w:rsidP="00573E0F">
      <w:pPr>
        <w:shd w:val="clear" w:color="auto" w:fill="FFFFFF"/>
        <w:spacing w:before="100" w:beforeAutospacing="1" w:after="100" w:afterAutospacing="1" w:line="240" w:lineRule="auto"/>
        <w:jc w:val="both"/>
        <w:rPr>
          <w:rFonts w:ascii="Times New Roman" w:hAnsi="Times New Roman"/>
          <w:color w:val="000000"/>
          <w:sz w:val="24"/>
          <w:szCs w:val="24"/>
        </w:rPr>
      </w:pPr>
      <w:r w:rsidRPr="002B3DAC">
        <w:rPr>
          <w:rFonts w:ascii="Times New Roman" w:hAnsi="Times New Roman"/>
          <w:color w:val="000000"/>
          <w:sz w:val="24"/>
          <w:szCs w:val="24"/>
        </w:rPr>
        <w:t xml:space="preserve">“La prisión preventiva que se extiende más allá de un plazo razonable atendidas las circunstancias concretas del caso, constituye prisión arbitraria. La persona recluida tiene derecho a ser juzgada dentro de un plazo razonable o a ser puesta en libertad”. </w:t>
      </w:r>
    </w:p>
    <w:p w14:paraId="6AA8FCF9" w14:textId="77777777" w:rsidR="00904C2F" w:rsidRDefault="00904C2F" w:rsidP="00904C2F">
      <w:pPr>
        <w:shd w:val="clear" w:color="auto" w:fill="FFFFFF"/>
        <w:spacing w:after="0" w:line="240" w:lineRule="auto"/>
        <w:jc w:val="center"/>
        <w:rPr>
          <w:rFonts w:ascii="Trebuchet MS" w:hAnsi="Trebuchet MS"/>
        </w:rPr>
      </w:pPr>
    </w:p>
    <w:p w14:paraId="6FFDD769" w14:textId="77777777" w:rsidR="00F42176" w:rsidRDefault="00F42176" w:rsidP="00D42E1B">
      <w:pPr>
        <w:shd w:val="clear" w:color="auto" w:fill="FFFFFF"/>
        <w:spacing w:before="100" w:beforeAutospacing="1" w:after="100" w:afterAutospacing="1" w:line="240" w:lineRule="auto"/>
        <w:rPr>
          <w:rFonts w:ascii="Trebuchet MS" w:hAnsi="Trebuchet MS"/>
        </w:rPr>
      </w:pPr>
    </w:p>
    <w:sectPr w:rsidR="00F42176" w:rsidSect="002B3DAC">
      <w:headerReference w:type="default" r:id="rId9"/>
      <w:footerReference w:type="default" r:id="rId10"/>
      <w:pgSz w:w="11900" w:h="18700" w:code="7"/>
      <w:pgMar w:top="2272" w:right="1509" w:bottom="1418" w:left="212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FC4E" w14:textId="77777777" w:rsidR="004031E4" w:rsidRDefault="004031E4" w:rsidP="001C2888">
      <w:pPr>
        <w:spacing w:after="0" w:line="240" w:lineRule="auto"/>
      </w:pPr>
      <w:r>
        <w:separator/>
      </w:r>
    </w:p>
  </w:endnote>
  <w:endnote w:type="continuationSeparator" w:id="0">
    <w:p w14:paraId="536FBB8B" w14:textId="77777777" w:rsidR="004031E4" w:rsidRDefault="004031E4" w:rsidP="001C2888">
      <w:pPr>
        <w:spacing w:after="0" w:line="240" w:lineRule="auto"/>
      </w:pPr>
      <w:r>
        <w:continuationSeparator/>
      </w:r>
    </w:p>
  </w:endnote>
  <w:endnote w:type="continuationNotice" w:id="1">
    <w:p w14:paraId="79CD8B1A" w14:textId="77777777" w:rsidR="004031E4" w:rsidRDefault="004031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Extra Light">
    <w:charset w:val="00"/>
    <w:family w:val="swiss"/>
    <w:pitch w:val="variable"/>
    <w:sig w:usb0="8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F134" w14:textId="77777777" w:rsidR="00C83AAD" w:rsidRDefault="00C83AAD">
    <w:pPr>
      <w:pStyle w:val="Piedepgina"/>
      <w:jc w:val="right"/>
    </w:pPr>
    <w:r>
      <w:fldChar w:fldCharType="begin"/>
    </w:r>
    <w:r>
      <w:instrText>PAGE   \* MERGEFORMAT</w:instrText>
    </w:r>
    <w:r>
      <w:fldChar w:fldCharType="separate"/>
    </w:r>
    <w:r w:rsidR="00CD7BF5" w:rsidRPr="00CD7BF5">
      <w:rPr>
        <w:noProof/>
        <w:lang w:val="es-ES"/>
      </w:rPr>
      <w:t>1</w:t>
    </w:r>
    <w:r>
      <w:fldChar w:fldCharType="end"/>
    </w:r>
  </w:p>
  <w:p w14:paraId="4526339A" w14:textId="77777777" w:rsidR="00C83AAD" w:rsidRDefault="00C83AAD" w:rsidP="64B963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961EF" w14:textId="77777777" w:rsidR="004031E4" w:rsidRDefault="004031E4" w:rsidP="001C2888">
      <w:pPr>
        <w:spacing w:after="0" w:line="240" w:lineRule="auto"/>
      </w:pPr>
      <w:r>
        <w:separator/>
      </w:r>
    </w:p>
  </w:footnote>
  <w:footnote w:type="continuationSeparator" w:id="0">
    <w:p w14:paraId="526844EA" w14:textId="77777777" w:rsidR="004031E4" w:rsidRDefault="004031E4" w:rsidP="001C2888">
      <w:pPr>
        <w:spacing w:after="0" w:line="240" w:lineRule="auto"/>
      </w:pPr>
      <w:r>
        <w:continuationSeparator/>
      </w:r>
    </w:p>
  </w:footnote>
  <w:footnote w:type="continuationNotice" w:id="1">
    <w:p w14:paraId="027F9238" w14:textId="77777777" w:rsidR="004031E4" w:rsidRDefault="004031E4">
      <w:pPr>
        <w:spacing w:after="0" w:line="240" w:lineRule="auto"/>
      </w:pPr>
    </w:p>
  </w:footnote>
  <w:footnote w:id="2">
    <w:p w14:paraId="1A5B2153" w14:textId="77777777" w:rsidR="00C83AAD" w:rsidRPr="001F3635" w:rsidRDefault="00C83AAD" w:rsidP="001038DD">
      <w:pPr>
        <w:shd w:val="clear" w:color="auto" w:fill="FFFFFF"/>
        <w:spacing w:after="0" w:line="240" w:lineRule="auto"/>
        <w:jc w:val="both"/>
        <w:textAlignment w:val="baseline"/>
        <w:rPr>
          <w:rFonts w:ascii="Abadi" w:eastAsia="Times New Roman" w:hAnsi="Abadi" w:cs="Calibri"/>
          <w:color w:val="000000"/>
          <w:sz w:val="18"/>
          <w:szCs w:val="18"/>
          <w:lang w:eastAsia="es-CL"/>
        </w:rPr>
      </w:pPr>
      <w:r w:rsidRPr="00C60AAA">
        <w:rPr>
          <w:rStyle w:val="Refdenotaalpie"/>
          <w:rFonts w:ascii="Abadi" w:hAnsi="Abadi"/>
          <w:sz w:val="18"/>
          <w:szCs w:val="18"/>
        </w:rPr>
        <w:footnoteRef/>
      </w:r>
      <w:r w:rsidRPr="00C60AAA">
        <w:rPr>
          <w:rFonts w:ascii="Abadi" w:hAnsi="Abadi"/>
          <w:sz w:val="18"/>
          <w:szCs w:val="18"/>
        </w:rPr>
        <w:t xml:space="preserve"> </w:t>
      </w:r>
      <w:r w:rsidRPr="001F3635">
        <w:rPr>
          <w:rFonts w:ascii="Abadi" w:eastAsia="Times New Roman" w:hAnsi="Abadi" w:cs="Calibri"/>
          <w:color w:val="000000"/>
          <w:sz w:val="16"/>
          <w:szCs w:val="16"/>
          <w:lang w:eastAsia="es-CL"/>
        </w:rPr>
        <w:t>DÍEZ RIPOLLÉS, José L., “De la sociedad del riesgo a la seguridad ciudadana: un debate desenfocado”, Revista Electrónica de Ciencia Penal y Criminología, 2005, N ° 07-01.</w:t>
      </w:r>
    </w:p>
  </w:footnote>
  <w:footnote w:id="3">
    <w:p w14:paraId="351A2D97" w14:textId="77777777" w:rsidR="00C83AAD" w:rsidRPr="00A57BAC" w:rsidRDefault="00C83AAD" w:rsidP="001038DD">
      <w:pPr>
        <w:shd w:val="clear" w:color="auto" w:fill="FFFFFF"/>
        <w:spacing w:after="0" w:line="240" w:lineRule="auto"/>
        <w:jc w:val="both"/>
        <w:textAlignment w:val="baseline"/>
        <w:rPr>
          <w:rFonts w:ascii="Abadi" w:eastAsia="Times New Roman" w:hAnsi="Abadi"/>
          <w:color w:val="000000" w:themeColor="text1"/>
          <w:sz w:val="16"/>
          <w:szCs w:val="16"/>
          <w:lang w:eastAsia="es-CL"/>
        </w:rPr>
      </w:pPr>
      <w:r w:rsidRPr="00A57BAC">
        <w:rPr>
          <w:rStyle w:val="Refdenotaalpie"/>
          <w:rFonts w:ascii="Abadi" w:hAnsi="Abadi"/>
          <w:color w:val="000000" w:themeColor="text1"/>
          <w:sz w:val="16"/>
          <w:szCs w:val="16"/>
        </w:rPr>
        <w:footnoteRef/>
      </w:r>
      <w:r w:rsidRPr="00A57BAC">
        <w:rPr>
          <w:rFonts w:ascii="Abadi" w:hAnsi="Abadi"/>
          <w:color w:val="000000" w:themeColor="text1"/>
          <w:sz w:val="16"/>
          <w:szCs w:val="16"/>
        </w:rPr>
        <w:t xml:space="preserve"> </w:t>
      </w:r>
      <w:r w:rsidRPr="00A57BAC">
        <w:rPr>
          <w:rFonts w:ascii="Abadi" w:hAnsi="Abadi"/>
          <w:color w:val="000000" w:themeColor="text1"/>
          <w:sz w:val="16"/>
          <w:szCs w:val="16"/>
          <w:shd w:val="clear" w:color="auto" w:fill="FFFFFF"/>
        </w:rPr>
        <w:t xml:space="preserve">RAPETTI, Pablo: </w:t>
      </w:r>
      <w:r w:rsidRPr="00A57BAC">
        <w:rPr>
          <w:rFonts w:ascii="Abadi" w:eastAsia="Times New Roman" w:hAnsi="Abadi" w:cs="Calibri"/>
          <w:color w:val="000000" w:themeColor="text1"/>
          <w:sz w:val="16"/>
          <w:szCs w:val="16"/>
          <w:lang w:eastAsia="es-CL"/>
        </w:rPr>
        <w:t xml:space="preserve">El </w:t>
      </w:r>
      <w:proofErr w:type="spellStart"/>
      <w:r w:rsidRPr="00A57BAC">
        <w:rPr>
          <w:rFonts w:ascii="Abadi" w:eastAsia="Times New Roman" w:hAnsi="Abadi" w:cs="Calibri"/>
          <w:color w:val="000000" w:themeColor="text1"/>
          <w:sz w:val="16"/>
          <w:szCs w:val="16"/>
          <w:lang w:eastAsia="es-CL"/>
        </w:rPr>
        <w:t>neopunitivismo</w:t>
      </w:r>
      <w:proofErr w:type="spellEnd"/>
      <w:r w:rsidRPr="00A57BAC">
        <w:rPr>
          <w:rFonts w:ascii="Abadi" w:eastAsia="Times New Roman" w:hAnsi="Abadi" w:cs="Calibri"/>
          <w:color w:val="000000" w:themeColor="text1"/>
          <w:sz w:val="16"/>
          <w:szCs w:val="16"/>
          <w:lang w:eastAsia="es-CL"/>
        </w:rPr>
        <w:t xml:space="preserve"> como instrumento de (des)gobierno. Sobre una tendencia en España (que no es sólo de España) </w:t>
      </w:r>
      <w:hyperlink r:id="rId1" w:history="1">
        <w:r w:rsidRPr="00A57BAC">
          <w:rPr>
            <w:rStyle w:val="Hipervnculo"/>
            <w:rFonts w:ascii="Abadi" w:eastAsia="Times New Roman" w:hAnsi="Abadi" w:cs="Calibri"/>
            <w:color w:val="000000" w:themeColor="text1"/>
            <w:sz w:val="16"/>
            <w:szCs w:val="16"/>
            <w:lang w:eastAsia="es-CL"/>
          </w:rPr>
          <w:t>https://derechopenalonline.com/el-neopunitivismo-como-instrumento-de-desgobierno-sobre-una-tendencia-en-espana-que-no-es-solo-de-espana/</w:t>
        </w:r>
      </w:hyperlink>
      <w:r w:rsidRPr="00A57BAC">
        <w:rPr>
          <w:rFonts w:ascii="Abadi" w:eastAsia="Times New Roman" w:hAnsi="Abadi" w:cs="Calibri"/>
          <w:color w:val="000000" w:themeColor="text1"/>
          <w:sz w:val="16"/>
          <w:szCs w:val="16"/>
          <w:lang w:eastAsia="es-CL"/>
        </w:rPr>
        <w:t xml:space="preserve"> </w:t>
      </w:r>
      <w:r w:rsidRPr="00A57BAC">
        <w:rPr>
          <w:rFonts w:ascii="Abadi" w:hAnsi="Abadi"/>
          <w:color w:val="000000" w:themeColor="text1"/>
          <w:sz w:val="16"/>
          <w:szCs w:val="16"/>
          <w:shd w:val="clear" w:color="auto" w:fill="FFFFFF"/>
        </w:rPr>
        <w:t>Publicado el 27.01.2011</w:t>
      </w:r>
    </w:p>
  </w:footnote>
  <w:footnote w:id="4">
    <w:p w14:paraId="4853DBC9" w14:textId="77777777" w:rsidR="00C83AAD" w:rsidRPr="00A57BAC" w:rsidRDefault="00C83AAD" w:rsidP="001C2888">
      <w:pPr>
        <w:pStyle w:val="Textonotapie"/>
        <w:jc w:val="both"/>
        <w:rPr>
          <w:rFonts w:ascii="Abadi" w:hAnsi="Abadi"/>
          <w:color w:val="000000" w:themeColor="text1"/>
          <w:sz w:val="16"/>
          <w:szCs w:val="16"/>
          <w:lang w:val="es-ES"/>
        </w:rPr>
      </w:pPr>
      <w:r w:rsidRPr="00A57BAC">
        <w:rPr>
          <w:rStyle w:val="Refdenotaalpie"/>
          <w:rFonts w:ascii="Abadi" w:hAnsi="Abadi"/>
          <w:color w:val="000000" w:themeColor="text1"/>
          <w:sz w:val="16"/>
          <w:szCs w:val="16"/>
        </w:rPr>
        <w:footnoteRef/>
      </w:r>
      <w:r w:rsidRPr="00A57BAC">
        <w:rPr>
          <w:rFonts w:ascii="Abadi" w:hAnsi="Abadi"/>
          <w:color w:val="000000" w:themeColor="text1"/>
          <w:sz w:val="16"/>
          <w:szCs w:val="16"/>
        </w:rPr>
        <w:t xml:space="preserve"> </w:t>
      </w:r>
      <w:r w:rsidRPr="00A57BAC">
        <w:rPr>
          <w:rFonts w:ascii="Abadi" w:eastAsia="Times New Roman" w:hAnsi="Abadi" w:cs="Calibri"/>
          <w:color w:val="000000" w:themeColor="text1"/>
          <w:sz w:val="16"/>
          <w:szCs w:val="16"/>
          <w:lang w:eastAsia="es-CL"/>
        </w:rPr>
        <w:t>DÍEZ RIPOLLÉS, José L., “De la sociedad del riesgo a la seguridad ciudadana: un debate desenfocado”, Revista Electrónica de Ciencia Penal y Criminología, 2005, N° 07-01.</w:t>
      </w:r>
    </w:p>
  </w:footnote>
  <w:footnote w:id="5">
    <w:p w14:paraId="5423975E" w14:textId="77777777" w:rsidR="00C83AAD" w:rsidRPr="00A57BAC" w:rsidRDefault="00C83AAD" w:rsidP="001C2888">
      <w:pPr>
        <w:pStyle w:val="NormalWeb"/>
        <w:shd w:val="clear" w:color="auto" w:fill="FFFFFF"/>
        <w:spacing w:before="0" w:beforeAutospacing="0" w:after="0" w:afterAutospacing="0"/>
        <w:jc w:val="both"/>
        <w:textAlignment w:val="baseline"/>
        <w:rPr>
          <w:rFonts w:ascii="Abadi" w:hAnsi="Abadi" w:cs="Calibri"/>
          <w:color w:val="000000" w:themeColor="text1"/>
          <w:sz w:val="16"/>
          <w:szCs w:val="16"/>
        </w:rPr>
      </w:pPr>
      <w:r w:rsidRPr="00A57BAC">
        <w:rPr>
          <w:rStyle w:val="Refdenotaalpie"/>
          <w:rFonts w:ascii="Abadi" w:hAnsi="Abadi"/>
          <w:color w:val="000000" w:themeColor="text1"/>
          <w:sz w:val="16"/>
          <w:szCs w:val="16"/>
        </w:rPr>
        <w:footnoteRef/>
      </w:r>
      <w:r w:rsidRPr="00A57BAC">
        <w:rPr>
          <w:rFonts w:ascii="Abadi" w:hAnsi="Abadi"/>
          <w:color w:val="000000" w:themeColor="text1"/>
          <w:sz w:val="16"/>
          <w:szCs w:val="16"/>
        </w:rPr>
        <w:t xml:space="preserve"> </w:t>
      </w:r>
      <w:r w:rsidRPr="00A57BAC">
        <w:rPr>
          <w:rFonts w:ascii="Abadi" w:hAnsi="Abadi" w:cs="Calibri"/>
          <w:color w:val="000000" w:themeColor="text1"/>
          <w:sz w:val="16"/>
          <w:szCs w:val="16"/>
        </w:rPr>
        <w:t xml:space="preserve">PASTOR, Daniel: “La deriva </w:t>
      </w:r>
      <w:proofErr w:type="spellStart"/>
      <w:r w:rsidRPr="00A57BAC">
        <w:rPr>
          <w:rFonts w:ascii="Abadi" w:hAnsi="Abadi" w:cs="Calibri"/>
          <w:color w:val="000000" w:themeColor="text1"/>
          <w:sz w:val="16"/>
          <w:szCs w:val="16"/>
        </w:rPr>
        <w:t>neopunitivista</w:t>
      </w:r>
      <w:proofErr w:type="spellEnd"/>
      <w:r w:rsidRPr="00A57BAC">
        <w:rPr>
          <w:rFonts w:ascii="Abadi" w:hAnsi="Abadi" w:cs="Calibri"/>
          <w:color w:val="000000" w:themeColor="text1"/>
          <w:sz w:val="16"/>
          <w:szCs w:val="16"/>
        </w:rPr>
        <w:t xml:space="preserve"> de organismos y activistas como causa del desprestigio actual de los derechos humanos”,  Revista Jurídica: Nueva Doctrina Penal,  2005/A, Ed. del Puerto, 2005, p. 74.</w:t>
      </w:r>
    </w:p>
  </w:footnote>
  <w:footnote w:id="6">
    <w:p w14:paraId="7472D9D2" w14:textId="77777777" w:rsidR="00C83AAD" w:rsidRPr="00A57BAC" w:rsidRDefault="00C83AAD" w:rsidP="001C2888">
      <w:pPr>
        <w:shd w:val="clear" w:color="auto" w:fill="FFFFFF"/>
        <w:spacing w:after="0" w:line="240" w:lineRule="auto"/>
        <w:jc w:val="both"/>
        <w:textAlignment w:val="baseline"/>
        <w:rPr>
          <w:rFonts w:ascii="Abadi" w:hAnsi="Abadi"/>
          <w:color w:val="000000" w:themeColor="text1"/>
          <w:sz w:val="16"/>
          <w:szCs w:val="16"/>
        </w:rPr>
      </w:pPr>
      <w:r w:rsidRPr="00A57BAC">
        <w:rPr>
          <w:rStyle w:val="Refdenotaalpie"/>
          <w:rFonts w:ascii="Abadi" w:hAnsi="Abadi"/>
          <w:color w:val="000000" w:themeColor="text1"/>
          <w:sz w:val="16"/>
          <w:szCs w:val="16"/>
        </w:rPr>
        <w:footnoteRef/>
      </w:r>
      <w:r w:rsidRPr="00A57BAC">
        <w:rPr>
          <w:rFonts w:ascii="Abadi" w:hAnsi="Abadi"/>
          <w:color w:val="000000" w:themeColor="text1"/>
          <w:sz w:val="16"/>
          <w:szCs w:val="16"/>
        </w:rPr>
        <w:t xml:space="preserve">CANCIÓ MELIÁ, Manuel. “¿Derecho Penal del enemigo?”, en JAKOBS/CANCIÓ MELIÁ; Derecho Penal del enemigo. Editorial </w:t>
      </w:r>
      <w:proofErr w:type="spellStart"/>
      <w:r w:rsidRPr="00A57BAC">
        <w:rPr>
          <w:rFonts w:ascii="Abadi" w:hAnsi="Abadi"/>
          <w:color w:val="000000" w:themeColor="text1"/>
          <w:sz w:val="16"/>
          <w:szCs w:val="16"/>
        </w:rPr>
        <w:t>Civitas</w:t>
      </w:r>
      <w:proofErr w:type="spellEnd"/>
      <w:r w:rsidRPr="00A57BAC">
        <w:rPr>
          <w:rFonts w:ascii="Abadi" w:hAnsi="Abadi"/>
          <w:color w:val="000000" w:themeColor="text1"/>
          <w:sz w:val="16"/>
          <w:szCs w:val="16"/>
        </w:rPr>
        <w:t>, Madrid, 2003, pp. 57-102</w:t>
      </w:r>
    </w:p>
  </w:footnote>
  <w:footnote w:id="7">
    <w:p w14:paraId="751B43F9" w14:textId="77777777" w:rsidR="00C83AAD" w:rsidRPr="00A57BAC" w:rsidRDefault="00C83AAD" w:rsidP="001C2888">
      <w:pPr>
        <w:pStyle w:val="Textonotapie"/>
        <w:jc w:val="both"/>
        <w:rPr>
          <w:rFonts w:ascii="Perpetua" w:hAnsi="Perpetua"/>
          <w:color w:val="000000" w:themeColor="text1"/>
        </w:rPr>
      </w:pPr>
      <w:r w:rsidRPr="00A57BAC">
        <w:rPr>
          <w:rStyle w:val="Refdenotaalpie"/>
          <w:rFonts w:ascii="Abadi" w:hAnsi="Abadi"/>
          <w:color w:val="000000" w:themeColor="text1"/>
          <w:sz w:val="16"/>
          <w:szCs w:val="16"/>
        </w:rPr>
        <w:footnoteRef/>
      </w:r>
      <w:r w:rsidRPr="00A57BAC">
        <w:rPr>
          <w:rFonts w:ascii="Abadi" w:hAnsi="Abadi"/>
          <w:color w:val="000000" w:themeColor="text1"/>
          <w:sz w:val="16"/>
          <w:szCs w:val="16"/>
        </w:rPr>
        <w:t xml:space="preserve">BRAVO PEÑA, Natalia: DERECHO PENAL DEL ENEMIGO: ¿EVOLUCIÓN O PRIMITIVISMO DEL DERECHO PENAL? Concepto doctrinal y jurídico, individualización y características del sujeto al que se le denomina Enemigo.  Tesis  Universidad de Chile.2007 Profesor guía: Dra. Myrna Villegas Díaz. </w:t>
      </w:r>
      <w:hyperlink r:id="rId2" w:anchor=":~:text=El%20Derecho%20Penal%20del%20Enemigo%20es%20una%20t%C3%A9cnica%20legislativa%20que,de%20las%20relaciones%20sociales%20personales" w:history="1">
        <w:r w:rsidRPr="00A57BAC">
          <w:rPr>
            <w:rStyle w:val="Hipervnculo"/>
            <w:rFonts w:ascii="Abadi" w:hAnsi="Abadi"/>
            <w:color w:val="000000" w:themeColor="text1"/>
            <w:sz w:val="16"/>
            <w:szCs w:val="16"/>
          </w:rPr>
          <w:t>http://repositorio.uchile.cl/bitstream/handle/2250/112169/debravo_n.pdf?sequence=1#:~:text=El%20Derecho%20Penal%20del%20Enemigo%20es%20una%20t%C3%A9cnica%20legislativa%20que,de%20las%20relaciones%20sociales%20personales</w:t>
        </w:r>
      </w:hyperlink>
      <w:r w:rsidRPr="00A57BAC">
        <w:rPr>
          <w:rFonts w:ascii="Abadi" w:hAnsi="Abadi"/>
          <w:color w:val="000000" w:themeColor="text1"/>
          <w:sz w:val="16"/>
          <w:szCs w:val="16"/>
        </w:rPr>
        <w:t>.</w:t>
      </w:r>
    </w:p>
  </w:footnote>
  <w:footnote w:id="8">
    <w:p w14:paraId="320B9CDF" w14:textId="77777777" w:rsidR="00C83AAD" w:rsidRPr="00A57BAC" w:rsidRDefault="00C83AAD" w:rsidP="00C60AAA">
      <w:pPr>
        <w:pStyle w:val="Textonotapie"/>
        <w:jc w:val="both"/>
        <w:rPr>
          <w:rFonts w:ascii="Abadi" w:hAnsi="Abadi"/>
          <w:color w:val="000000" w:themeColor="text1"/>
          <w:sz w:val="16"/>
          <w:szCs w:val="16"/>
          <w:lang w:val="es-ES"/>
        </w:rPr>
      </w:pPr>
      <w:r w:rsidRPr="00A57BAC">
        <w:rPr>
          <w:rStyle w:val="Refdenotaalpie"/>
          <w:rFonts w:ascii="Abadi" w:hAnsi="Abadi"/>
          <w:color w:val="000000" w:themeColor="text1"/>
          <w:sz w:val="16"/>
          <w:szCs w:val="16"/>
        </w:rPr>
        <w:footnoteRef/>
      </w:r>
      <w:r w:rsidRPr="00A57BAC">
        <w:rPr>
          <w:rFonts w:ascii="Abadi" w:hAnsi="Abadi"/>
          <w:color w:val="000000" w:themeColor="text1"/>
          <w:sz w:val="16"/>
          <w:szCs w:val="16"/>
        </w:rPr>
        <w:t xml:space="preserve"> </w:t>
      </w:r>
      <w:r w:rsidRPr="00A57BAC">
        <w:rPr>
          <w:rFonts w:ascii="Abadi" w:eastAsia="Times New Roman" w:hAnsi="Abadi"/>
          <w:color w:val="000000" w:themeColor="text1"/>
          <w:sz w:val="16"/>
          <w:szCs w:val="16"/>
          <w:lang w:eastAsia="es-CL"/>
        </w:rPr>
        <w:t>Véase ZÚÑIGA RODRÍGUEZ, Laura. Política Criminal. Editorial COLEX, Madrid, 2001. pp. 131- 149;  LARRAURI, Elena. La herencia de la criminología crítica. Siglo Veintiuno de España Editores S.A., Madrid, 1990. pp. 94-96.</w:t>
      </w:r>
    </w:p>
  </w:footnote>
  <w:footnote w:id="9">
    <w:p w14:paraId="028DE2C5" w14:textId="77777777" w:rsidR="00C83AAD" w:rsidRPr="00C60AAA" w:rsidRDefault="00C83AAD" w:rsidP="00C60AAA">
      <w:pPr>
        <w:pStyle w:val="Textonotapie"/>
        <w:jc w:val="both"/>
        <w:rPr>
          <w:rFonts w:ascii="Abadi" w:hAnsi="Abadi"/>
          <w:sz w:val="16"/>
          <w:szCs w:val="16"/>
          <w:lang w:val="es-ES"/>
        </w:rPr>
      </w:pPr>
      <w:r w:rsidRPr="00A57BAC">
        <w:rPr>
          <w:rStyle w:val="Refdenotaalpie"/>
          <w:rFonts w:ascii="Abadi" w:hAnsi="Abadi"/>
          <w:color w:val="000000" w:themeColor="text1"/>
          <w:sz w:val="16"/>
          <w:szCs w:val="16"/>
        </w:rPr>
        <w:footnoteRef/>
      </w:r>
      <w:r w:rsidRPr="00A57BAC">
        <w:rPr>
          <w:rFonts w:ascii="Abadi" w:hAnsi="Abadi"/>
          <w:color w:val="000000" w:themeColor="text1"/>
          <w:sz w:val="16"/>
          <w:szCs w:val="16"/>
        </w:rPr>
        <w:t xml:space="preserve"> BRAVO PEÑA, </w:t>
      </w:r>
      <w:proofErr w:type="spellStart"/>
      <w:r w:rsidRPr="00A57BAC">
        <w:rPr>
          <w:rFonts w:ascii="Abadi" w:hAnsi="Abadi"/>
          <w:color w:val="000000" w:themeColor="text1"/>
          <w:sz w:val="16"/>
          <w:szCs w:val="16"/>
        </w:rPr>
        <w:t>op.cit</w:t>
      </w:r>
      <w:proofErr w:type="spellEnd"/>
      <w:r w:rsidRPr="00A57BAC">
        <w:rPr>
          <w:rFonts w:ascii="Abadi" w:hAnsi="Abadi"/>
          <w:color w:val="000000" w:themeColor="text1"/>
          <w:sz w:val="16"/>
          <w:szCs w:val="16"/>
        </w:rPr>
        <w:t>.</w:t>
      </w:r>
    </w:p>
  </w:footnote>
  <w:footnote w:id="10">
    <w:p w14:paraId="1841452F" w14:textId="77777777" w:rsidR="00C83AAD" w:rsidRPr="00C60AAA" w:rsidRDefault="00C83AAD" w:rsidP="00C60AAA">
      <w:pPr>
        <w:pStyle w:val="Textonotapie"/>
        <w:jc w:val="both"/>
        <w:rPr>
          <w:rFonts w:ascii="Abadi" w:hAnsi="Abadi"/>
          <w:sz w:val="16"/>
          <w:szCs w:val="16"/>
          <w:lang w:val="es-ES"/>
        </w:rPr>
      </w:pPr>
      <w:r w:rsidRPr="00C60AAA">
        <w:rPr>
          <w:rStyle w:val="Refdenotaalpie"/>
          <w:rFonts w:ascii="Abadi" w:hAnsi="Abadi"/>
          <w:sz w:val="16"/>
          <w:szCs w:val="16"/>
        </w:rPr>
        <w:footnoteRef/>
      </w:r>
      <w:r w:rsidRPr="00C60AAA">
        <w:rPr>
          <w:rFonts w:ascii="Abadi" w:hAnsi="Abadi"/>
          <w:sz w:val="16"/>
          <w:szCs w:val="16"/>
        </w:rPr>
        <w:t xml:space="preserve"> </w:t>
      </w:r>
      <w:r w:rsidRPr="001F3635">
        <w:rPr>
          <w:rFonts w:ascii="Abadi" w:eastAsia="Times New Roman" w:hAnsi="Abadi" w:cs="Calibri"/>
          <w:color w:val="000000"/>
          <w:sz w:val="16"/>
          <w:szCs w:val="16"/>
          <w:lang w:eastAsia="es-CL"/>
        </w:rPr>
        <w:t>DÍEZ RIPOLLÉS, José L., “De la sociedad del riesgo a la seguridad ciudadana: un debate desenfocado”, Revista Electrónica de Ciencia Penal y Criminología, 2005, N° 07-01.</w:t>
      </w:r>
    </w:p>
  </w:footnote>
  <w:footnote w:id="11">
    <w:p w14:paraId="1B07D699" w14:textId="77777777" w:rsidR="00C83AAD" w:rsidRPr="00A524C2" w:rsidRDefault="00C83AAD" w:rsidP="00C60AAA">
      <w:pPr>
        <w:pStyle w:val="Textonotapie"/>
        <w:jc w:val="both"/>
        <w:rPr>
          <w:rFonts w:ascii="Perpetua" w:hAnsi="Perpetua"/>
          <w:sz w:val="22"/>
          <w:szCs w:val="22"/>
          <w:lang w:val="es-ES"/>
        </w:rPr>
      </w:pPr>
      <w:r w:rsidRPr="00C60AAA">
        <w:rPr>
          <w:rStyle w:val="Refdenotaalpie"/>
          <w:rFonts w:ascii="Abadi" w:hAnsi="Abadi"/>
          <w:sz w:val="16"/>
          <w:szCs w:val="16"/>
        </w:rPr>
        <w:footnoteRef/>
      </w:r>
      <w:r w:rsidRPr="00C60AAA">
        <w:rPr>
          <w:rFonts w:ascii="Abadi" w:hAnsi="Abadi"/>
          <w:sz w:val="16"/>
          <w:szCs w:val="16"/>
          <w:lang w:val="es-ES"/>
        </w:rPr>
        <w:t xml:space="preserve"> Ibidem</w:t>
      </w:r>
    </w:p>
  </w:footnote>
  <w:footnote w:id="12">
    <w:p w14:paraId="16C070BE" w14:textId="77777777" w:rsidR="00152F1F" w:rsidRDefault="00152F1F" w:rsidP="00152F1F">
      <w:pPr>
        <w:pStyle w:val="Textonotapie"/>
        <w:rPr>
          <w:rFonts w:ascii="Abadi" w:hAnsi="Abadi"/>
          <w:sz w:val="16"/>
          <w:szCs w:val="16"/>
          <w:lang w:val="es-ES"/>
        </w:rPr>
      </w:pPr>
      <w:r>
        <w:rPr>
          <w:rStyle w:val="Refdenotaalpie"/>
          <w:rFonts w:ascii="Abadi" w:hAnsi="Abadi"/>
          <w:sz w:val="16"/>
          <w:szCs w:val="16"/>
        </w:rPr>
        <w:footnoteRef/>
      </w:r>
      <w:r>
        <w:rPr>
          <w:rFonts w:ascii="Abadi" w:hAnsi="Abadi"/>
          <w:sz w:val="16"/>
          <w:szCs w:val="16"/>
        </w:rPr>
        <w:t xml:space="preserve"> Ibídem, p. 26.</w:t>
      </w:r>
    </w:p>
  </w:footnote>
  <w:footnote w:id="13">
    <w:p w14:paraId="6FB1F599" w14:textId="77777777" w:rsidR="00152F1F" w:rsidRDefault="00152F1F" w:rsidP="00152F1F">
      <w:pPr>
        <w:pStyle w:val="Textonotapie"/>
        <w:rPr>
          <w:lang w:val="es-ES"/>
        </w:rPr>
      </w:pPr>
      <w:r>
        <w:rPr>
          <w:rStyle w:val="Refdenotaalpie"/>
          <w:rFonts w:ascii="Abadi" w:hAnsi="Abadi"/>
          <w:sz w:val="16"/>
          <w:szCs w:val="16"/>
        </w:rPr>
        <w:footnoteRef/>
      </w:r>
      <w:r>
        <w:rPr>
          <w:rFonts w:ascii="Abadi" w:hAnsi="Abadi"/>
          <w:sz w:val="16"/>
          <w:szCs w:val="16"/>
        </w:rPr>
        <w:t xml:space="preserve"> </w:t>
      </w:r>
      <w:r>
        <w:rPr>
          <w:rFonts w:ascii="Abadi" w:hAnsi="Abadi"/>
          <w:sz w:val="16"/>
          <w:szCs w:val="16"/>
          <w:lang w:val="es-ES"/>
        </w:rPr>
        <w:t>Ibídem, p.26</w:t>
      </w:r>
    </w:p>
  </w:footnote>
  <w:footnote w:id="14">
    <w:p w14:paraId="1927E0DA" w14:textId="77777777" w:rsidR="00152F1F" w:rsidRDefault="00152F1F" w:rsidP="00152F1F">
      <w:pPr>
        <w:pStyle w:val="Textonotapie"/>
        <w:jc w:val="both"/>
        <w:rPr>
          <w:rFonts w:ascii="Abadi" w:hAnsi="Abadi"/>
          <w:sz w:val="16"/>
          <w:szCs w:val="16"/>
          <w:lang w:val="es-ES"/>
        </w:rPr>
      </w:pPr>
      <w:r>
        <w:rPr>
          <w:rStyle w:val="Refdenotaalpie"/>
        </w:rPr>
        <w:footnoteRef/>
      </w:r>
      <w:r>
        <w:t xml:space="preserve"> </w:t>
      </w:r>
      <w:r>
        <w:rPr>
          <w:rFonts w:ascii="Abadi" w:hAnsi="Abadi"/>
          <w:sz w:val="16"/>
          <w:szCs w:val="16"/>
          <w:lang w:val="es-ES"/>
        </w:rPr>
        <w:t>Ibídem, pp. 26-27.</w:t>
      </w:r>
    </w:p>
  </w:footnote>
  <w:footnote w:id="15">
    <w:p w14:paraId="29E9BED3" w14:textId="77777777" w:rsidR="00152F1F" w:rsidRDefault="00152F1F" w:rsidP="00152F1F">
      <w:pPr>
        <w:pStyle w:val="Textonotapie"/>
        <w:jc w:val="both"/>
        <w:rPr>
          <w:rFonts w:ascii="Abadi" w:hAnsi="Abadi"/>
          <w:sz w:val="16"/>
          <w:szCs w:val="16"/>
          <w:lang w:val="es-ES"/>
        </w:rPr>
      </w:pPr>
      <w:r>
        <w:rPr>
          <w:rStyle w:val="Refdenotaalpie"/>
          <w:rFonts w:ascii="Abadi" w:hAnsi="Abadi"/>
          <w:sz w:val="16"/>
          <w:szCs w:val="16"/>
        </w:rPr>
        <w:footnoteRef/>
      </w:r>
      <w:r>
        <w:rPr>
          <w:rFonts w:ascii="Abadi" w:hAnsi="Abadi"/>
          <w:sz w:val="16"/>
          <w:szCs w:val="16"/>
        </w:rPr>
        <w:t xml:space="preserve"> </w:t>
      </w:r>
      <w:r>
        <w:rPr>
          <w:rFonts w:ascii="Abadi" w:hAnsi="Abadi"/>
          <w:sz w:val="16"/>
          <w:szCs w:val="16"/>
          <w:lang w:val="es-ES"/>
        </w:rPr>
        <w:t>Ibídem, p.27.</w:t>
      </w:r>
    </w:p>
  </w:footnote>
  <w:footnote w:id="16">
    <w:p w14:paraId="074A5DE7" w14:textId="77777777" w:rsidR="00152F1F" w:rsidRDefault="00152F1F" w:rsidP="00152F1F">
      <w:pPr>
        <w:pStyle w:val="Textonotapie"/>
        <w:jc w:val="both"/>
        <w:rPr>
          <w:lang w:val="es-ES"/>
        </w:rPr>
      </w:pPr>
      <w:r>
        <w:rPr>
          <w:rStyle w:val="Refdenotaalpie"/>
          <w:rFonts w:ascii="Abadi" w:hAnsi="Abadi"/>
          <w:sz w:val="16"/>
          <w:szCs w:val="16"/>
        </w:rPr>
        <w:footnoteRef/>
      </w:r>
      <w:r>
        <w:rPr>
          <w:rFonts w:ascii="Abadi" w:hAnsi="Abadi"/>
          <w:sz w:val="16"/>
          <w:szCs w:val="16"/>
        </w:rPr>
        <w:t xml:space="preserve"> Corte Suprema, Oficio N° 31-2016, INFORME PROYECTO DE LEY 9-2016, Antecedente: Boletín N°9885-07, Santiago, 14 de Marzo de 2016, p 12</w:t>
      </w:r>
    </w:p>
  </w:footnote>
  <w:footnote w:id="17">
    <w:p w14:paraId="4B0111B4" w14:textId="77777777" w:rsidR="00152F1F" w:rsidRDefault="00152F1F" w:rsidP="00152F1F">
      <w:pPr>
        <w:pStyle w:val="Textonotapie"/>
        <w:jc w:val="both"/>
        <w:rPr>
          <w:lang w:val="es-MX"/>
        </w:rPr>
      </w:pPr>
      <w:r>
        <w:rPr>
          <w:rStyle w:val="Refdenotaalpie"/>
        </w:rPr>
        <w:footnoteRef/>
      </w:r>
      <w:r>
        <w:t xml:space="preserve"> </w:t>
      </w:r>
      <w:r>
        <w:rPr>
          <w:lang w:val="es-MX"/>
        </w:rPr>
        <w:t xml:space="preserve">CERDA, Rodrigo, </w:t>
      </w:r>
      <w:r>
        <w:rPr>
          <w:i/>
          <w:lang w:val="es-MX"/>
        </w:rPr>
        <w:t>Segunda Ley de Agenda Corte Antidelincuencia N° 20.931</w:t>
      </w:r>
      <w:r>
        <w:rPr>
          <w:lang w:val="es-MX"/>
        </w:rPr>
        <w:t xml:space="preserve">, Librotecnia, Santiago, 2016, pp. 81-82. </w:t>
      </w:r>
    </w:p>
  </w:footnote>
  <w:footnote w:id="18">
    <w:p w14:paraId="0310F55E" w14:textId="77777777" w:rsidR="00152F1F" w:rsidRDefault="00152F1F" w:rsidP="00152F1F">
      <w:pPr>
        <w:pStyle w:val="Textonotapie"/>
        <w:rPr>
          <w:rFonts w:ascii="Abadi" w:hAnsi="Abadi"/>
          <w:sz w:val="16"/>
          <w:szCs w:val="16"/>
          <w:lang w:val="es-ES"/>
        </w:rPr>
      </w:pPr>
      <w:r>
        <w:rPr>
          <w:rStyle w:val="Refdenotaalpie"/>
          <w:rFonts w:ascii="Abadi" w:hAnsi="Abadi"/>
          <w:sz w:val="16"/>
          <w:szCs w:val="16"/>
        </w:rPr>
        <w:footnoteRef/>
      </w:r>
      <w:r>
        <w:rPr>
          <w:rFonts w:ascii="Abadi" w:hAnsi="Abadi"/>
          <w:sz w:val="16"/>
          <w:szCs w:val="16"/>
        </w:rPr>
        <w:t xml:space="preserve"> </w:t>
      </w:r>
      <w:r w:rsidRPr="00061102">
        <w:rPr>
          <w:rFonts w:ascii="Abadi" w:hAnsi="Abadi"/>
          <w:sz w:val="18"/>
          <w:szCs w:val="18"/>
        </w:rPr>
        <w:t>Corte Suprema, Oficio N° 31-2016, INFORME PROYECTO DE LEY 9-2016, Antecedente: Boletín N°9885-07, Santiago, 14 de Marzo de 2016, p</w:t>
      </w:r>
      <w:r w:rsidRPr="00061102">
        <w:rPr>
          <w:rFonts w:ascii="Abadi" w:hAnsi="Abadi"/>
          <w:sz w:val="18"/>
          <w:szCs w:val="18"/>
          <w:lang w:val="es-ES"/>
        </w:rPr>
        <w:t>.13</w:t>
      </w:r>
    </w:p>
  </w:footnote>
  <w:footnote w:id="19">
    <w:p w14:paraId="3CA1DBDC" w14:textId="77777777" w:rsidR="00843858" w:rsidRDefault="00843858" w:rsidP="00843858">
      <w:pPr>
        <w:spacing w:after="0" w:line="240" w:lineRule="auto"/>
        <w:jc w:val="both"/>
        <w:rPr>
          <w:rFonts w:ascii="Abadi" w:hAnsi="Abadi"/>
          <w:sz w:val="16"/>
          <w:szCs w:val="16"/>
        </w:rPr>
      </w:pPr>
      <w:r>
        <w:rPr>
          <w:rStyle w:val="Refdenotaalpie"/>
          <w:rFonts w:ascii="Abadi" w:hAnsi="Abadi"/>
          <w:sz w:val="16"/>
          <w:szCs w:val="16"/>
        </w:rPr>
        <w:footnoteRef/>
      </w:r>
      <w:r>
        <w:rPr>
          <w:rFonts w:ascii="Abadi" w:hAnsi="Abadi"/>
          <w:sz w:val="16"/>
          <w:szCs w:val="16"/>
        </w:rPr>
        <w:t xml:space="preserve"> Cerda San Martín, Rodrigo: “El trato de inocente y la privación de libertad cautelar. Garantías de una decisión razonable en tiempos de pandemia”. Revista de la Justicia Penal N° 14. ESPECIAL (2020), pp. </w:t>
      </w:r>
      <w:r w:rsidRPr="00FE6B81">
        <w:rPr>
          <w:rFonts w:ascii="Abadi" w:hAnsi="Abadi"/>
          <w:sz w:val="16"/>
          <w:szCs w:val="16"/>
        </w:rPr>
        <w:t>159-202</w:t>
      </w:r>
    </w:p>
  </w:footnote>
  <w:footnote w:id="20">
    <w:p w14:paraId="287C500E" w14:textId="77777777" w:rsidR="00843858" w:rsidRDefault="00843858" w:rsidP="00843858">
      <w:pPr>
        <w:pStyle w:val="Textonotapie"/>
        <w:jc w:val="both"/>
        <w:rPr>
          <w:rFonts w:ascii="Abadi" w:hAnsi="Abadi"/>
          <w:sz w:val="16"/>
          <w:szCs w:val="16"/>
          <w:lang w:val="es-ES"/>
        </w:rPr>
      </w:pPr>
      <w:r>
        <w:rPr>
          <w:rStyle w:val="Refdenotaalpie"/>
          <w:rFonts w:ascii="Abadi" w:hAnsi="Abadi"/>
          <w:sz w:val="16"/>
          <w:szCs w:val="16"/>
        </w:rPr>
        <w:footnoteRef/>
      </w:r>
      <w:r>
        <w:rPr>
          <w:rFonts w:ascii="Abadi" w:hAnsi="Abadi"/>
          <w:sz w:val="16"/>
          <w:szCs w:val="16"/>
        </w:rPr>
        <w:t xml:space="preserve"> Cerda San Martín, Rodrigo: “El trato de inocente y la privación de libertad cautelar. Garantías de una decisión razonable en tiempos de pandemia”. Revista de la Justicia Penal N° 14. ESPECIAL (2020), pp. 159-202</w:t>
      </w:r>
    </w:p>
  </w:footnote>
  <w:footnote w:id="21">
    <w:p w14:paraId="4417FE5B" w14:textId="77777777" w:rsidR="00C83AAD" w:rsidRPr="00A524C2" w:rsidRDefault="00C83AAD" w:rsidP="00F825F0">
      <w:pPr>
        <w:pStyle w:val="Textonotapie"/>
        <w:jc w:val="both"/>
        <w:rPr>
          <w:rFonts w:ascii="Perpetua" w:hAnsi="Perpetua"/>
        </w:rPr>
      </w:pPr>
      <w:r w:rsidRPr="00A524C2">
        <w:rPr>
          <w:rStyle w:val="Refdenotaalpie"/>
          <w:rFonts w:ascii="Perpetua" w:hAnsi="Perpetua"/>
        </w:rPr>
        <w:footnoteRef/>
      </w:r>
      <w:r w:rsidRPr="00A524C2">
        <w:rPr>
          <w:rFonts w:ascii="Perpetua" w:hAnsi="Perpetua"/>
        </w:rPr>
        <w:t xml:space="preserve"> Comisión Interamericana de Derechos Humanos, “Informe Sobre el Uso de la Prisión preventiva en las Américas”. 2013. Pág.61.Punto N ° 144 citado por Cavada Herrera, Juan Pablo: Prisión preventiva Regulación en Chile y Latinoamérica y estándar internacional. Biblioteca del Congreso Nacional de Chile | Asesoría Técnica Parlamentaria, página 7.</w:t>
      </w:r>
    </w:p>
  </w:footnote>
  <w:footnote w:id="22">
    <w:p w14:paraId="6785B7A8" w14:textId="77777777" w:rsidR="00C83AAD" w:rsidRPr="00864D3D" w:rsidRDefault="00C83AAD" w:rsidP="00A524C2">
      <w:pPr>
        <w:shd w:val="clear" w:color="auto" w:fill="FFFFFF"/>
        <w:spacing w:after="0" w:line="240" w:lineRule="auto"/>
        <w:jc w:val="both"/>
        <w:rPr>
          <w:rFonts w:ascii="Abadi" w:hAnsi="Abadi"/>
          <w:sz w:val="16"/>
          <w:szCs w:val="16"/>
        </w:rPr>
      </w:pPr>
      <w:r w:rsidRPr="00864D3D">
        <w:rPr>
          <w:rStyle w:val="Refdenotaalpie"/>
          <w:rFonts w:ascii="Abadi" w:hAnsi="Abadi"/>
          <w:sz w:val="16"/>
          <w:szCs w:val="16"/>
        </w:rPr>
        <w:footnoteRef/>
      </w:r>
      <w:r w:rsidRPr="00864D3D">
        <w:rPr>
          <w:rFonts w:ascii="Abadi" w:hAnsi="Abadi"/>
          <w:sz w:val="16"/>
          <w:szCs w:val="16"/>
        </w:rPr>
        <w:t xml:space="preserve"> Ibidem. CIDH, 2013, pág. 61-62, punto N°144 citado por Cavada Herrera, Juan Pablo, </w:t>
      </w:r>
      <w:proofErr w:type="spellStart"/>
      <w:r w:rsidRPr="00864D3D">
        <w:rPr>
          <w:rFonts w:ascii="Abadi" w:hAnsi="Abadi"/>
          <w:sz w:val="16"/>
          <w:szCs w:val="16"/>
        </w:rPr>
        <w:t>op.cit</w:t>
      </w:r>
      <w:proofErr w:type="spellEnd"/>
    </w:p>
  </w:footnote>
  <w:footnote w:id="23">
    <w:p w14:paraId="0FE396A1" w14:textId="77777777" w:rsidR="00C83AAD" w:rsidRPr="00864D3D" w:rsidRDefault="00C83AAD" w:rsidP="00F825F0">
      <w:pPr>
        <w:pStyle w:val="Textonotapie"/>
        <w:jc w:val="both"/>
        <w:rPr>
          <w:rFonts w:ascii="Abadi" w:hAnsi="Abadi"/>
          <w:sz w:val="16"/>
          <w:szCs w:val="16"/>
          <w:lang w:val="es-ES"/>
        </w:rPr>
      </w:pPr>
      <w:r w:rsidRPr="00864D3D">
        <w:rPr>
          <w:rStyle w:val="Refdenotaalpie"/>
          <w:rFonts w:ascii="Abadi" w:hAnsi="Abadi"/>
          <w:sz w:val="16"/>
          <w:szCs w:val="16"/>
        </w:rPr>
        <w:footnoteRef/>
      </w:r>
      <w:r w:rsidRPr="00864D3D">
        <w:rPr>
          <w:rFonts w:ascii="Abadi" w:hAnsi="Abadi"/>
          <w:sz w:val="16"/>
          <w:szCs w:val="16"/>
        </w:rPr>
        <w:t xml:space="preserve"> Ibidem. CIDH, 2013, pág. 62, punto N°146 citado por Cavada Herrera, Juan Pablo, </w:t>
      </w:r>
      <w:proofErr w:type="spellStart"/>
      <w:r w:rsidRPr="00864D3D">
        <w:rPr>
          <w:rFonts w:ascii="Abadi" w:hAnsi="Abadi"/>
          <w:sz w:val="16"/>
          <w:szCs w:val="16"/>
        </w:rPr>
        <w:t>op.cit</w:t>
      </w:r>
      <w:proofErr w:type="spellEnd"/>
    </w:p>
  </w:footnote>
  <w:footnote w:id="24">
    <w:p w14:paraId="291655DD" w14:textId="77777777" w:rsidR="00C83AAD" w:rsidRPr="00A57BAC" w:rsidRDefault="00C83AAD" w:rsidP="00895D21">
      <w:pPr>
        <w:pStyle w:val="Textonotapie"/>
        <w:jc w:val="both"/>
        <w:rPr>
          <w:rFonts w:ascii="Perpetua" w:hAnsi="Perpetua"/>
          <w:color w:val="000000" w:themeColor="text1"/>
        </w:rPr>
      </w:pPr>
      <w:r w:rsidRPr="00A57BAC">
        <w:rPr>
          <w:rStyle w:val="Refdenotaalpie"/>
          <w:rFonts w:ascii="Abadi" w:hAnsi="Abadi"/>
          <w:color w:val="000000" w:themeColor="text1"/>
          <w:sz w:val="16"/>
          <w:szCs w:val="16"/>
        </w:rPr>
        <w:footnoteRef/>
      </w:r>
      <w:r w:rsidRPr="00A57BAC">
        <w:rPr>
          <w:rFonts w:ascii="Abadi" w:hAnsi="Abadi"/>
          <w:color w:val="000000" w:themeColor="text1"/>
          <w:sz w:val="16"/>
          <w:szCs w:val="16"/>
        </w:rPr>
        <w:t xml:space="preserve"> Comité de Derecho Humanos de las Naciones Unidas, Observación General N °  13 Sobre administración de justicia . Articulo 14 CADH., considerando 4°       </w:t>
      </w:r>
      <w:hyperlink r:id="rId3" w:history="1">
        <w:r w:rsidRPr="00A57BAC">
          <w:rPr>
            <w:rStyle w:val="Hipervnculo"/>
            <w:rFonts w:ascii="Abadi" w:hAnsi="Abadi"/>
            <w:color w:val="000000" w:themeColor="text1"/>
            <w:sz w:val="16"/>
            <w:szCs w:val="16"/>
          </w:rPr>
          <w:t>https://conf-dts1.unog.ch/1</w:t>
        </w:r>
      </w:hyperlink>
    </w:p>
  </w:footnote>
  <w:footnote w:id="25">
    <w:p w14:paraId="58E8BBAD" w14:textId="77777777" w:rsidR="00C83AAD" w:rsidRPr="00A57BAC" w:rsidRDefault="00C83AAD" w:rsidP="00895D21">
      <w:pPr>
        <w:pStyle w:val="Textonotapie"/>
        <w:jc w:val="both"/>
        <w:rPr>
          <w:rFonts w:ascii="Abadi" w:hAnsi="Abadi"/>
          <w:color w:val="000000" w:themeColor="text1"/>
          <w:sz w:val="16"/>
          <w:szCs w:val="16"/>
          <w:lang w:val="es-ES"/>
        </w:rPr>
      </w:pPr>
      <w:r w:rsidRPr="00A57BAC">
        <w:rPr>
          <w:rStyle w:val="Refdenotaalpie"/>
          <w:rFonts w:ascii="Abadi" w:hAnsi="Abadi"/>
          <w:color w:val="000000" w:themeColor="text1"/>
          <w:sz w:val="16"/>
          <w:szCs w:val="16"/>
        </w:rPr>
        <w:footnoteRef/>
      </w:r>
      <w:r w:rsidRPr="00A57BAC">
        <w:rPr>
          <w:rFonts w:ascii="Abadi" w:hAnsi="Abadi"/>
          <w:color w:val="000000" w:themeColor="text1"/>
          <w:sz w:val="16"/>
          <w:szCs w:val="16"/>
        </w:rPr>
        <w:t xml:space="preserve"> Comité de Derecho Humanos de las Naciones Unidas, Observación General N °  13 Sobre administración de justicia . Articulo 14  Pacto de Derechos Civiles y políticos , considerando 8°       </w:t>
      </w:r>
      <w:hyperlink r:id="rId4" w:history="1">
        <w:r w:rsidRPr="00A57BAC">
          <w:rPr>
            <w:rStyle w:val="Hipervnculo"/>
            <w:rFonts w:ascii="Abadi" w:hAnsi="Abadi"/>
            <w:color w:val="000000" w:themeColor="text1"/>
            <w:sz w:val="16"/>
            <w:szCs w:val="16"/>
          </w:rPr>
          <w:t>https://conf-dts1.unog.ch/1</w:t>
        </w:r>
      </w:hyperlink>
    </w:p>
  </w:footnote>
  <w:footnote w:id="26">
    <w:p w14:paraId="7374C51E" w14:textId="77777777" w:rsidR="00C83AAD" w:rsidRPr="00A57BAC" w:rsidRDefault="00C83AAD" w:rsidP="00895D21">
      <w:pPr>
        <w:pStyle w:val="Textonotapie"/>
        <w:jc w:val="both"/>
        <w:rPr>
          <w:rFonts w:ascii="Abadi" w:hAnsi="Abadi"/>
          <w:color w:val="000000" w:themeColor="text1"/>
          <w:sz w:val="16"/>
          <w:szCs w:val="16"/>
          <w:lang w:val="es-ES"/>
        </w:rPr>
      </w:pPr>
      <w:r w:rsidRPr="00A57BAC">
        <w:rPr>
          <w:rStyle w:val="Refdenotaalpie"/>
          <w:rFonts w:ascii="Abadi" w:hAnsi="Abadi"/>
          <w:color w:val="000000" w:themeColor="text1"/>
          <w:sz w:val="16"/>
          <w:szCs w:val="16"/>
        </w:rPr>
        <w:footnoteRef/>
      </w:r>
      <w:r w:rsidRPr="00A57BAC">
        <w:rPr>
          <w:rFonts w:ascii="Abadi" w:hAnsi="Abadi"/>
          <w:color w:val="000000" w:themeColor="text1"/>
          <w:sz w:val="16"/>
          <w:szCs w:val="16"/>
        </w:rPr>
        <w:t xml:space="preserve"> Comité de Derecho Humanos de las Naciones Unidas, Observación General N °  32 sobre </w:t>
      </w:r>
      <w:hyperlink r:id="rId5" w:history="1">
        <w:r w:rsidRPr="00A57BAC">
          <w:rPr>
            <w:rStyle w:val="Hipervnculo"/>
            <w:rFonts w:ascii="Abadi" w:hAnsi="Abadi"/>
            <w:color w:val="000000" w:themeColor="text1"/>
            <w:sz w:val="16"/>
            <w:szCs w:val="16"/>
          </w:rPr>
          <w:t>El derecho a un juicio imparcial y a la igualdad ante los tribunales y cortes de justicia</w:t>
        </w:r>
      </w:hyperlink>
      <w:r w:rsidRPr="00A57BAC">
        <w:rPr>
          <w:rFonts w:ascii="Abadi" w:hAnsi="Abadi"/>
          <w:color w:val="000000" w:themeColor="text1"/>
          <w:sz w:val="16"/>
          <w:szCs w:val="16"/>
        </w:rPr>
        <w:t xml:space="preserve"> , Articulo 14  Pacto de Derechos Civiles y políticos considerando 35.   </w:t>
      </w:r>
      <w:hyperlink r:id="rId6" w:history="1">
        <w:r w:rsidRPr="00A57BAC">
          <w:rPr>
            <w:rStyle w:val="Hipervnculo"/>
            <w:rFonts w:ascii="Abadi" w:hAnsi="Abadi"/>
            <w:color w:val="000000" w:themeColor="text1"/>
            <w:sz w:val="16"/>
            <w:szCs w:val="16"/>
          </w:rPr>
          <w:t>https://conf-dts1.unog.ch/1</w:t>
        </w:r>
      </w:hyperlink>
    </w:p>
  </w:footnote>
  <w:footnote w:id="27">
    <w:p w14:paraId="61BB17F7" w14:textId="77777777" w:rsidR="00C83AAD" w:rsidRPr="00A57BAC" w:rsidRDefault="00C83AAD" w:rsidP="00895D21">
      <w:pPr>
        <w:pStyle w:val="Textonotapie"/>
        <w:jc w:val="both"/>
        <w:rPr>
          <w:rFonts w:ascii="Abadi" w:hAnsi="Abadi"/>
          <w:color w:val="000000" w:themeColor="text1"/>
          <w:sz w:val="16"/>
          <w:szCs w:val="16"/>
        </w:rPr>
      </w:pPr>
      <w:r w:rsidRPr="00A57BAC">
        <w:rPr>
          <w:rStyle w:val="Refdenotaalpie"/>
          <w:rFonts w:ascii="Abadi" w:hAnsi="Abadi"/>
          <w:color w:val="000000" w:themeColor="text1"/>
          <w:sz w:val="16"/>
          <w:szCs w:val="16"/>
        </w:rPr>
        <w:footnoteRef/>
      </w:r>
      <w:r w:rsidRPr="00A57BAC">
        <w:rPr>
          <w:rFonts w:ascii="Abadi" w:hAnsi="Abadi"/>
          <w:color w:val="000000" w:themeColor="text1"/>
          <w:sz w:val="16"/>
          <w:szCs w:val="16"/>
        </w:rPr>
        <w:t xml:space="preserve"> Ibidem</w:t>
      </w:r>
    </w:p>
  </w:footnote>
  <w:footnote w:id="28">
    <w:p w14:paraId="61935989" w14:textId="77777777" w:rsidR="00C83AAD" w:rsidRPr="00864D3D" w:rsidRDefault="00C83AAD" w:rsidP="00895D21">
      <w:pPr>
        <w:pStyle w:val="Textonotapie"/>
        <w:jc w:val="both"/>
        <w:rPr>
          <w:rFonts w:ascii="Abadi" w:hAnsi="Abadi"/>
          <w:sz w:val="16"/>
          <w:szCs w:val="16"/>
          <w:lang w:val="es-ES"/>
        </w:rPr>
      </w:pPr>
      <w:r w:rsidRPr="00A57BAC">
        <w:rPr>
          <w:rStyle w:val="Refdenotaalpie"/>
          <w:rFonts w:ascii="Abadi" w:hAnsi="Abadi"/>
          <w:color w:val="000000" w:themeColor="text1"/>
          <w:sz w:val="16"/>
          <w:szCs w:val="16"/>
        </w:rPr>
        <w:footnoteRef/>
      </w:r>
      <w:r w:rsidRPr="00A57BAC">
        <w:rPr>
          <w:rFonts w:ascii="Abadi" w:hAnsi="Abadi"/>
          <w:color w:val="000000" w:themeColor="text1"/>
          <w:sz w:val="16"/>
          <w:szCs w:val="16"/>
        </w:rPr>
        <w:t xml:space="preserve"> Ibidem</w:t>
      </w:r>
    </w:p>
  </w:footnote>
  <w:footnote w:id="29">
    <w:p w14:paraId="6CDED1CE" w14:textId="77777777" w:rsidR="00C83AAD" w:rsidRPr="00A57BAC" w:rsidRDefault="00C83AAD" w:rsidP="00895D21">
      <w:pPr>
        <w:pStyle w:val="Textonotapie"/>
        <w:jc w:val="both"/>
        <w:rPr>
          <w:rFonts w:ascii="Abadi" w:hAnsi="Abadi"/>
          <w:color w:val="000000" w:themeColor="text1"/>
          <w:sz w:val="16"/>
          <w:szCs w:val="16"/>
          <w:lang w:val="es-ES"/>
        </w:rPr>
      </w:pPr>
      <w:r w:rsidRPr="00864D3D">
        <w:rPr>
          <w:rStyle w:val="Refdenotaalpie"/>
          <w:rFonts w:ascii="Abadi" w:hAnsi="Abadi"/>
          <w:sz w:val="16"/>
          <w:szCs w:val="16"/>
        </w:rPr>
        <w:footnoteRef/>
      </w:r>
      <w:r w:rsidRPr="00864D3D">
        <w:rPr>
          <w:rFonts w:ascii="Abadi" w:hAnsi="Abadi"/>
          <w:sz w:val="16"/>
          <w:szCs w:val="16"/>
        </w:rPr>
        <w:t xml:space="preserve"> </w:t>
      </w:r>
      <w:r w:rsidRPr="00A57BAC">
        <w:rPr>
          <w:rFonts w:ascii="Abadi" w:hAnsi="Abadi"/>
          <w:color w:val="000000" w:themeColor="text1"/>
          <w:sz w:val="16"/>
          <w:szCs w:val="16"/>
        </w:rPr>
        <w:t xml:space="preserve">Comité de Derecho Humanos de las Naciones Unidas, Observación General N °  35  Libertad y Seguridad Individuales   CADH, Articulo 9 Pacto de Derechos Civiles y políticos , considerando 14°       </w:t>
      </w:r>
      <w:hyperlink r:id="rId7" w:history="1">
        <w:r w:rsidRPr="00A57BAC">
          <w:rPr>
            <w:rStyle w:val="Hipervnculo"/>
            <w:rFonts w:ascii="Abadi" w:hAnsi="Abadi"/>
            <w:color w:val="000000" w:themeColor="text1"/>
            <w:sz w:val="16"/>
            <w:szCs w:val="16"/>
          </w:rPr>
          <w:t>https://conf-dts1.unog.ch/1</w:t>
        </w:r>
      </w:hyperlink>
    </w:p>
  </w:footnote>
  <w:footnote w:id="30">
    <w:p w14:paraId="3B23C166" w14:textId="77777777" w:rsidR="00C83AAD" w:rsidRPr="00A57BAC" w:rsidRDefault="00C83AAD">
      <w:pPr>
        <w:pStyle w:val="Textonotapie"/>
        <w:rPr>
          <w:rFonts w:ascii="Abadi" w:hAnsi="Abadi"/>
          <w:color w:val="000000" w:themeColor="text1"/>
          <w:sz w:val="16"/>
          <w:szCs w:val="16"/>
          <w:lang w:val="es-ES"/>
        </w:rPr>
      </w:pPr>
      <w:r w:rsidRPr="00A57BAC">
        <w:rPr>
          <w:rStyle w:val="Refdenotaalpie"/>
          <w:rFonts w:ascii="Abadi" w:hAnsi="Abadi"/>
          <w:color w:val="000000" w:themeColor="text1"/>
          <w:sz w:val="16"/>
          <w:szCs w:val="16"/>
        </w:rPr>
        <w:footnoteRef/>
      </w:r>
      <w:r w:rsidRPr="00A57BAC">
        <w:rPr>
          <w:rFonts w:ascii="Abadi" w:hAnsi="Abadi"/>
          <w:color w:val="000000" w:themeColor="text1"/>
          <w:sz w:val="16"/>
          <w:szCs w:val="16"/>
        </w:rPr>
        <w:t xml:space="preserve"> Ibidem, </w:t>
      </w:r>
      <w:proofErr w:type="spellStart"/>
      <w:r w:rsidRPr="00A57BAC">
        <w:rPr>
          <w:rFonts w:ascii="Abadi" w:hAnsi="Abadi"/>
          <w:color w:val="000000" w:themeColor="text1"/>
          <w:sz w:val="16"/>
          <w:szCs w:val="16"/>
        </w:rPr>
        <w:t>Obs</w:t>
      </w:r>
      <w:proofErr w:type="spellEnd"/>
      <w:r w:rsidRPr="00A57BAC">
        <w:rPr>
          <w:rFonts w:ascii="Abadi" w:hAnsi="Abadi"/>
          <w:color w:val="000000" w:themeColor="text1"/>
          <w:sz w:val="16"/>
          <w:szCs w:val="16"/>
        </w:rPr>
        <w:t>. 35, Considerando 15</w:t>
      </w:r>
    </w:p>
  </w:footnote>
  <w:footnote w:id="31">
    <w:p w14:paraId="65BF3FBE" w14:textId="77777777" w:rsidR="00C83AAD" w:rsidRPr="00A57BAC" w:rsidRDefault="00C83AAD">
      <w:pPr>
        <w:pStyle w:val="Textonotapie"/>
        <w:rPr>
          <w:rFonts w:ascii="Abadi" w:hAnsi="Abadi"/>
          <w:color w:val="000000" w:themeColor="text1"/>
          <w:sz w:val="16"/>
          <w:szCs w:val="16"/>
          <w:lang w:val="es-ES"/>
        </w:rPr>
      </w:pPr>
      <w:r w:rsidRPr="00A57BAC">
        <w:rPr>
          <w:rStyle w:val="Refdenotaalpie"/>
          <w:rFonts w:ascii="Abadi" w:hAnsi="Abadi"/>
          <w:color w:val="000000" w:themeColor="text1"/>
          <w:sz w:val="16"/>
          <w:szCs w:val="16"/>
        </w:rPr>
        <w:footnoteRef/>
      </w:r>
      <w:r w:rsidRPr="00A57BAC">
        <w:rPr>
          <w:rFonts w:ascii="Abadi" w:hAnsi="Abadi"/>
          <w:color w:val="000000" w:themeColor="text1"/>
          <w:sz w:val="16"/>
          <w:szCs w:val="16"/>
        </w:rPr>
        <w:t xml:space="preserve"> </w:t>
      </w:r>
      <w:r w:rsidRPr="00A57BAC">
        <w:rPr>
          <w:rFonts w:ascii="Abadi" w:hAnsi="Abadi"/>
          <w:color w:val="000000" w:themeColor="text1"/>
          <w:sz w:val="16"/>
          <w:szCs w:val="16"/>
          <w:lang w:val="es-ES"/>
        </w:rPr>
        <w:t>Ibidem, Considerando 35</w:t>
      </w:r>
    </w:p>
  </w:footnote>
  <w:footnote w:id="32">
    <w:p w14:paraId="74FD461E" w14:textId="77777777" w:rsidR="00C83AAD" w:rsidRPr="00A57BAC" w:rsidRDefault="00C83AAD">
      <w:pPr>
        <w:pStyle w:val="Textonotapie"/>
        <w:rPr>
          <w:color w:val="000000" w:themeColor="text1"/>
          <w:lang w:val="es-ES"/>
        </w:rPr>
      </w:pPr>
      <w:r w:rsidRPr="00A57BAC">
        <w:rPr>
          <w:rStyle w:val="Refdenotaalpie"/>
          <w:rFonts w:ascii="Abadi" w:hAnsi="Abadi"/>
          <w:color w:val="000000" w:themeColor="text1"/>
          <w:sz w:val="16"/>
          <w:szCs w:val="16"/>
        </w:rPr>
        <w:footnoteRef/>
      </w:r>
      <w:r w:rsidRPr="00A57BAC">
        <w:rPr>
          <w:rFonts w:ascii="Abadi" w:hAnsi="Abadi"/>
          <w:color w:val="000000" w:themeColor="text1"/>
          <w:sz w:val="16"/>
          <w:szCs w:val="16"/>
        </w:rPr>
        <w:t xml:space="preserve"> </w:t>
      </w:r>
      <w:r w:rsidRPr="00A57BAC">
        <w:rPr>
          <w:rFonts w:ascii="Abadi" w:hAnsi="Abadi"/>
          <w:color w:val="000000" w:themeColor="text1"/>
          <w:sz w:val="16"/>
          <w:szCs w:val="16"/>
          <w:lang w:val="es-ES"/>
        </w:rPr>
        <w:t>Ibidem, Considerando 37</w:t>
      </w:r>
    </w:p>
  </w:footnote>
  <w:footnote w:id="33">
    <w:p w14:paraId="3377F4E5" w14:textId="77777777" w:rsidR="00C83AAD" w:rsidRPr="00A600C0" w:rsidRDefault="00C83AAD">
      <w:pPr>
        <w:pStyle w:val="Textonotapie"/>
        <w:rPr>
          <w:rFonts w:ascii="Abadi" w:hAnsi="Abadi"/>
          <w:sz w:val="16"/>
          <w:szCs w:val="16"/>
          <w:lang w:val="es-ES"/>
        </w:rPr>
      </w:pPr>
      <w:r w:rsidRPr="00A57BAC">
        <w:rPr>
          <w:rStyle w:val="Refdenotaalpie"/>
          <w:rFonts w:ascii="Abadi" w:hAnsi="Abadi"/>
          <w:color w:val="000000" w:themeColor="text1"/>
          <w:sz w:val="16"/>
          <w:szCs w:val="16"/>
        </w:rPr>
        <w:footnoteRef/>
      </w:r>
      <w:r w:rsidRPr="00A57BAC">
        <w:rPr>
          <w:rFonts w:ascii="Abadi" w:hAnsi="Abadi"/>
          <w:color w:val="000000" w:themeColor="text1"/>
          <w:sz w:val="16"/>
          <w:szCs w:val="16"/>
        </w:rPr>
        <w:t xml:space="preserve"> </w:t>
      </w:r>
      <w:r w:rsidRPr="00A57BAC">
        <w:rPr>
          <w:rFonts w:ascii="Abadi" w:hAnsi="Abadi"/>
          <w:color w:val="000000" w:themeColor="text1"/>
          <w:sz w:val="16"/>
          <w:szCs w:val="16"/>
          <w:lang w:val="es-ES"/>
        </w:rPr>
        <w:t>Ibidem, Considerando 37</w:t>
      </w:r>
    </w:p>
  </w:footnote>
  <w:footnote w:id="34">
    <w:p w14:paraId="1BFAC2BF" w14:textId="77777777" w:rsidR="00C83AAD" w:rsidRPr="00A600C0" w:rsidRDefault="00C83AAD">
      <w:pPr>
        <w:pStyle w:val="Textonotapie"/>
        <w:rPr>
          <w:rFonts w:ascii="Abadi" w:hAnsi="Abadi"/>
          <w:sz w:val="16"/>
          <w:szCs w:val="16"/>
          <w:lang w:val="es-ES"/>
        </w:rPr>
      </w:pPr>
      <w:r w:rsidRPr="00A600C0">
        <w:rPr>
          <w:rStyle w:val="Refdenotaalpie"/>
          <w:rFonts w:ascii="Abadi" w:hAnsi="Abadi"/>
          <w:sz w:val="16"/>
          <w:szCs w:val="16"/>
        </w:rPr>
        <w:footnoteRef/>
      </w:r>
      <w:r w:rsidRPr="00A600C0">
        <w:rPr>
          <w:rFonts w:ascii="Abadi" w:hAnsi="Abadi"/>
          <w:sz w:val="16"/>
          <w:szCs w:val="16"/>
        </w:rPr>
        <w:t xml:space="preserve"> </w:t>
      </w:r>
      <w:r w:rsidRPr="00A600C0">
        <w:rPr>
          <w:rFonts w:ascii="Abadi" w:hAnsi="Abadi"/>
          <w:sz w:val="16"/>
          <w:szCs w:val="16"/>
          <w:lang w:val="es-ES"/>
        </w:rPr>
        <w:t>Ibidem, Considerando 38</w:t>
      </w:r>
    </w:p>
  </w:footnote>
  <w:footnote w:id="35">
    <w:p w14:paraId="7E0DCCC9" w14:textId="77777777" w:rsidR="00C83AAD" w:rsidRPr="00A600C0" w:rsidRDefault="00C83AAD">
      <w:pPr>
        <w:pStyle w:val="Textonotapie"/>
        <w:rPr>
          <w:rFonts w:ascii="Abadi" w:hAnsi="Abadi"/>
          <w:sz w:val="16"/>
          <w:szCs w:val="16"/>
          <w:lang w:val="es-ES"/>
        </w:rPr>
      </w:pPr>
      <w:r w:rsidRPr="00A600C0">
        <w:rPr>
          <w:rStyle w:val="Refdenotaalpie"/>
          <w:rFonts w:ascii="Abadi" w:hAnsi="Abadi"/>
          <w:sz w:val="16"/>
          <w:szCs w:val="16"/>
        </w:rPr>
        <w:footnoteRef/>
      </w:r>
      <w:r w:rsidRPr="00A600C0">
        <w:rPr>
          <w:rFonts w:ascii="Abadi" w:hAnsi="Abadi"/>
          <w:sz w:val="16"/>
          <w:szCs w:val="16"/>
        </w:rPr>
        <w:t xml:space="preserve"> </w:t>
      </w:r>
      <w:r w:rsidRPr="00A600C0">
        <w:rPr>
          <w:rFonts w:ascii="Abadi" w:hAnsi="Abadi"/>
          <w:sz w:val="16"/>
          <w:szCs w:val="16"/>
          <w:lang w:val="es-ES"/>
        </w:rPr>
        <w:t>Ibidem, Considerando 38</w:t>
      </w:r>
    </w:p>
  </w:footnote>
  <w:footnote w:id="36">
    <w:p w14:paraId="72762C15" w14:textId="77777777" w:rsidR="00C83AAD" w:rsidRPr="00864D3D" w:rsidRDefault="00C83AAD">
      <w:pPr>
        <w:pStyle w:val="Textonotapie"/>
        <w:rPr>
          <w:rFonts w:ascii="Abadi" w:hAnsi="Abadi"/>
          <w:sz w:val="16"/>
          <w:szCs w:val="16"/>
          <w:lang w:val="es-ES"/>
        </w:rPr>
      </w:pPr>
      <w:r w:rsidRPr="00864D3D">
        <w:rPr>
          <w:rStyle w:val="Refdenotaalpie"/>
          <w:rFonts w:ascii="Abadi" w:hAnsi="Abadi"/>
          <w:sz w:val="16"/>
          <w:szCs w:val="16"/>
        </w:rPr>
        <w:footnoteRef/>
      </w:r>
      <w:r w:rsidRPr="00864D3D">
        <w:rPr>
          <w:rFonts w:ascii="Abadi" w:hAnsi="Abadi"/>
          <w:sz w:val="16"/>
          <w:szCs w:val="16"/>
        </w:rPr>
        <w:t xml:space="preserve"> </w:t>
      </w:r>
      <w:r w:rsidRPr="00864D3D">
        <w:rPr>
          <w:rFonts w:ascii="Abadi" w:hAnsi="Abadi"/>
          <w:sz w:val="16"/>
          <w:szCs w:val="16"/>
          <w:lang w:val="es-ES"/>
        </w:rPr>
        <w:t>Ibidem, Considerando 38</w:t>
      </w:r>
    </w:p>
  </w:footnote>
  <w:footnote w:id="37">
    <w:p w14:paraId="3A862594" w14:textId="77777777" w:rsidR="00C83AAD" w:rsidRDefault="00C83AAD" w:rsidP="003C2B99">
      <w:pPr>
        <w:pStyle w:val="Textonotapie"/>
        <w:jc w:val="both"/>
        <w:rPr>
          <w:rFonts w:ascii="Perpetua" w:hAnsi="Perpetua"/>
          <w:lang w:val="es-ES"/>
        </w:rPr>
      </w:pPr>
      <w:r w:rsidRPr="00864D3D">
        <w:rPr>
          <w:rStyle w:val="Refdenotaalpie"/>
          <w:rFonts w:ascii="Abadi" w:hAnsi="Abadi"/>
          <w:sz w:val="16"/>
          <w:szCs w:val="16"/>
        </w:rPr>
        <w:footnoteRef/>
      </w:r>
      <w:r w:rsidRPr="00864D3D">
        <w:rPr>
          <w:rFonts w:ascii="Abadi" w:hAnsi="Abadi"/>
          <w:sz w:val="16"/>
          <w:szCs w:val="16"/>
        </w:rPr>
        <w:t xml:space="preserve"> Corte Interamericana de Derechos Humanos. Caso </w:t>
      </w:r>
      <w:proofErr w:type="spellStart"/>
      <w:r w:rsidRPr="00864D3D">
        <w:rPr>
          <w:rFonts w:ascii="Abadi" w:hAnsi="Abadi"/>
          <w:sz w:val="16"/>
          <w:szCs w:val="16"/>
        </w:rPr>
        <w:t>Norín</w:t>
      </w:r>
      <w:proofErr w:type="spellEnd"/>
      <w:r w:rsidRPr="00864D3D">
        <w:rPr>
          <w:rFonts w:ascii="Abadi" w:hAnsi="Abadi"/>
          <w:sz w:val="16"/>
          <w:szCs w:val="16"/>
        </w:rPr>
        <w:t xml:space="preserve"> </w:t>
      </w:r>
      <w:proofErr w:type="spellStart"/>
      <w:r w:rsidRPr="00864D3D">
        <w:rPr>
          <w:rFonts w:ascii="Abadi" w:hAnsi="Abadi"/>
          <w:sz w:val="16"/>
          <w:szCs w:val="16"/>
        </w:rPr>
        <w:t>Catrimán</w:t>
      </w:r>
      <w:proofErr w:type="spellEnd"/>
      <w:r w:rsidRPr="00864D3D">
        <w:rPr>
          <w:rFonts w:ascii="Abadi" w:hAnsi="Abadi"/>
          <w:sz w:val="16"/>
          <w:szCs w:val="16"/>
        </w:rPr>
        <w:t xml:space="preserve"> y otros (Dirigentes, Miembros y Activistas del pueblo indígena mapuche) vs. Chile .Sentencia de 29 de mayo de 2014.Considerando 308</w:t>
      </w:r>
    </w:p>
  </w:footnote>
  <w:footnote w:id="38">
    <w:p w14:paraId="475C73A9" w14:textId="77777777" w:rsidR="00C83AAD" w:rsidRDefault="00C83AAD" w:rsidP="004168B9">
      <w:pPr>
        <w:pStyle w:val="Textonotapie"/>
        <w:jc w:val="both"/>
        <w:rPr>
          <w:rFonts w:ascii="Perpetua" w:hAnsi="Perpetua"/>
          <w:lang w:val="es-ES"/>
        </w:rPr>
      </w:pPr>
      <w:r>
        <w:rPr>
          <w:rStyle w:val="Refdenotaalpie"/>
          <w:rFonts w:ascii="Perpetua" w:hAnsi="Perpetua"/>
        </w:rPr>
        <w:footnoteRef/>
      </w:r>
      <w:r>
        <w:rPr>
          <w:rFonts w:ascii="Perpetua" w:hAnsi="Perpetua"/>
        </w:rPr>
        <w:t xml:space="preserve"> </w:t>
      </w:r>
      <w:r w:rsidRPr="00864D3D">
        <w:rPr>
          <w:rFonts w:ascii="Abadi" w:hAnsi="Abadi"/>
          <w:sz w:val="16"/>
          <w:szCs w:val="16"/>
        </w:rPr>
        <w:t xml:space="preserve">Corte Interamericana de Derechos Humanos, Caso </w:t>
      </w:r>
      <w:proofErr w:type="spellStart"/>
      <w:r w:rsidRPr="00864D3D">
        <w:rPr>
          <w:rFonts w:ascii="Abadi" w:hAnsi="Abadi"/>
          <w:sz w:val="16"/>
          <w:szCs w:val="16"/>
        </w:rPr>
        <w:t>Norín</w:t>
      </w:r>
      <w:proofErr w:type="spellEnd"/>
      <w:r w:rsidRPr="00864D3D">
        <w:rPr>
          <w:rFonts w:ascii="Abadi" w:hAnsi="Abadi"/>
          <w:sz w:val="16"/>
          <w:szCs w:val="16"/>
        </w:rPr>
        <w:t xml:space="preserve"> </w:t>
      </w:r>
      <w:proofErr w:type="spellStart"/>
      <w:r w:rsidRPr="00864D3D">
        <w:rPr>
          <w:rFonts w:ascii="Abadi" w:hAnsi="Abadi"/>
          <w:sz w:val="16"/>
          <w:szCs w:val="16"/>
        </w:rPr>
        <w:t>Catrimán</w:t>
      </w:r>
      <w:proofErr w:type="spellEnd"/>
      <w:r w:rsidRPr="00864D3D">
        <w:rPr>
          <w:rFonts w:ascii="Abadi" w:hAnsi="Abadi"/>
          <w:sz w:val="16"/>
          <w:szCs w:val="16"/>
        </w:rPr>
        <w:t xml:space="preserve"> y otros (Dirigentes, Miembros y Activistas del pueblo indígena mapuche) vs. Chile .Sentencia de 29 de mayo de 2014.Considerando 308</w:t>
      </w:r>
    </w:p>
  </w:footnote>
  <w:footnote w:id="39">
    <w:p w14:paraId="40CDEC84" w14:textId="77777777" w:rsidR="00C83AAD" w:rsidRPr="00A600C0" w:rsidRDefault="00C83AAD">
      <w:pPr>
        <w:pStyle w:val="Textonotapie"/>
        <w:rPr>
          <w:rFonts w:ascii="Abadi" w:hAnsi="Abadi"/>
          <w:sz w:val="16"/>
          <w:szCs w:val="16"/>
          <w:lang w:val="es-ES"/>
        </w:rPr>
      </w:pPr>
      <w:r w:rsidRPr="00A600C0">
        <w:rPr>
          <w:rStyle w:val="Refdenotaalpie"/>
          <w:rFonts w:ascii="Abadi" w:hAnsi="Abadi"/>
          <w:sz w:val="16"/>
          <w:szCs w:val="16"/>
        </w:rPr>
        <w:footnoteRef/>
      </w:r>
      <w:r w:rsidRPr="00A600C0">
        <w:rPr>
          <w:rFonts w:ascii="Abadi" w:hAnsi="Abadi"/>
          <w:sz w:val="16"/>
          <w:szCs w:val="16"/>
        </w:rPr>
        <w:t xml:space="preserve"> Ibidem. Considerando 321</w:t>
      </w:r>
    </w:p>
  </w:footnote>
  <w:footnote w:id="40">
    <w:p w14:paraId="36F760CA" w14:textId="77777777" w:rsidR="00C83AAD" w:rsidRPr="00864D3D" w:rsidRDefault="00C83AAD">
      <w:pPr>
        <w:pStyle w:val="Textonotapie"/>
        <w:rPr>
          <w:rFonts w:ascii="Abadi" w:hAnsi="Abadi"/>
          <w:sz w:val="16"/>
          <w:szCs w:val="16"/>
          <w:lang w:val="es-ES"/>
        </w:rPr>
      </w:pPr>
      <w:r w:rsidRPr="00864D3D">
        <w:rPr>
          <w:rStyle w:val="Refdenotaalpie"/>
          <w:rFonts w:ascii="Abadi" w:hAnsi="Abadi"/>
          <w:sz w:val="16"/>
          <w:szCs w:val="16"/>
        </w:rPr>
        <w:footnoteRef/>
      </w:r>
      <w:r w:rsidRPr="00864D3D">
        <w:rPr>
          <w:rFonts w:ascii="Abadi" w:hAnsi="Abadi"/>
          <w:sz w:val="16"/>
          <w:szCs w:val="16"/>
        </w:rPr>
        <w:t xml:space="preserve"> Ibidem. Considerando 322</w:t>
      </w:r>
    </w:p>
  </w:footnote>
  <w:footnote w:id="41">
    <w:p w14:paraId="4B49013F" w14:textId="77777777" w:rsidR="00C83AAD" w:rsidRPr="00864D3D" w:rsidRDefault="00C83AAD">
      <w:pPr>
        <w:pStyle w:val="Textonotapie"/>
        <w:rPr>
          <w:rFonts w:ascii="Abadi" w:hAnsi="Abadi"/>
          <w:sz w:val="16"/>
          <w:szCs w:val="16"/>
          <w:lang w:val="es-ES"/>
        </w:rPr>
      </w:pPr>
      <w:r w:rsidRPr="00864D3D">
        <w:rPr>
          <w:rStyle w:val="Refdenotaalpie"/>
          <w:rFonts w:ascii="Abadi" w:hAnsi="Abadi"/>
          <w:sz w:val="16"/>
          <w:szCs w:val="16"/>
        </w:rPr>
        <w:footnoteRef/>
      </w:r>
      <w:r w:rsidRPr="00864D3D">
        <w:rPr>
          <w:rFonts w:ascii="Abadi" w:hAnsi="Abadi"/>
          <w:sz w:val="16"/>
          <w:szCs w:val="16"/>
        </w:rPr>
        <w:t xml:space="preserve"> Ibidem. Considerando 323</w:t>
      </w:r>
    </w:p>
  </w:footnote>
  <w:footnote w:id="42">
    <w:p w14:paraId="4AC19BE3" w14:textId="77777777" w:rsidR="00C83AAD" w:rsidRPr="00864D3D" w:rsidRDefault="00C83AAD">
      <w:pPr>
        <w:pStyle w:val="Textonotapie"/>
        <w:rPr>
          <w:rFonts w:ascii="Abadi" w:hAnsi="Abadi"/>
          <w:sz w:val="16"/>
          <w:szCs w:val="16"/>
          <w:lang w:val="es-ES"/>
        </w:rPr>
      </w:pPr>
      <w:r w:rsidRPr="00864D3D">
        <w:rPr>
          <w:rStyle w:val="Refdenotaalpie"/>
          <w:rFonts w:ascii="Abadi" w:hAnsi="Abadi"/>
          <w:sz w:val="16"/>
          <w:szCs w:val="16"/>
        </w:rPr>
        <w:footnoteRef/>
      </w:r>
      <w:r w:rsidRPr="00864D3D">
        <w:rPr>
          <w:rFonts w:ascii="Abadi" w:hAnsi="Abadi"/>
          <w:sz w:val="16"/>
          <w:szCs w:val="16"/>
        </w:rPr>
        <w:t xml:space="preserve"> Ibidem. Considerando 324</w:t>
      </w:r>
    </w:p>
  </w:footnote>
  <w:footnote w:id="43">
    <w:p w14:paraId="008630AE" w14:textId="77777777" w:rsidR="00C83AAD" w:rsidRPr="00561A5B" w:rsidRDefault="00C83AAD">
      <w:pPr>
        <w:pStyle w:val="Textonotapie"/>
        <w:rPr>
          <w:lang w:val="es-ES"/>
        </w:rPr>
      </w:pPr>
      <w:r w:rsidRPr="00864D3D">
        <w:rPr>
          <w:rStyle w:val="Refdenotaalpie"/>
          <w:rFonts w:ascii="Abadi" w:hAnsi="Abadi"/>
          <w:sz w:val="16"/>
          <w:szCs w:val="16"/>
        </w:rPr>
        <w:footnoteRef/>
      </w:r>
      <w:r w:rsidRPr="00864D3D">
        <w:rPr>
          <w:rFonts w:ascii="Abadi" w:hAnsi="Abadi"/>
          <w:sz w:val="16"/>
          <w:szCs w:val="16"/>
        </w:rPr>
        <w:t xml:space="preserve"> Ibidem. Considerando 324</w:t>
      </w:r>
    </w:p>
  </w:footnote>
  <w:footnote w:id="44">
    <w:p w14:paraId="37063530" w14:textId="77777777" w:rsidR="00C83AAD" w:rsidRPr="00EE1A1C" w:rsidRDefault="00C83AAD" w:rsidP="00635C72">
      <w:pPr>
        <w:pStyle w:val="Textonotapie"/>
        <w:jc w:val="both"/>
        <w:rPr>
          <w:rFonts w:ascii="Abadi" w:hAnsi="Abadi"/>
          <w:sz w:val="16"/>
          <w:szCs w:val="16"/>
          <w:lang w:val="es-ES"/>
        </w:rPr>
      </w:pPr>
      <w:r w:rsidRPr="00EE1A1C">
        <w:rPr>
          <w:rStyle w:val="Refdenotaalpie"/>
          <w:rFonts w:ascii="Abadi" w:hAnsi="Abadi"/>
          <w:sz w:val="16"/>
          <w:szCs w:val="16"/>
        </w:rPr>
        <w:footnoteRef/>
      </w:r>
      <w:r w:rsidRPr="00EE1A1C">
        <w:rPr>
          <w:rFonts w:ascii="Abadi" w:hAnsi="Abadi"/>
          <w:sz w:val="16"/>
          <w:szCs w:val="16"/>
        </w:rPr>
        <w:t xml:space="preserve"> I Cumbre de las Américas 1994, Miami, EEUU, Plan de Acción. II Cumbre de las Américas 1998, Santiago, Chile, Documento sobre Derechos Humanos.</w:t>
      </w:r>
    </w:p>
  </w:footnote>
  <w:footnote w:id="45">
    <w:p w14:paraId="04335233" w14:textId="77777777" w:rsidR="00C83AAD" w:rsidRPr="00EE1A1C" w:rsidRDefault="00C83AAD" w:rsidP="00635C72">
      <w:pPr>
        <w:pStyle w:val="Textonotapie"/>
        <w:jc w:val="both"/>
        <w:rPr>
          <w:rFonts w:ascii="Abadi" w:hAnsi="Abadi"/>
          <w:sz w:val="16"/>
          <w:szCs w:val="16"/>
          <w:lang w:val="es-ES"/>
        </w:rPr>
      </w:pPr>
      <w:r w:rsidRPr="00EE1A1C">
        <w:rPr>
          <w:rStyle w:val="Refdenotaalpie"/>
          <w:rFonts w:ascii="Abadi" w:hAnsi="Abadi"/>
          <w:sz w:val="16"/>
          <w:szCs w:val="16"/>
        </w:rPr>
        <w:footnoteRef/>
      </w:r>
      <w:r w:rsidRPr="00EE1A1C">
        <w:rPr>
          <w:rFonts w:ascii="Abadi" w:hAnsi="Abadi"/>
          <w:sz w:val="16"/>
          <w:szCs w:val="16"/>
        </w:rPr>
        <w:t xml:space="preserve"> </w:t>
      </w:r>
      <w:proofErr w:type="spellStart"/>
      <w:r w:rsidRPr="00EE1A1C">
        <w:rPr>
          <w:rFonts w:ascii="Abadi" w:hAnsi="Abadi"/>
          <w:sz w:val="16"/>
          <w:szCs w:val="16"/>
          <w:lang w:val="es-ES"/>
        </w:rPr>
        <w:t>Op</w:t>
      </w:r>
      <w:proofErr w:type="spellEnd"/>
      <w:r w:rsidRPr="00EE1A1C">
        <w:rPr>
          <w:rFonts w:ascii="Abadi" w:hAnsi="Abadi"/>
          <w:sz w:val="16"/>
          <w:szCs w:val="16"/>
          <w:lang w:val="es-ES"/>
        </w:rPr>
        <w:t xml:space="preserve">. </w:t>
      </w:r>
      <w:proofErr w:type="spellStart"/>
      <w:r w:rsidRPr="00EE1A1C">
        <w:rPr>
          <w:rFonts w:ascii="Abadi" w:hAnsi="Abadi"/>
          <w:sz w:val="16"/>
          <w:szCs w:val="16"/>
          <w:lang w:val="es-ES"/>
        </w:rPr>
        <w:t>Cit</w:t>
      </w:r>
      <w:proofErr w:type="spellEnd"/>
      <w:r w:rsidRPr="00EE1A1C">
        <w:rPr>
          <w:rFonts w:ascii="Abadi" w:hAnsi="Abadi"/>
          <w:sz w:val="16"/>
          <w:szCs w:val="16"/>
          <w:lang w:val="es-ES"/>
        </w:rPr>
        <w:t xml:space="preserve"> 16</w:t>
      </w:r>
    </w:p>
  </w:footnote>
  <w:footnote w:id="46">
    <w:p w14:paraId="3FE532B6" w14:textId="77777777" w:rsidR="00C83AAD" w:rsidRPr="00EE1A1C" w:rsidRDefault="00C83AAD" w:rsidP="00635C72">
      <w:pPr>
        <w:pStyle w:val="Textonotapie"/>
        <w:jc w:val="both"/>
        <w:rPr>
          <w:rFonts w:ascii="Abadi" w:hAnsi="Abadi"/>
          <w:sz w:val="16"/>
          <w:szCs w:val="16"/>
          <w:lang w:val="es-ES"/>
        </w:rPr>
      </w:pPr>
      <w:r w:rsidRPr="00EE1A1C">
        <w:rPr>
          <w:rStyle w:val="Refdenotaalpie"/>
          <w:rFonts w:ascii="Abadi" w:hAnsi="Abadi"/>
          <w:sz w:val="16"/>
          <w:szCs w:val="16"/>
        </w:rPr>
        <w:footnoteRef/>
      </w:r>
      <w:r w:rsidRPr="00EE1A1C">
        <w:rPr>
          <w:rFonts w:ascii="Abadi" w:hAnsi="Abadi"/>
          <w:sz w:val="16"/>
          <w:szCs w:val="16"/>
        </w:rPr>
        <w:t xml:space="preserve"> </w:t>
      </w:r>
      <w:r w:rsidRPr="00EE1A1C">
        <w:rPr>
          <w:rFonts w:ascii="Abadi" w:hAnsi="Abadi"/>
          <w:sz w:val="16"/>
          <w:szCs w:val="16"/>
          <w:lang w:val="es-ES"/>
        </w:rPr>
        <w:t xml:space="preserve">Una de estas modificaciones es la que introdujo la </w:t>
      </w:r>
      <w:r w:rsidRPr="00EE1A1C">
        <w:rPr>
          <w:rFonts w:ascii="Abadi" w:hAnsi="Abadi"/>
          <w:sz w:val="16"/>
          <w:szCs w:val="16"/>
        </w:rPr>
        <w:t>ley</w:t>
      </w:r>
      <w:r w:rsidRPr="00EE1A1C">
        <w:rPr>
          <w:rFonts w:ascii="Abadi" w:hAnsi="Abadi"/>
          <w:b/>
          <w:bCs/>
          <w:sz w:val="16"/>
          <w:szCs w:val="16"/>
        </w:rPr>
        <w:t xml:space="preserve"> </w:t>
      </w:r>
      <w:r w:rsidRPr="00EE1A1C">
        <w:rPr>
          <w:rFonts w:ascii="Abadi" w:hAnsi="Abadi"/>
          <w:sz w:val="16"/>
          <w:szCs w:val="16"/>
        </w:rPr>
        <w:t>N ° 20.931</w:t>
      </w:r>
      <w:r w:rsidRPr="00EE1A1C">
        <w:rPr>
          <w:rFonts w:ascii="Abadi" w:hAnsi="Abadi"/>
          <w:b/>
          <w:bCs/>
          <w:sz w:val="16"/>
          <w:szCs w:val="16"/>
        </w:rPr>
        <w:t xml:space="preserve"> </w:t>
      </w:r>
      <w:r w:rsidRPr="00EE1A1C">
        <w:rPr>
          <w:rFonts w:ascii="Abadi" w:hAnsi="Abadi"/>
          <w:sz w:val="16"/>
          <w:szCs w:val="16"/>
        </w:rPr>
        <w:t xml:space="preserve"> que “facilita la aplicación efectiva de las penas establecidas para los delitos de robo, hurto y receptación y mejora la persecución penal en dichos delitos”,  llamada “ley corta anti delincuencia”,  que permitió una </w:t>
      </w:r>
      <w:r w:rsidRPr="00EE1A1C">
        <w:rPr>
          <w:rFonts w:ascii="Abadi" w:eastAsia="Times New Roman" w:hAnsi="Abadi"/>
          <w:color w:val="000000"/>
          <w:sz w:val="16"/>
          <w:szCs w:val="16"/>
          <w:lang w:eastAsia="es-CL"/>
        </w:rPr>
        <w:t>ampliación de la prisión preventiva</w:t>
      </w:r>
    </w:p>
  </w:footnote>
  <w:footnote w:id="47">
    <w:p w14:paraId="56D75532" w14:textId="77777777" w:rsidR="00C83AAD" w:rsidRPr="00EE1A1C" w:rsidRDefault="00C83AAD" w:rsidP="00635C72">
      <w:pPr>
        <w:pStyle w:val="Textonotapie"/>
        <w:jc w:val="both"/>
        <w:rPr>
          <w:rFonts w:ascii="Abadi" w:hAnsi="Abadi"/>
          <w:sz w:val="16"/>
          <w:szCs w:val="16"/>
          <w:lang w:val="es-ES"/>
        </w:rPr>
      </w:pPr>
      <w:r w:rsidRPr="00EE1A1C">
        <w:rPr>
          <w:rStyle w:val="Refdenotaalpie"/>
          <w:rFonts w:ascii="Abadi" w:hAnsi="Abadi"/>
          <w:sz w:val="16"/>
          <w:szCs w:val="16"/>
        </w:rPr>
        <w:footnoteRef/>
      </w:r>
      <w:r w:rsidRPr="00EE1A1C">
        <w:rPr>
          <w:rFonts w:ascii="Abadi" w:hAnsi="Abadi"/>
          <w:sz w:val="16"/>
          <w:szCs w:val="16"/>
        </w:rPr>
        <w:t xml:space="preserve"> Informe de Comisión de Derechos Humanos sobre Proyecto de ley </w:t>
      </w:r>
      <w:r w:rsidRPr="00EE1A1C">
        <w:rPr>
          <w:rFonts w:ascii="Abadi" w:eastAsia="Times New Roman" w:hAnsi="Abadi" w:cs="Arial"/>
          <w:color w:val="2E2E2E"/>
          <w:sz w:val="16"/>
          <w:szCs w:val="16"/>
          <w:lang w:eastAsia="es-CL"/>
        </w:rPr>
        <w:t>que concede un indulto general por razones humanitarias a personas imputadas en el contexto de las protestas sociales iniciadas en octubre de 2019.Boletín N °</w:t>
      </w:r>
      <w:r w:rsidRPr="00EE1A1C">
        <w:rPr>
          <w:rFonts w:ascii="Abadi" w:hAnsi="Abadi"/>
          <w:sz w:val="16"/>
          <w:szCs w:val="16"/>
        </w:rPr>
        <w:t xml:space="preserve"> </w:t>
      </w:r>
      <w:r w:rsidRPr="00EE1A1C">
        <w:rPr>
          <w:rFonts w:ascii="Abadi" w:eastAsia="Times New Roman" w:hAnsi="Abadi" w:cs="Arial"/>
          <w:color w:val="2E2E2E"/>
          <w:sz w:val="16"/>
          <w:szCs w:val="16"/>
          <w:lang w:eastAsia="es-CL"/>
        </w:rPr>
        <w:t>13.941-17</w:t>
      </w:r>
    </w:p>
  </w:footnote>
  <w:footnote w:id="48">
    <w:p w14:paraId="1DEC3A47" w14:textId="77777777" w:rsidR="00C83AAD" w:rsidRPr="00A57BAC" w:rsidRDefault="00C83AAD" w:rsidP="00635C72">
      <w:pPr>
        <w:pStyle w:val="Textonotapie"/>
        <w:jc w:val="both"/>
        <w:rPr>
          <w:rFonts w:ascii="Abadi" w:hAnsi="Abadi"/>
          <w:color w:val="000000" w:themeColor="text1"/>
          <w:sz w:val="16"/>
          <w:szCs w:val="16"/>
        </w:rPr>
      </w:pPr>
      <w:r w:rsidRPr="00EE1A1C">
        <w:rPr>
          <w:rStyle w:val="Refdenotaalpie"/>
          <w:rFonts w:ascii="Abadi" w:hAnsi="Abadi"/>
          <w:sz w:val="16"/>
          <w:szCs w:val="16"/>
        </w:rPr>
        <w:footnoteRef/>
      </w:r>
      <w:r w:rsidRPr="00EE1A1C">
        <w:rPr>
          <w:rFonts w:ascii="Abadi" w:hAnsi="Abadi"/>
          <w:sz w:val="16"/>
          <w:szCs w:val="16"/>
        </w:rPr>
        <w:t xml:space="preserve"> INFORME PRINCIPALES TENDENCIAS. Enero a diciembre 2019. DEFENSORÍA PENAL PÚBLICA. Departamento de </w:t>
      </w:r>
      <w:r w:rsidRPr="00A57BAC">
        <w:rPr>
          <w:rFonts w:ascii="Abadi" w:hAnsi="Abadi"/>
          <w:color w:val="000000" w:themeColor="text1"/>
          <w:sz w:val="16"/>
          <w:szCs w:val="16"/>
        </w:rPr>
        <w:t xml:space="preserve">Informática y Estadísticas – DIE </w:t>
      </w:r>
      <w:hyperlink r:id="rId8" w:history="1">
        <w:r w:rsidRPr="00A57BAC">
          <w:rPr>
            <w:rStyle w:val="Hipervnculo"/>
            <w:rFonts w:ascii="Abadi" w:hAnsi="Abadi"/>
            <w:color w:val="000000" w:themeColor="text1"/>
            <w:sz w:val="16"/>
            <w:szCs w:val="16"/>
          </w:rPr>
          <w:t>http://www.dpp.cl/repositorio/196/542</w:t>
        </w:r>
      </w:hyperlink>
    </w:p>
  </w:footnote>
  <w:footnote w:id="49">
    <w:p w14:paraId="0A848AD7" w14:textId="77777777" w:rsidR="00C83AAD" w:rsidRPr="00A57BAC" w:rsidRDefault="00C83AAD" w:rsidP="00635C72">
      <w:pPr>
        <w:pStyle w:val="Textonotapie"/>
        <w:jc w:val="both"/>
        <w:rPr>
          <w:rFonts w:ascii="Perpetua" w:eastAsia="Times New Roman" w:hAnsi="Perpetua" w:cs="Arial"/>
          <w:color w:val="000000" w:themeColor="text1"/>
          <w:lang w:eastAsia="es-CL"/>
        </w:rPr>
      </w:pPr>
      <w:r w:rsidRPr="00A57BAC">
        <w:rPr>
          <w:rStyle w:val="Refdenotaalpie"/>
          <w:rFonts w:ascii="Abadi" w:hAnsi="Abadi"/>
          <w:color w:val="000000" w:themeColor="text1"/>
          <w:sz w:val="16"/>
          <w:szCs w:val="16"/>
        </w:rPr>
        <w:footnoteRef/>
      </w:r>
      <w:r w:rsidRPr="00A57BAC">
        <w:rPr>
          <w:rFonts w:ascii="Abadi" w:hAnsi="Abadi"/>
          <w:color w:val="000000" w:themeColor="text1"/>
          <w:sz w:val="16"/>
          <w:szCs w:val="16"/>
        </w:rPr>
        <w:t xml:space="preserve"> </w:t>
      </w:r>
      <w:r w:rsidRPr="00A57BAC">
        <w:rPr>
          <w:rFonts w:ascii="Abadi" w:hAnsi="Abadi"/>
          <w:color w:val="000000" w:themeColor="text1"/>
          <w:sz w:val="16"/>
          <w:szCs w:val="16"/>
          <w:lang w:val="es-ES"/>
        </w:rPr>
        <w:t>Informe de la Comisión de Derechos Humanos,</w:t>
      </w:r>
      <w:r w:rsidRPr="00A57BAC">
        <w:rPr>
          <w:rFonts w:ascii="Abadi" w:eastAsia="Times New Roman" w:hAnsi="Abadi" w:cs="Arial"/>
          <w:color w:val="000000" w:themeColor="text1"/>
          <w:sz w:val="16"/>
          <w:szCs w:val="16"/>
          <w:lang w:eastAsia="es-CL"/>
        </w:rPr>
        <w:t xml:space="preserve"> Nacionalidad y Ciudadanía del Senado.</w:t>
      </w:r>
      <w:r w:rsidRPr="00A57BAC">
        <w:rPr>
          <w:rFonts w:ascii="Abadi" w:hAnsi="Abadi"/>
          <w:color w:val="000000" w:themeColor="text1"/>
          <w:sz w:val="16"/>
          <w:szCs w:val="16"/>
        </w:rPr>
        <w:t xml:space="preserve"> </w:t>
      </w:r>
      <w:r w:rsidRPr="00A57BAC">
        <w:rPr>
          <w:rFonts w:ascii="Abadi" w:eastAsia="Times New Roman" w:hAnsi="Abadi" w:cs="Arial"/>
          <w:color w:val="000000" w:themeColor="text1"/>
          <w:sz w:val="16"/>
          <w:szCs w:val="16"/>
          <w:lang w:eastAsia="es-CL"/>
        </w:rPr>
        <w:t>Boletín N °13.941-17</w:t>
      </w:r>
    </w:p>
  </w:footnote>
  <w:footnote w:id="50">
    <w:p w14:paraId="19CF13CE" w14:textId="77777777" w:rsidR="003B755F" w:rsidRPr="00A57BAC" w:rsidRDefault="003B755F" w:rsidP="003B755F">
      <w:pPr>
        <w:pStyle w:val="Textonotapie"/>
        <w:rPr>
          <w:color w:val="000000" w:themeColor="text1"/>
          <w:lang w:val="es-ES"/>
        </w:rPr>
      </w:pPr>
      <w:r w:rsidRPr="00A57BAC">
        <w:rPr>
          <w:rStyle w:val="Refdenotaalpie"/>
          <w:rFonts w:ascii="Abadi" w:hAnsi="Abadi"/>
          <w:color w:val="000000" w:themeColor="text1"/>
          <w:sz w:val="16"/>
          <w:szCs w:val="16"/>
        </w:rPr>
        <w:footnoteRef/>
      </w:r>
      <w:r w:rsidRPr="00A57BAC">
        <w:rPr>
          <w:rFonts w:ascii="Abadi" w:hAnsi="Abadi"/>
          <w:color w:val="000000" w:themeColor="text1"/>
          <w:sz w:val="16"/>
          <w:szCs w:val="16"/>
        </w:rPr>
        <w:t xml:space="preserve"> </w:t>
      </w:r>
      <w:r w:rsidR="00FD40D6" w:rsidRPr="00A57BAC">
        <w:rPr>
          <w:rFonts w:ascii="Abadi" w:hAnsi="Abadi"/>
          <w:color w:val="000000" w:themeColor="text1"/>
          <w:sz w:val="16"/>
          <w:szCs w:val="16"/>
        </w:rPr>
        <w:t xml:space="preserve">Comité de Derecho Humanos de las Naciones Unidas, Observación General N °  35  Libertad y Seguridad Individuales   CADH, Articulo 9 Pacto de Derechos Civiles y políticos , considerando 14°       </w:t>
      </w:r>
      <w:hyperlink r:id="rId9" w:history="1">
        <w:r w:rsidR="00FD40D6" w:rsidRPr="00A57BAC">
          <w:rPr>
            <w:rStyle w:val="Hipervnculo"/>
            <w:rFonts w:ascii="Abadi" w:hAnsi="Abadi"/>
            <w:color w:val="000000" w:themeColor="text1"/>
            <w:sz w:val="16"/>
            <w:szCs w:val="16"/>
          </w:rPr>
          <w:t>https://conf-dts1.unog.ch/1</w:t>
        </w:r>
      </w:hyperlink>
      <w:r w:rsidR="00FD40D6" w:rsidRPr="00A57BAC">
        <w:rPr>
          <w:color w:val="000000" w:themeColor="text1"/>
        </w:rPr>
        <w:t xml:space="preserve"> </w:t>
      </w:r>
    </w:p>
  </w:footnote>
  <w:footnote w:id="51">
    <w:p w14:paraId="38377411" w14:textId="77777777" w:rsidR="00C83AAD" w:rsidRPr="00EE1A1C" w:rsidRDefault="00C83AAD" w:rsidP="00A256FD">
      <w:pPr>
        <w:pStyle w:val="Textonotapie"/>
        <w:rPr>
          <w:rFonts w:ascii="Abadi" w:hAnsi="Abadi"/>
          <w:sz w:val="16"/>
          <w:szCs w:val="16"/>
          <w:lang w:val="es-ES"/>
        </w:rPr>
      </w:pPr>
      <w:r w:rsidRPr="00A57BAC">
        <w:rPr>
          <w:rStyle w:val="Refdenotaalpie"/>
          <w:rFonts w:ascii="Abadi" w:hAnsi="Abadi"/>
          <w:color w:val="000000" w:themeColor="text1"/>
          <w:sz w:val="16"/>
          <w:szCs w:val="16"/>
        </w:rPr>
        <w:footnoteRef/>
      </w:r>
      <w:r w:rsidRPr="00A57BAC">
        <w:rPr>
          <w:rFonts w:ascii="Abadi" w:hAnsi="Abadi"/>
          <w:color w:val="000000" w:themeColor="text1"/>
          <w:sz w:val="16"/>
          <w:szCs w:val="16"/>
        </w:rPr>
        <w:t xml:space="preserve"> Comité de Derecho Humanos de las Naciones Unidas, Observación General N °  35  Libertad y Seguridad Individuales   CADH, Articulo 9 Pacto de Derechos Civiles y políticos , considerando 14°       </w:t>
      </w:r>
      <w:hyperlink r:id="rId10" w:history="1">
        <w:r w:rsidRPr="00A57BAC">
          <w:rPr>
            <w:rStyle w:val="Hipervnculo"/>
            <w:rFonts w:ascii="Abadi" w:hAnsi="Abadi"/>
            <w:color w:val="000000" w:themeColor="text1"/>
            <w:sz w:val="16"/>
            <w:szCs w:val="16"/>
          </w:rPr>
          <w:t>https://conf-dts1.unog.ch/1</w:t>
        </w:r>
      </w:hyperlink>
    </w:p>
  </w:footnote>
  <w:footnote w:id="52">
    <w:p w14:paraId="426C8CCA" w14:textId="77777777" w:rsidR="00007FF3" w:rsidRPr="0071407C" w:rsidRDefault="00007FF3" w:rsidP="00007FF3">
      <w:pPr>
        <w:pStyle w:val="Textonotapie"/>
        <w:rPr>
          <w:rFonts w:ascii="Arial" w:hAnsi="Arial"/>
          <w:sz w:val="16"/>
          <w:szCs w:val="16"/>
          <w:lang w:eastAsia="es-ES"/>
        </w:rPr>
      </w:pPr>
      <w:r w:rsidRPr="0071407C">
        <w:rPr>
          <w:rStyle w:val="Refdenotaalpie"/>
          <w:sz w:val="16"/>
          <w:szCs w:val="16"/>
        </w:rPr>
        <w:footnoteRef/>
      </w:r>
      <w:r w:rsidRPr="0071407C">
        <w:rPr>
          <w:sz w:val="16"/>
          <w:szCs w:val="16"/>
        </w:rPr>
        <w:t xml:space="preserve"> De la violación, del estupro y otros delitos sexuales.</w:t>
      </w:r>
    </w:p>
  </w:footnote>
  <w:footnote w:id="53">
    <w:p w14:paraId="5961E857" w14:textId="77777777" w:rsidR="00007FF3" w:rsidRDefault="00007FF3" w:rsidP="00007FF3">
      <w:pPr>
        <w:pStyle w:val="Textonotapie"/>
        <w:rPr>
          <w:sz w:val="18"/>
          <w:szCs w:val="18"/>
        </w:rPr>
      </w:pPr>
      <w:r w:rsidRPr="0071407C">
        <w:rPr>
          <w:rStyle w:val="Refdenotaalpie"/>
          <w:sz w:val="16"/>
          <w:szCs w:val="16"/>
        </w:rPr>
        <w:footnoteRef/>
      </w:r>
      <w:r w:rsidRPr="0071407C">
        <w:rPr>
          <w:sz w:val="16"/>
          <w:szCs w:val="16"/>
        </w:rPr>
        <w:t xml:space="preserve"> Ley sobre control de armas.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5"/>
      <w:gridCol w:w="2945"/>
      <w:gridCol w:w="2945"/>
    </w:tblGrid>
    <w:tr w:rsidR="00C83AAD" w:rsidRPr="001F3635" w14:paraId="101E233C" w14:textId="77777777" w:rsidTr="64B963D6">
      <w:tc>
        <w:tcPr>
          <w:tcW w:w="2945" w:type="dxa"/>
        </w:tcPr>
        <w:p w14:paraId="2DF0FB04" w14:textId="77777777" w:rsidR="00C83AAD" w:rsidRPr="001F3635" w:rsidRDefault="00C83AAD" w:rsidP="64B963D6">
          <w:pPr>
            <w:pStyle w:val="Encabezado"/>
            <w:ind w:left="-115"/>
          </w:pPr>
        </w:p>
      </w:tc>
      <w:tc>
        <w:tcPr>
          <w:tcW w:w="2945" w:type="dxa"/>
        </w:tcPr>
        <w:p w14:paraId="10DAA358" w14:textId="77777777" w:rsidR="00C83AAD" w:rsidRPr="001F3635" w:rsidRDefault="00C83AAD" w:rsidP="64B963D6">
          <w:pPr>
            <w:pStyle w:val="Encabezado"/>
            <w:jc w:val="center"/>
          </w:pPr>
        </w:p>
      </w:tc>
      <w:tc>
        <w:tcPr>
          <w:tcW w:w="2945" w:type="dxa"/>
        </w:tcPr>
        <w:p w14:paraId="2EB9271C" w14:textId="77777777" w:rsidR="00C83AAD" w:rsidRPr="001F3635" w:rsidRDefault="00C83AAD" w:rsidP="64B963D6">
          <w:pPr>
            <w:pStyle w:val="Encabezado"/>
            <w:ind w:right="-115"/>
            <w:jc w:val="right"/>
          </w:pPr>
        </w:p>
      </w:tc>
    </w:tr>
  </w:tbl>
  <w:p w14:paraId="6F3A61E7" w14:textId="77777777" w:rsidR="00C83AAD" w:rsidRDefault="00C83AAD" w:rsidP="64B963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6A2"/>
    <w:multiLevelType w:val="hybridMultilevel"/>
    <w:tmpl w:val="A1C2F9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3BA2B95"/>
    <w:multiLevelType w:val="hybridMultilevel"/>
    <w:tmpl w:val="3DE0350E"/>
    <w:lvl w:ilvl="0" w:tplc="340A0011">
      <w:start w:val="1"/>
      <w:numFmt w:val="decimal"/>
      <w:lvlText w:val="%1)"/>
      <w:lvlJc w:val="left"/>
      <w:pPr>
        <w:ind w:left="927" w:hanging="360"/>
      </w:pPr>
      <w:rPr>
        <w:rFonts w:hint="default"/>
      </w:rPr>
    </w:lvl>
    <w:lvl w:ilvl="1" w:tplc="340A0003" w:tentative="1">
      <w:start w:val="1"/>
      <w:numFmt w:val="bullet"/>
      <w:lvlText w:val="o"/>
      <w:lvlJc w:val="left"/>
      <w:pPr>
        <w:ind w:left="1647" w:hanging="360"/>
      </w:pPr>
      <w:rPr>
        <w:rFonts w:ascii="Courier New" w:hAnsi="Courier New" w:cs="Courier New" w:hint="default"/>
      </w:rPr>
    </w:lvl>
    <w:lvl w:ilvl="2" w:tplc="340A0005" w:tentative="1">
      <w:start w:val="1"/>
      <w:numFmt w:val="bullet"/>
      <w:lvlText w:val=""/>
      <w:lvlJc w:val="left"/>
      <w:pPr>
        <w:ind w:left="2367" w:hanging="360"/>
      </w:pPr>
      <w:rPr>
        <w:rFonts w:ascii="Wingdings" w:hAnsi="Wingdings" w:hint="default"/>
      </w:rPr>
    </w:lvl>
    <w:lvl w:ilvl="3" w:tplc="340A0001" w:tentative="1">
      <w:start w:val="1"/>
      <w:numFmt w:val="bullet"/>
      <w:lvlText w:val=""/>
      <w:lvlJc w:val="left"/>
      <w:pPr>
        <w:ind w:left="3087" w:hanging="360"/>
      </w:pPr>
      <w:rPr>
        <w:rFonts w:ascii="Symbol" w:hAnsi="Symbol" w:hint="default"/>
      </w:rPr>
    </w:lvl>
    <w:lvl w:ilvl="4" w:tplc="340A0003" w:tentative="1">
      <w:start w:val="1"/>
      <w:numFmt w:val="bullet"/>
      <w:lvlText w:val="o"/>
      <w:lvlJc w:val="left"/>
      <w:pPr>
        <w:ind w:left="3807" w:hanging="360"/>
      </w:pPr>
      <w:rPr>
        <w:rFonts w:ascii="Courier New" w:hAnsi="Courier New" w:cs="Courier New" w:hint="default"/>
      </w:rPr>
    </w:lvl>
    <w:lvl w:ilvl="5" w:tplc="340A0005" w:tentative="1">
      <w:start w:val="1"/>
      <w:numFmt w:val="bullet"/>
      <w:lvlText w:val=""/>
      <w:lvlJc w:val="left"/>
      <w:pPr>
        <w:ind w:left="4527" w:hanging="360"/>
      </w:pPr>
      <w:rPr>
        <w:rFonts w:ascii="Wingdings" w:hAnsi="Wingdings" w:hint="default"/>
      </w:rPr>
    </w:lvl>
    <w:lvl w:ilvl="6" w:tplc="340A0001" w:tentative="1">
      <w:start w:val="1"/>
      <w:numFmt w:val="bullet"/>
      <w:lvlText w:val=""/>
      <w:lvlJc w:val="left"/>
      <w:pPr>
        <w:ind w:left="5247" w:hanging="360"/>
      </w:pPr>
      <w:rPr>
        <w:rFonts w:ascii="Symbol" w:hAnsi="Symbol" w:hint="default"/>
      </w:rPr>
    </w:lvl>
    <w:lvl w:ilvl="7" w:tplc="340A0003" w:tentative="1">
      <w:start w:val="1"/>
      <w:numFmt w:val="bullet"/>
      <w:lvlText w:val="o"/>
      <w:lvlJc w:val="left"/>
      <w:pPr>
        <w:ind w:left="5967" w:hanging="360"/>
      </w:pPr>
      <w:rPr>
        <w:rFonts w:ascii="Courier New" w:hAnsi="Courier New" w:cs="Courier New" w:hint="default"/>
      </w:rPr>
    </w:lvl>
    <w:lvl w:ilvl="8" w:tplc="340A0005" w:tentative="1">
      <w:start w:val="1"/>
      <w:numFmt w:val="bullet"/>
      <w:lvlText w:val=""/>
      <w:lvlJc w:val="left"/>
      <w:pPr>
        <w:ind w:left="6687" w:hanging="360"/>
      </w:pPr>
      <w:rPr>
        <w:rFonts w:ascii="Wingdings" w:hAnsi="Wingdings" w:hint="default"/>
      </w:rPr>
    </w:lvl>
  </w:abstractNum>
  <w:abstractNum w:abstractNumId="2" w15:restartNumberingAfterBreak="0">
    <w:nsid w:val="03FC13FC"/>
    <w:multiLevelType w:val="hybridMultilevel"/>
    <w:tmpl w:val="9DE6230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4B96302"/>
    <w:multiLevelType w:val="hybridMultilevel"/>
    <w:tmpl w:val="0048264C"/>
    <w:lvl w:ilvl="0" w:tplc="340A000F">
      <w:start w:val="1"/>
      <w:numFmt w:val="decimal"/>
      <w:lvlText w:val="%1."/>
      <w:lvlJc w:val="left"/>
      <w:pPr>
        <w:ind w:left="502" w:hanging="360"/>
      </w:p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4" w15:restartNumberingAfterBreak="0">
    <w:nsid w:val="09E430B9"/>
    <w:multiLevelType w:val="multilevel"/>
    <w:tmpl w:val="D72A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F609A4"/>
    <w:multiLevelType w:val="hybridMultilevel"/>
    <w:tmpl w:val="5324E8A6"/>
    <w:lvl w:ilvl="0" w:tplc="BC2463B2">
      <w:start w:val="1"/>
      <w:numFmt w:val="lowerLetter"/>
      <w:lvlText w:val="%1."/>
      <w:lvlJc w:val="left"/>
      <w:pPr>
        <w:ind w:left="720" w:hanging="360"/>
      </w:pPr>
      <w:rPr>
        <w:b/>
        <w:bCs/>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B6C3343"/>
    <w:multiLevelType w:val="hybridMultilevel"/>
    <w:tmpl w:val="349A61C2"/>
    <w:lvl w:ilvl="0" w:tplc="CB1697A6">
      <w:start w:val="1"/>
      <w:numFmt w:val="lowerLetter"/>
      <w:lvlText w:val="%1)"/>
      <w:lvlJc w:val="left"/>
      <w:pPr>
        <w:ind w:left="720" w:hanging="360"/>
      </w:pPr>
      <w:rPr>
        <w:rFonts w:ascii="Abadi Extra Light" w:hAnsi="Abadi Extra Light"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C384E6C"/>
    <w:multiLevelType w:val="hybridMultilevel"/>
    <w:tmpl w:val="8F2C10C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F5E100A"/>
    <w:multiLevelType w:val="hybridMultilevel"/>
    <w:tmpl w:val="24CADEB0"/>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9" w15:restartNumberingAfterBreak="0">
    <w:nsid w:val="1FD6079B"/>
    <w:multiLevelType w:val="hybridMultilevel"/>
    <w:tmpl w:val="011858B8"/>
    <w:lvl w:ilvl="0" w:tplc="6100B164">
      <w:start w:val="8"/>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05E682E"/>
    <w:multiLevelType w:val="hybridMultilevel"/>
    <w:tmpl w:val="A1582786"/>
    <w:lvl w:ilvl="0" w:tplc="E70E95E0">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17F4E0F"/>
    <w:multiLevelType w:val="hybridMultilevel"/>
    <w:tmpl w:val="147E921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1AA20F2"/>
    <w:multiLevelType w:val="hybridMultilevel"/>
    <w:tmpl w:val="35E01B76"/>
    <w:lvl w:ilvl="0" w:tplc="4A28381A">
      <w:start w:val="1"/>
      <w:numFmt w:val="decimal"/>
      <w:lvlText w:val="%1."/>
      <w:lvlJc w:val="left"/>
      <w:pPr>
        <w:ind w:left="720" w:hanging="360"/>
      </w:pPr>
      <w:rPr>
        <w:rFonts w:ascii="Trebuchet MS" w:hAnsi="Trebuchet MS"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22516E4"/>
    <w:multiLevelType w:val="hybridMultilevel"/>
    <w:tmpl w:val="A1582786"/>
    <w:lvl w:ilvl="0" w:tplc="E70E95E0">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3BE7A3C"/>
    <w:multiLevelType w:val="hybridMultilevel"/>
    <w:tmpl w:val="3FD08A6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46F7C28"/>
    <w:multiLevelType w:val="hybridMultilevel"/>
    <w:tmpl w:val="96608F6E"/>
    <w:lvl w:ilvl="0" w:tplc="340A0011">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15:restartNumberingAfterBreak="0">
    <w:nsid w:val="248C52F4"/>
    <w:multiLevelType w:val="hybridMultilevel"/>
    <w:tmpl w:val="224E647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7" w15:restartNumberingAfterBreak="0">
    <w:nsid w:val="2CAD374D"/>
    <w:multiLevelType w:val="hybridMultilevel"/>
    <w:tmpl w:val="55563EA6"/>
    <w:lvl w:ilvl="0" w:tplc="033A2E3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2ECD3706"/>
    <w:multiLevelType w:val="hybridMultilevel"/>
    <w:tmpl w:val="40BE130E"/>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01A133A"/>
    <w:multiLevelType w:val="hybridMultilevel"/>
    <w:tmpl w:val="7A7EA0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31E15104"/>
    <w:multiLevelType w:val="hybridMultilevel"/>
    <w:tmpl w:val="2DA698E2"/>
    <w:lvl w:ilvl="0" w:tplc="8F204EBA">
      <w:start w:val="1"/>
      <w:numFmt w:val="lowerLetter"/>
      <w:lvlText w:val="%1."/>
      <w:lvlJc w:val="left"/>
      <w:pPr>
        <w:ind w:left="720" w:hanging="360"/>
      </w:pPr>
      <w:rPr>
        <w:rFonts w:ascii="Trebuchet MS" w:hAnsi="Trebuchet MS"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3D52874"/>
    <w:multiLevelType w:val="hybridMultilevel"/>
    <w:tmpl w:val="4DA62F2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2" w15:restartNumberingAfterBreak="0">
    <w:nsid w:val="3A2A2A08"/>
    <w:multiLevelType w:val="hybridMultilevel"/>
    <w:tmpl w:val="1166E072"/>
    <w:lvl w:ilvl="0" w:tplc="68DC3A12">
      <w:start w:val="1"/>
      <w:numFmt w:val="lowerLetter"/>
      <w:lvlText w:val="%1)"/>
      <w:lvlJc w:val="left"/>
      <w:pPr>
        <w:ind w:left="720" w:hanging="360"/>
      </w:pPr>
      <w:rPr>
        <w:rFonts w:ascii="Abadi Extra Light" w:hAnsi="Abadi Extra Light"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58C5D1E"/>
    <w:multiLevelType w:val="hybridMultilevel"/>
    <w:tmpl w:val="D3982FCA"/>
    <w:lvl w:ilvl="0" w:tplc="54F23C1E">
      <w:start w:val="1"/>
      <w:numFmt w:val="lowerLetter"/>
      <w:lvlText w:val="%1)"/>
      <w:lvlJc w:val="left"/>
      <w:pPr>
        <w:ind w:left="720" w:hanging="360"/>
      </w:pPr>
      <w:rPr>
        <w:rFonts w:ascii="Abadi Extra Light" w:hAnsi="Abadi Extra Light"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66A03D4"/>
    <w:multiLevelType w:val="hybridMultilevel"/>
    <w:tmpl w:val="018215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6C07C41"/>
    <w:multiLevelType w:val="hybridMultilevel"/>
    <w:tmpl w:val="362CA44E"/>
    <w:lvl w:ilvl="0" w:tplc="340A0001">
      <w:start w:val="1"/>
      <w:numFmt w:val="bullet"/>
      <w:lvlText w:val=""/>
      <w:lvlJc w:val="left"/>
      <w:pPr>
        <w:ind w:left="927" w:hanging="360"/>
      </w:pPr>
      <w:rPr>
        <w:rFonts w:ascii="Symbol" w:hAnsi="Symbol" w:hint="default"/>
      </w:rPr>
    </w:lvl>
    <w:lvl w:ilvl="1" w:tplc="340A0003" w:tentative="1">
      <w:start w:val="1"/>
      <w:numFmt w:val="bullet"/>
      <w:lvlText w:val="o"/>
      <w:lvlJc w:val="left"/>
      <w:pPr>
        <w:ind w:left="1647" w:hanging="360"/>
      </w:pPr>
      <w:rPr>
        <w:rFonts w:ascii="Courier New" w:hAnsi="Courier New" w:cs="Courier New" w:hint="default"/>
      </w:rPr>
    </w:lvl>
    <w:lvl w:ilvl="2" w:tplc="340A0005" w:tentative="1">
      <w:start w:val="1"/>
      <w:numFmt w:val="bullet"/>
      <w:lvlText w:val=""/>
      <w:lvlJc w:val="left"/>
      <w:pPr>
        <w:ind w:left="2367" w:hanging="360"/>
      </w:pPr>
      <w:rPr>
        <w:rFonts w:ascii="Wingdings" w:hAnsi="Wingdings" w:hint="default"/>
      </w:rPr>
    </w:lvl>
    <w:lvl w:ilvl="3" w:tplc="340A0001" w:tentative="1">
      <w:start w:val="1"/>
      <w:numFmt w:val="bullet"/>
      <w:lvlText w:val=""/>
      <w:lvlJc w:val="left"/>
      <w:pPr>
        <w:ind w:left="3087" w:hanging="360"/>
      </w:pPr>
      <w:rPr>
        <w:rFonts w:ascii="Symbol" w:hAnsi="Symbol" w:hint="default"/>
      </w:rPr>
    </w:lvl>
    <w:lvl w:ilvl="4" w:tplc="340A0003" w:tentative="1">
      <w:start w:val="1"/>
      <w:numFmt w:val="bullet"/>
      <w:lvlText w:val="o"/>
      <w:lvlJc w:val="left"/>
      <w:pPr>
        <w:ind w:left="3807" w:hanging="360"/>
      </w:pPr>
      <w:rPr>
        <w:rFonts w:ascii="Courier New" w:hAnsi="Courier New" w:cs="Courier New" w:hint="default"/>
      </w:rPr>
    </w:lvl>
    <w:lvl w:ilvl="5" w:tplc="340A0005" w:tentative="1">
      <w:start w:val="1"/>
      <w:numFmt w:val="bullet"/>
      <w:lvlText w:val=""/>
      <w:lvlJc w:val="left"/>
      <w:pPr>
        <w:ind w:left="4527" w:hanging="360"/>
      </w:pPr>
      <w:rPr>
        <w:rFonts w:ascii="Wingdings" w:hAnsi="Wingdings" w:hint="default"/>
      </w:rPr>
    </w:lvl>
    <w:lvl w:ilvl="6" w:tplc="340A0001" w:tentative="1">
      <w:start w:val="1"/>
      <w:numFmt w:val="bullet"/>
      <w:lvlText w:val=""/>
      <w:lvlJc w:val="left"/>
      <w:pPr>
        <w:ind w:left="5247" w:hanging="360"/>
      </w:pPr>
      <w:rPr>
        <w:rFonts w:ascii="Symbol" w:hAnsi="Symbol" w:hint="default"/>
      </w:rPr>
    </w:lvl>
    <w:lvl w:ilvl="7" w:tplc="340A0003" w:tentative="1">
      <w:start w:val="1"/>
      <w:numFmt w:val="bullet"/>
      <w:lvlText w:val="o"/>
      <w:lvlJc w:val="left"/>
      <w:pPr>
        <w:ind w:left="5967" w:hanging="360"/>
      </w:pPr>
      <w:rPr>
        <w:rFonts w:ascii="Courier New" w:hAnsi="Courier New" w:cs="Courier New" w:hint="default"/>
      </w:rPr>
    </w:lvl>
    <w:lvl w:ilvl="8" w:tplc="340A0005" w:tentative="1">
      <w:start w:val="1"/>
      <w:numFmt w:val="bullet"/>
      <w:lvlText w:val=""/>
      <w:lvlJc w:val="left"/>
      <w:pPr>
        <w:ind w:left="6687" w:hanging="360"/>
      </w:pPr>
      <w:rPr>
        <w:rFonts w:ascii="Wingdings" w:hAnsi="Wingdings" w:hint="default"/>
      </w:rPr>
    </w:lvl>
  </w:abstractNum>
  <w:abstractNum w:abstractNumId="26" w15:restartNumberingAfterBreak="0">
    <w:nsid w:val="47E97699"/>
    <w:multiLevelType w:val="hybridMultilevel"/>
    <w:tmpl w:val="5BA4174A"/>
    <w:lvl w:ilvl="0" w:tplc="4ACE1120">
      <w:start w:val="1"/>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27" w15:restartNumberingAfterBreak="0">
    <w:nsid w:val="49410FDC"/>
    <w:multiLevelType w:val="hybridMultilevel"/>
    <w:tmpl w:val="C4BA8B9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4D0041A2"/>
    <w:multiLevelType w:val="hybridMultilevel"/>
    <w:tmpl w:val="D61805DA"/>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9" w15:restartNumberingAfterBreak="0">
    <w:nsid w:val="4D7B27C4"/>
    <w:multiLevelType w:val="multilevel"/>
    <w:tmpl w:val="9D4E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D96468B"/>
    <w:multiLevelType w:val="hybridMultilevel"/>
    <w:tmpl w:val="A1582786"/>
    <w:lvl w:ilvl="0" w:tplc="E70E95E0">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FC04722"/>
    <w:multiLevelType w:val="hybridMultilevel"/>
    <w:tmpl w:val="8FDC7C5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17A7381"/>
    <w:multiLevelType w:val="hybridMultilevel"/>
    <w:tmpl w:val="D61805DA"/>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3" w15:restartNumberingAfterBreak="0">
    <w:nsid w:val="58586C53"/>
    <w:multiLevelType w:val="hybridMultilevel"/>
    <w:tmpl w:val="B512220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599C6F7B"/>
    <w:multiLevelType w:val="hybridMultilevel"/>
    <w:tmpl w:val="03B22FEC"/>
    <w:lvl w:ilvl="0" w:tplc="D3F26D9E">
      <w:start w:val="1"/>
      <w:numFmt w:val="bullet"/>
      <w:lvlText w:val=""/>
      <w:lvlJc w:val="left"/>
      <w:pPr>
        <w:tabs>
          <w:tab w:val="num" w:pos="720"/>
        </w:tabs>
        <w:ind w:left="720" w:hanging="360"/>
      </w:pPr>
      <w:rPr>
        <w:rFonts w:ascii="Wingdings" w:hAnsi="Wingdings" w:hint="default"/>
      </w:rPr>
    </w:lvl>
    <w:lvl w:ilvl="1" w:tplc="B2C6F61C">
      <w:start w:val="1"/>
      <w:numFmt w:val="bullet"/>
      <w:lvlText w:val=""/>
      <w:lvlJc w:val="left"/>
      <w:pPr>
        <w:tabs>
          <w:tab w:val="num" w:pos="1440"/>
        </w:tabs>
        <w:ind w:left="1440" w:hanging="360"/>
      </w:pPr>
      <w:rPr>
        <w:rFonts w:ascii="Wingdings" w:hAnsi="Wingdings" w:hint="default"/>
      </w:rPr>
    </w:lvl>
    <w:lvl w:ilvl="2" w:tplc="252C8EC2" w:tentative="1">
      <w:start w:val="1"/>
      <w:numFmt w:val="bullet"/>
      <w:lvlText w:val=""/>
      <w:lvlJc w:val="left"/>
      <w:pPr>
        <w:tabs>
          <w:tab w:val="num" w:pos="2160"/>
        </w:tabs>
        <w:ind w:left="2160" w:hanging="360"/>
      </w:pPr>
      <w:rPr>
        <w:rFonts w:ascii="Wingdings" w:hAnsi="Wingdings" w:hint="default"/>
      </w:rPr>
    </w:lvl>
    <w:lvl w:ilvl="3" w:tplc="4A6A597C" w:tentative="1">
      <w:start w:val="1"/>
      <w:numFmt w:val="bullet"/>
      <w:lvlText w:val=""/>
      <w:lvlJc w:val="left"/>
      <w:pPr>
        <w:tabs>
          <w:tab w:val="num" w:pos="2880"/>
        </w:tabs>
        <w:ind w:left="2880" w:hanging="360"/>
      </w:pPr>
      <w:rPr>
        <w:rFonts w:ascii="Wingdings" w:hAnsi="Wingdings" w:hint="default"/>
      </w:rPr>
    </w:lvl>
    <w:lvl w:ilvl="4" w:tplc="6846C87C" w:tentative="1">
      <w:start w:val="1"/>
      <w:numFmt w:val="bullet"/>
      <w:lvlText w:val=""/>
      <w:lvlJc w:val="left"/>
      <w:pPr>
        <w:tabs>
          <w:tab w:val="num" w:pos="3600"/>
        </w:tabs>
        <w:ind w:left="3600" w:hanging="360"/>
      </w:pPr>
      <w:rPr>
        <w:rFonts w:ascii="Wingdings" w:hAnsi="Wingdings" w:hint="default"/>
      </w:rPr>
    </w:lvl>
    <w:lvl w:ilvl="5" w:tplc="EF4487D0" w:tentative="1">
      <w:start w:val="1"/>
      <w:numFmt w:val="bullet"/>
      <w:lvlText w:val=""/>
      <w:lvlJc w:val="left"/>
      <w:pPr>
        <w:tabs>
          <w:tab w:val="num" w:pos="4320"/>
        </w:tabs>
        <w:ind w:left="4320" w:hanging="360"/>
      </w:pPr>
      <w:rPr>
        <w:rFonts w:ascii="Wingdings" w:hAnsi="Wingdings" w:hint="default"/>
      </w:rPr>
    </w:lvl>
    <w:lvl w:ilvl="6" w:tplc="AD842AC0" w:tentative="1">
      <w:start w:val="1"/>
      <w:numFmt w:val="bullet"/>
      <w:lvlText w:val=""/>
      <w:lvlJc w:val="left"/>
      <w:pPr>
        <w:tabs>
          <w:tab w:val="num" w:pos="5040"/>
        </w:tabs>
        <w:ind w:left="5040" w:hanging="360"/>
      </w:pPr>
      <w:rPr>
        <w:rFonts w:ascii="Wingdings" w:hAnsi="Wingdings" w:hint="default"/>
      </w:rPr>
    </w:lvl>
    <w:lvl w:ilvl="7" w:tplc="76D8B526" w:tentative="1">
      <w:start w:val="1"/>
      <w:numFmt w:val="bullet"/>
      <w:lvlText w:val=""/>
      <w:lvlJc w:val="left"/>
      <w:pPr>
        <w:tabs>
          <w:tab w:val="num" w:pos="5760"/>
        </w:tabs>
        <w:ind w:left="5760" w:hanging="360"/>
      </w:pPr>
      <w:rPr>
        <w:rFonts w:ascii="Wingdings" w:hAnsi="Wingdings" w:hint="default"/>
      </w:rPr>
    </w:lvl>
    <w:lvl w:ilvl="8" w:tplc="0736FA0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B94791"/>
    <w:multiLevelType w:val="hybridMultilevel"/>
    <w:tmpl w:val="A2484E80"/>
    <w:lvl w:ilvl="0" w:tplc="DF100ECA">
      <w:start w:val="1"/>
      <w:numFmt w:val="decimal"/>
      <w:lvlText w:val="%1)"/>
      <w:lvlJc w:val="left"/>
      <w:pPr>
        <w:ind w:left="1004" w:hanging="360"/>
      </w:pPr>
      <w:rPr>
        <w:i w:val="0"/>
        <w:iCs w:val="0"/>
      </w:r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36" w15:restartNumberingAfterBreak="0">
    <w:nsid w:val="5F256ADD"/>
    <w:multiLevelType w:val="hybridMultilevel"/>
    <w:tmpl w:val="6214095A"/>
    <w:lvl w:ilvl="0" w:tplc="DEF6FF8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5F3C5CC5"/>
    <w:multiLevelType w:val="hybridMultilevel"/>
    <w:tmpl w:val="E0B413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59311B0"/>
    <w:multiLevelType w:val="hybridMultilevel"/>
    <w:tmpl w:val="C3F4EF7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6B241402"/>
    <w:multiLevelType w:val="hybridMultilevel"/>
    <w:tmpl w:val="3F0C3A9A"/>
    <w:lvl w:ilvl="0" w:tplc="AC9EA4CC">
      <w:start w:val="1"/>
      <w:numFmt w:val="lowerLetter"/>
      <w:lvlText w:val="%1)"/>
      <w:lvlJc w:val="left"/>
      <w:rPr>
        <w:rFonts w:ascii="Trebuchet MS" w:eastAsia="Calibri" w:hAnsi="Trebuchet MS" w:cs="Times New Roman"/>
        <w:b w:val="0"/>
        <w:bCs w:val="0"/>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6EFB66D0"/>
    <w:multiLevelType w:val="hybridMultilevel"/>
    <w:tmpl w:val="2A72B50E"/>
    <w:lvl w:ilvl="0" w:tplc="033A2E3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990549D"/>
    <w:multiLevelType w:val="hybridMultilevel"/>
    <w:tmpl w:val="9100220E"/>
    <w:lvl w:ilvl="0" w:tplc="F05EE13A">
      <w:start w:val="1"/>
      <w:numFmt w:val="bullet"/>
      <w:lvlText w:val=""/>
      <w:lvlJc w:val="left"/>
      <w:pPr>
        <w:tabs>
          <w:tab w:val="num" w:pos="720"/>
        </w:tabs>
        <w:ind w:left="720" w:hanging="360"/>
      </w:pPr>
      <w:rPr>
        <w:rFonts w:ascii="Wingdings" w:hAnsi="Wingdings" w:hint="default"/>
      </w:rPr>
    </w:lvl>
    <w:lvl w:ilvl="1" w:tplc="07BE8788">
      <w:start w:val="1"/>
      <w:numFmt w:val="bullet"/>
      <w:lvlText w:val=""/>
      <w:lvlJc w:val="left"/>
      <w:pPr>
        <w:tabs>
          <w:tab w:val="num" w:pos="1440"/>
        </w:tabs>
        <w:ind w:left="1440" w:hanging="360"/>
      </w:pPr>
      <w:rPr>
        <w:rFonts w:ascii="Wingdings" w:hAnsi="Wingdings" w:hint="default"/>
      </w:rPr>
    </w:lvl>
    <w:lvl w:ilvl="2" w:tplc="F3F0CA28" w:tentative="1">
      <w:start w:val="1"/>
      <w:numFmt w:val="bullet"/>
      <w:lvlText w:val=""/>
      <w:lvlJc w:val="left"/>
      <w:pPr>
        <w:tabs>
          <w:tab w:val="num" w:pos="2160"/>
        </w:tabs>
        <w:ind w:left="2160" w:hanging="360"/>
      </w:pPr>
      <w:rPr>
        <w:rFonts w:ascii="Wingdings" w:hAnsi="Wingdings" w:hint="default"/>
      </w:rPr>
    </w:lvl>
    <w:lvl w:ilvl="3" w:tplc="1D6C0E48" w:tentative="1">
      <w:start w:val="1"/>
      <w:numFmt w:val="bullet"/>
      <w:lvlText w:val=""/>
      <w:lvlJc w:val="left"/>
      <w:pPr>
        <w:tabs>
          <w:tab w:val="num" w:pos="2880"/>
        </w:tabs>
        <w:ind w:left="2880" w:hanging="360"/>
      </w:pPr>
      <w:rPr>
        <w:rFonts w:ascii="Wingdings" w:hAnsi="Wingdings" w:hint="default"/>
      </w:rPr>
    </w:lvl>
    <w:lvl w:ilvl="4" w:tplc="66949ED4" w:tentative="1">
      <w:start w:val="1"/>
      <w:numFmt w:val="bullet"/>
      <w:lvlText w:val=""/>
      <w:lvlJc w:val="left"/>
      <w:pPr>
        <w:tabs>
          <w:tab w:val="num" w:pos="3600"/>
        </w:tabs>
        <w:ind w:left="3600" w:hanging="360"/>
      </w:pPr>
      <w:rPr>
        <w:rFonts w:ascii="Wingdings" w:hAnsi="Wingdings" w:hint="default"/>
      </w:rPr>
    </w:lvl>
    <w:lvl w:ilvl="5" w:tplc="B8D69F4C" w:tentative="1">
      <w:start w:val="1"/>
      <w:numFmt w:val="bullet"/>
      <w:lvlText w:val=""/>
      <w:lvlJc w:val="left"/>
      <w:pPr>
        <w:tabs>
          <w:tab w:val="num" w:pos="4320"/>
        </w:tabs>
        <w:ind w:left="4320" w:hanging="360"/>
      </w:pPr>
      <w:rPr>
        <w:rFonts w:ascii="Wingdings" w:hAnsi="Wingdings" w:hint="default"/>
      </w:rPr>
    </w:lvl>
    <w:lvl w:ilvl="6" w:tplc="D1565144" w:tentative="1">
      <w:start w:val="1"/>
      <w:numFmt w:val="bullet"/>
      <w:lvlText w:val=""/>
      <w:lvlJc w:val="left"/>
      <w:pPr>
        <w:tabs>
          <w:tab w:val="num" w:pos="5040"/>
        </w:tabs>
        <w:ind w:left="5040" w:hanging="360"/>
      </w:pPr>
      <w:rPr>
        <w:rFonts w:ascii="Wingdings" w:hAnsi="Wingdings" w:hint="default"/>
      </w:rPr>
    </w:lvl>
    <w:lvl w:ilvl="7" w:tplc="352E9584" w:tentative="1">
      <w:start w:val="1"/>
      <w:numFmt w:val="bullet"/>
      <w:lvlText w:val=""/>
      <w:lvlJc w:val="left"/>
      <w:pPr>
        <w:tabs>
          <w:tab w:val="num" w:pos="5760"/>
        </w:tabs>
        <w:ind w:left="5760" w:hanging="360"/>
      </w:pPr>
      <w:rPr>
        <w:rFonts w:ascii="Wingdings" w:hAnsi="Wingdings" w:hint="default"/>
      </w:rPr>
    </w:lvl>
    <w:lvl w:ilvl="8" w:tplc="7FA6687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D72C3A"/>
    <w:multiLevelType w:val="hybridMultilevel"/>
    <w:tmpl w:val="C22CC654"/>
    <w:lvl w:ilvl="0" w:tplc="4ACE1120">
      <w:start w:val="1"/>
      <w:numFmt w:val="decimal"/>
      <w:lvlText w:val="%1."/>
      <w:lvlJc w:val="left"/>
      <w:pPr>
        <w:ind w:left="711" w:hanging="360"/>
      </w:pPr>
      <w:rPr>
        <w:rFonts w:hint="default"/>
      </w:rPr>
    </w:lvl>
    <w:lvl w:ilvl="1" w:tplc="340A0019" w:tentative="1">
      <w:start w:val="1"/>
      <w:numFmt w:val="lowerLetter"/>
      <w:lvlText w:val="%2."/>
      <w:lvlJc w:val="left"/>
      <w:pPr>
        <w:ind w:left="1507" w:hanging="360"/>
      </w:pPr>
    </w:lvl>
    <w:lvl w:ilvl="2" w:tplc="340A001B" w:tentative="1">
      <w:start w:val="1"/>
      <w:numFmt w:val="lowerRoman"/>
      <w:lvlText w:val="%3."/>
      <w:lvlJc w:val="right"/>
      <w:pPr>
        <w:ind w:left="2227" w:hanging="180"/>
      </w:pPr>
    </w:lvl>
    <w:lvl w:ilvl="3" w:tplc="340A000F" w:tentative="1">
      <w:start w:val="1"/>
      <w:numFmt w:val="decimal"/>
      <w:lvlText w:val="%4."/>
      <w:lvlJc w:val="left"/>
      <w:pPr>
        <w:ind w:left="2947" w:hanging="360"/>
      </w:pPr>
    </w:lvl>
    <w:lvl w:ilvl="4" w:tplc="340A0019" w:tentative="1">
      <w:start w:val="1"/>
      <w:numFmt w:val="lowerLetter"/>
      <w:lvlText w:val="%5."/>
      <w:lvlJc w:val="left"/>
      <w:pPr>
        <w:ind w:left="3667" w:hanging="360"/>
      </w:pPr>
    </w:lvl>
    <w:lvl w:ilvl="5" w:tplc="340A001B" w:tentative="1">
      <w:start w:val="1"/>
      <w:numFmt w:val="lowerRoman"/>
      <w:lvlText w:val="%6."/>
      <w:lvlJc w:val="right"/>
      <w:pPr>
        <w:ind w:left="4387" w:hanging="180"/>
      </w:pPr>
    </w:lvl>
    <w:lvl w:ilvl="6" w:tplc="340A000F" w:tentative="1">
      <w:start w:val="1"/>
      <w:numFmt w:val="decimal"/>
      <w:lvlText w:val="%7."/>
      <w:lvlJc w:val="left"/>
      <w:pPr>
        <w:ind w:left="5107" w:hanging="360"/>
      </w:pPr>
    </w:lvl>
    <w:lvl w:ilvl="7" w:tplc="340A0019" w:tentative="1">
      <w:start w:val="1"/>
      <w:numFmt w:val="lowerLetter"/>
      <w:lvlText w:val="%8."/>
      <w:lvlJc w:val="left"/>
      <w:pPr>
        <w:ind w:left="5827" w:hanging="360"/>
      </w:pPr>
    </w:lvl>
    <w:lvl w:ilvl="8" w:tplc="340A001B" w:tentative="1">
      <w:start w:val="1"/>
      <w:numFmt w:val="lowerRoman"/>
      <w:lvlText w:val="%9."/>
      <w:lvlJc w:val="right"/>
      <w:pPr>
        <w:ind w:left="6547" w:hanging="180"/>
      </w:pPr>
    </w:lvl>
  </w:abstractNum>
  <w:num w:numId="1">
    <w:abstractNumId w:val="19"/>
  </w:num>
  <w:num w:numId="2">
    <w:abstractNumId w:val="17"/>
  </w:num>
  <w:num w:numId="3">
    <w:abstractNumId w:val="21"/>
  </w:num>
  <w:num w:numId="4">
    <w:abstractNumId w:val="40"/>
  </w:num>
  <w:num w:numId="5">
    <w:abstractNumId w:val="27"/>
  </w:num>
  <w:num w:numId="6">
    <w:abstractNumId w:val="3"/>
  </w:num>
  <w:num w:numId="7">
    <w:abstractNumId w:val="25"/>
  </w:num>
  <w:num w:numId="8">
    <w:abstractNumId w:val="16"/>
  </w:num>
  <w:num w:numId="9">
    <w:abstractNumId w:val="1"/>
  </w:num>
  <w:num w:numId="10">
    <w:abstractNumId w:val="18"/>
  </w:num>
  <w:num w:numId="11">
    <w:abstractNumId w:val="23"/>
  </w:num>
  <w:num w:numId="12">
    <w:abstractNumId w:val="22"/>
  </w:num>
  <w:num w:numId="13">
    <w:abstractNumId w:val="6"/>
  </w:num>
  <w:num w:numId="14">
    <w:abstractNumId w:val="0"/>
  </w:num>
  <w:num w:numId="15">
    <w:abstractNumId w:val="37"/>
  </w:num>
  <w:num w:numId="16">
    <w:abstractNumId w:val="3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6"/>
  </w:num>
  <w:num w:numId="20">
    <w:abstractNumId w:val="29"/>
  </w:num>
  <w:num w:numId="21">
    <w:abstractNumId w:val="4"/>
  </w:num>
  <w:num w:numId="22">
    <w:abstractNumId w:val="35"/>
  </w:num>
  <w:num w:numId="23">
    <w:abstractNumId w:val="26"/>
  </w:num>
  <w:num w:numId="24">
    <w:abstractNumId w:val="42"/>
  </w:num>
  <w:num w:numId="25">
    <w:abstractNumId w:val="9"/>
  </w:num>
  <w:num w:numId="26">
    <w:abstractNumId w:val="33"/>
  </w:num>
  <w:num w:numId="27">
    <w:abstractNumId w:val="10"/>
  </w:num>
  <w:num w:numId="28">
    <w:abstractNumId w:val="24"/>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11"/>
  </w:num>
  <w:num w:numId="32">
    <w:abstractNumId w:val="28"/>
  </w:num>
  <w:num w:numId="33">
    <w:abstractNumId w:val="32"/>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8"/>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39"/>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15"/>
  </w:num>
  <w:num w:numId="45">
    <w:abstractNumId w:val="30"/>
  </w:num>
  <w:num w:numId="46">
    <w:abstractNumId w:val="13"/>
  </w:num>
  <w:num w:numId="47">
    <w:abstractNumId w:val="41"/>
  </w:num>
  <w:num w:numId="48">
    <w:abstractNumId w:val="34"/>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888"/>
    <w:rsid w:val="000003B6"/>
    <w:rsid w:val="00003BB2"/>
    <w:rsid w:val="00007FF3"/>
    <w:rsid w:val="000100B9"/>
    <w:rsid w:val="00011892"/>
    <w:rsid w:val="00011B43"/>
    <w:rsid w:val="00021293"/>
    <w:rsid w:val="00022B31"/>
    <w:rsid w:val="00023961"/>
    <w:rsid w:val="00024BF6"/>
    <w:rsid w:val="00025EA3"/>
    <w:rsid w:val="000327D7"/>
    <w:rsid w:val="00033410"/>
    <w:rsid w:val="00033F20"/>
    <w:rsid w:val="0004513D"/>
    <w:rsid w:val="00047EA8"/>
    <w:rsid w:val="00051D7D"/>
    <w:rsid w:val="00052FEB"/>
    <w:rsid w:val="00054CD0"/>
    <w:rsid w:val="00055437"/>
    <w:rsid w:val="00055B9F"/>
    <w:rsid w:val="00061102"/>
    <w:rsid w:val="000612B3"/>
    <w:rsid w:val="00062433"/>
    <w:rsid w:val="000629D3"/>
    <w:rsid w:val="0006342C"/>
    <w:rsid w:val="00065074"/>
    <w:rsid w:val="00067CE2"/>
    <w:rsid w:val="00073677"/>
    <w:rsid w:val="00082370"/>
    <w:rsid w:val="00082E18"/>
    <w:rsid w:val="0008338C"/>
    <w:rsid w:val="0008340C"/>
    <w:rsid w:val="000845FD"/>
    <w:rsid w:val="000918B6"/>
    <w:rsid w:val="00093758"/>
    <w:rsid w:val="00096ABA"/>
    <w:rsid w:val="000A2531"/>
    <w:rsid w:val="000A2D26"/>
    <w:rsid w:val="000A584C"/>
    <w:rsid w:val="000B1CE2"/>
    <w:rsid w:val="000B31A3"/>
    <w:rsid w:val="000B4686"/>
    <w:rsid w:val="000B66F8"/>
    <w:rsid w:val="000C1109"/>
    <w:rsid w:val="000C4ADB"/>
    <w:rsid w:val="000C5DC4"/>
    <w:rsid w:val="000C60E1"/>
    <w:rsid w:val="000D20B1"/>
    <w:rsid w:val="000D5AC3"/>
    <w:rsid w:val="000D6F50"/>
    <w:rsid w:val="000E4546"/>
    <w:rsid w:val="000E7AB8"/>
    <w:rsid w:val="000F5817"/>
    <w:rsid w:val="00100F14"/>
    <w:rsid w:val="00102D62"/>
    <w:rsid w:val="001038DD"/>
    <w:rsid w:val="001142BA"/>
    <w:rsid w:val="00120B51"/>
    <w:rsid w:val="0012121D"/>
    <w:rsid w:val="00124297"/>
    <w:rsid w:val="00124810"/>
    <w:rsid w:val="001316A7"/>
    <w:rsid w:val="00131CD9"/>
    <w:rsid w:val="00137C79"/>
    <w:rsid w:val="001421FC"/>
    <w:rsid w:val="0014343F"/>
    <w:rsid w:val="00144D07"/>
    <w:rsid w:val="0014576D"/>
    <w:rsid w:val="00145849"/>
    <w:rsid w:val="00145F29"/>
    <w:rsid w:val="00147229"/>
    <w:rsid w:val="00147C4C"/>
    <w:rsid w:val="0015091E"/>
    <w:rsid w:val="00152F1F"/>
    <w:rsid w:val="001552F6"/>
    <w:rsid w:val="001578AC"/>
    <w:rsid w:val="00160979"/>
    <w:rsid w:val="00160F76"/>
    <w:rsid w:val="00163639"/>
    <w:rsid w:val="0016379F"/>
    <w:rsid w:val="001665C3"/>
    <w:rsid w:val="0017094F"/>
    <w:rsid w:val="00171EC7"/>
    <w:rsid w:val="00177231"/>
    <w:rsid w:val="00183684"/>
    <w:rsid w:val="00184CDB"/>
    <w:rsid w:val="00186622"/>
    <w:rsid w:val="0018759E"/>
    <w:rsid w:val="00187BAD"/>
    <w:rsid w:val="001924CB"/>
    <w:rsid w:val="0019587A"/>
    <w:rsid w:val="001962CD"/>
    <w:rsid w:val="00197A55"/>
    <w:rsid w:val="00197DA0"/>
    <w:rsid w:val="001A1662"/>
    <w:rsid w:val="001A1C8A"/>
    <w:rsid w:val="001A3495"/>
    <w:rsid w:val="001A39F4"/>
    <w:rsid w:val="001B2B30"/>
    <w:rsid w:val="001B5C8B"/>
    <w:rsid w:val="001B6B98"/>
    <w:rsid w:val="001C2888"/>
    <w:rsid w:val="001C5DF0"/>
    <w:rsid w:val="001D449C"/>
    <w:rsid w:val="001D5D5D"/>
    <w:rsid w:val="001D5F00"/>
    <w:rsid w:val="001D789F"/>
    <w:rsid w:val="001E053B"/>
    <w:rsid w:val="001E3EBB"/>
    <w:rsid w:val="001E6B47"/>
    <w:rsid w:val="001F3635"/>
    <w:rsid w:val="001F4D5E"/>
    <w:rsid w:val="001F5A1C"/>
    <w:rsid w:val="001F6460"/>
    <w:rsid w:val="001F7543"/>
    <w:rsid w:val="001F765F"/>
    <w:rsid w:val="002005CC"/>
    <w:rsid w:val="00201656"/>
    <w:rsid w:val="00210E85"/>
    <w:rsid w:val="0021351A"/>
    <w:rsid w:val="00214E38"/>
    <w:rsid w:val="00225D92"/>
    <w:rsid w:val="002300A2"/>
    <w:rsid w:val="002302D6"/>
    <w:rsid w:val="00233527"/>
    <w:rsid w:val="00233888"/>
    <w:rsid w:val="002420C2"/>
    <w:rsid w:val="0024671F"/>
    <w:rsid w:val="0024783C"/>
    <w:rsid w:val="00250304"/>
    <w:rsid w:val="00252AB7"/>
    <w:rsid w:val="00254377"/>
    <w:rsid w:val="00254D32"/>
    <w:rsid w:val="00255772"/>
    <w:rsid w:val="00256DFC"/>
    <w:rsid w:val="002603D2"/>
    <w:rsid w:val="0026174A"/>
    <w:rsid w:val="00263599"/>
    <w:rsid w:val="00264E65"/>
    <w:rsid w:val="00267F67"/>
    <w:rsid w:val="00271E9A"/>
    <w:rsid w:val="002728BC"/>
    <w:rsid w:val="00275B19"/>
    <w:rsid w:val="0027713A"/>
    <w:rsid w:val="002805DC"/>
    <w:rsid w:val="00282398"/>
    <w:rsid w:val="002871BD"/>
    <w:rsid w:val="0028740D"/>
    <w:rsid w:val="002900C4"/>
    <w:rsid w:val="00290294"/>
    <w:rsid w:val="002912BA"/>
    <w:rsid w:val="0029354F"/>
    <w:rsid w:val="00294A3F"/>
    <w:rsid w:val="002963E5"/>
    <w:rsid w:val="002A459B"/>
    <w:rsid w:val="002A6C4B"/>
    <w:rsid w:val="002A7FAE"/>
    <w:rsid w:val="002B38B7"/>
    <w:rsid w:val="002B3DAC"/>
    <w:rsid w:val="002B56CB"/>
    <w:rsid w:val="002B65CD"/>
    <w:rsid w:val="002C3A95"/>
    <w:rsid w:val="002C3D43"/>
    <w:rsid w:val="002C733A"/>
    <w:rsid w:val="002D423E"/>
    <w:rsid w:val="002D49EB"/>
    <w:rsid w:val="002D5998"/>
    <w:rsid w:val="002E1E21"/>
    <w:rsid w:val="002E2A26"/>
    <w:rsid w:val="002E598B"/>
    <w:rsid w:val="002E6CE4"/>
    <w:rsid w:val="002F265B"/>
    <w:rsid w:val="002F6320"/>
    <w:rsid w:val="002F74B9"/>
    <w:rsid w:val="00300352"/>
    <w:rsid w:val="00300FCB"/>
    <w:rsid w:val="003023B6"/>
    <w:rsid w:val="00304B0F"/>
    <w:rsid w:val="003123B6"/>
    <w:rsid w:val="00312C4F"/>
    <w:rsid w:val="00313B44"/>
    <w:rsid w:val="00314BB8"/>
    <w:rsid w:val="0032398C"/>
    <w:rsid w:val="00325242"/>
    <w:rsid w:val="003256F6"/>
    <w:rsid w:val="00332937"/>
    <w:rsid w:val="00333BE5"/>
    <w:rsid w:val="003355E7"/>
    <w:rsid w:val="0034190B"/>
    <w:rsid w:val="00345ED7"/>
    <w:rsid w:val="003505ED"/>
    <w:rsid w:val="00350F8C"/>
    <w:rsid w:val="003511AB"/>
    <w:rsid w:val="003543D3"/>
    <w:rsid w:val="00355166"/>
    <w:rsid w:val="003556D4"/>
    <w:rsid w:val="00360779"/>
    <w:rsid w:val="0036087C"/>
    <w:rsid w:val="003608C3"/>
    <w:rsid w:val="003671F3"/>
    <w:rsid w:val="0037084C"/>
    <w:rsid w:val="00370A14"/>
    <w:rsid w:val="00371C2A"/>
    <w:rsid w:val="003729FD"/>
    <w:rsid w:val="003752E6"/>
    <w:rsid w:val="00377A31"/>
    <w:rsid w:val="00380BD8"/>
    <w:rsid w:val="00382726"/>
    <w:rsid w:val="003842B5"/>
    <w:rsid w:val="003849DF"/>
    <w:rsid w:val="00384FAA"/>
    <w:rsid w:val="003879BE"/>
    <w:rsid w:val="00392800"/>
    <w:rsid w:val="003947A5"/>
    <w:rsid w:val="003975F4"/>
    <w:rsid w:val="003A78CB"/>
    <w:rsid w:val="003B2D1C"/>
    <w:rsid w:val="003B36CC"/>
    <w:rsid w:val="003B6E8A"/>
    <w:rsid w:val="003B755F"/>
    <w:rsid w:val="003B763D"/>
    <w:rsid w:val="003C2B99"/>
    <w:rsid w:val="003C3585"/>
    <w:rsid w:val="003C3B41"/>
    <w:rsid w:val="003C5540"/>
    <w:rsid w:val="003D2B73"/>
    <w:rsid w:val="003D53F9"/>
    <w:rsid w:val="003D5533"/>
    <w:rsid w:val="003E20AC"/>
    <w:rsid w:val="003E2A9A"/>
    <w:rsid w:val="003E403D"/>
    <w:rsid w:val="003E4241"/>
    <w:rsid w:val="003E47E8"/>
    <w:rsid w:val="003F2EB6"/>
    <w:rsid w:val="003F358D"/>
    <w:rsid w:val="003F512D"/>
    <w:rsid w:val="0040060E"/>
    <w:rsid w:val="004031E4"/>
    <w:rsid w:val="00405332"/>
    <w:rsid w:val="0040769C"/>
    <w:rsid w:val="004076EC"/>
    <w:rsid w:val="00413556"/>
    <w:rsid w:val="0041382D"/>
    <w:rsid w:val="00416744"/>
    <w:rsid w:val="004168B9"/>
    <w:rsid w:val="00421D19"/>
    <w:rsid w:val="00421D58"/>
    <w:rsid w:val="00422F52"/>
    <w:rsid w:val="00424E4B"/>
    <w:rsid w:val="0042771F"/>
    <w:rsid w:val="00427FC6"/>
    <w:rsid w:val="0043150E"/>
    <w:rsid w:val="00433049"/>
    <w:rsid w:val="00433B31"/>
    <w:rsid w:val="004379DE"/>
    <w:rsid w:val="004405A8"/>
    <w:rsid w:val="004415DC"/>
    <w:rsid w:val="004420DC"/>
    <w:rsid w:val="004460A5"/>
    <w:rsid w:val="004600CF"/>
    <w:rsid w:val="00460BFE"/>
    <w:rsid w:val="00462C32"/>
    <w:rsid w:val="00462E68"/>
    <w:rsid w:val="0046312A"/>
    <w:rsid w:val="00463B0A"/>
    <w:rsid w:val="00464C1C"/>
    <w:rsid w:val="00472786"/>
    <w:rsid w:val="00472E99"/>
    <w:rsid w:val="00474B59"/>
    <w:rsid w:val="004768C8"/>
    <w:rsid w:val="00476ADF"/>
    <w:rsid w:val="0048514B"/>
    <w:rsid w:val="00485DDD"/>
    <w:rsid w:val="0049029F"/>
    <w:rsid w:val="00490EF9"/>
    <w:rsid w:val="00495A4D"/>
    <w:rsid w:val="00495FCE"/>
    <w:rsid w:val="00497049"/>
    <w:rsid w:val="004A095A"/>
    <w:rsid w:val="004A299F"/>
    <w:rsid w:val="004A2FD0"/>
    <w:rsid w:val="004A3029"/>
    <w:rsid w:val="004A4291"/>
    <w:rsid w:val="004A4927"/>
    <w:rsid w:val="004A736E"/>
    <w:rsid w:val="004B321F"/>
    <w:rsid w:val="004C305E"/>
    <w:rsid w:val="004C31C8"/>
    <w:rsid w:val="004D0558"/>
    <w:rsid w:val="004D0A86"/>
    <w:rsid w:val="004D4A76"/>
    <w:rsid w:val="004D7C5A"/>
    <w:rsid w:val="004E22F2"/>
    <w:rsid w:val="004E3677"/>
    <w:rsid w:val="004E380A"/>
    <w:rsid w:val="004E38EA"/>
    <w:rsid w:val="004E432D"/>
    <w:rsid w:val="004F1F61"/>
    <w:rsid w:val="004F27BC"/>
    <w:rsid w:val="004F4B7A"/>
    <w:rsid w:val="004F4DEF"/>
    <w:rsid w:val="004F6A2A"/>
    <w:rsid w:val="004F6FA5"/>
    <w:rsid w:val="005001C6"/>
    <w:rsid w:val="00504CC5"/>
    <w:rsid w:val="00506000"/>
    <w:rsid w:val="00506A00"/>
    <w:rsid w:val="00514E5E"/>
    <w:rsid w:val="00515640"/>
    <w:rsid w:val="0051584F"/>
    <w:rsid w:val="00521F50"/>
    <w:rsid w:val="00525F89"/>
    <w:rsid w:val="005333E5"/>
    <w:rsid w:val="00535764"/>
    <w:rsid w:val="005374D2"/>
    <w:rsid w:val="00540163"/>
    <w:rsid w:val="00540279"/>
    <w:rsid w:val="005415E6"/>
    <w:rsid w:val="0054271F"/>
    <w:rsid w:val="00542D5F"/>
    <w:rsid w:val="0054531F"/>
    <w:rsid w:val="00545450"/>
    <w:rsid w:val="0054710A"/>
    <w:rsid w:val="00550030"/>
    <w:rsid w:val="005564D6"/>
    <w:rsid w:val="00557991"/>
    <w:rsid w:val="00557A2E"/>
    <w:rsid w:val="00561A5B"/>
    <w:rsid w:val="00561BC6"/>
    <w:rsid w:val="0056206A"/>
    <w:rsid w:val="00565BF7"/>
    <w:rsid w:val="00566DC9"/>
    <w:rsid w:val="005714E8"/>
    <w:rsid w:val="005719E2"/>
    <w:rsid w:val="00572367"/>
    <w:rsid w:val="00573E0F"/>
    <w:rsid w:val="0057526E"/>
    <w:rsid w:val="005764F8"/>
    <w:rsid w:val="00577222"/>
    <w:rsid w:val="005810F3"/>
    <w:rsid w:val="005818F9"/>
    <w:rsid w:val="0058307F"/>
    <w:rsid w:val="0058473E"/>
    <w:rsid w:val="00585AB0"/>
    <w:rsid w:val="00587A76"/>
    <w:rsid w:val="005935FD"/>
    <w:rsid w:val="00597E14"/>
    <w:rsid w:val="005A534C"/>
    <w:rsid w:val="005A5CDE"/>
    <w:rsid w:val="005A7640"/>
    <w:rsid w:val="005A7CE6"/>
    <w:rsid w:val="005B205D"/>
    <w:rsid w:val="005B431B"/>
    <w:rsid w:val="005B44E1"/>
    <w:rsid w:val="005B4DB5"/>
    <w:rsid w:val="005B6358"/>
    <w:rsid w:val="005B756D"/>
    <w:rsid w:val="005B7FAC"/>
    <w:rsid w:val="005C4130"/>
    <w:rsid w:val="005C48BB"/>
    <w:rsid w:val="005D2699"/>
    <w:rsid w:val="005D2942"/>
    <w:rsid w:val="005D46B4"/>
    <w:rsid w:val="005D67A4"/>
    <w:rsid w:val="005D7715"/>
    <w:rsid w:val="005E4AB9"/>
    <w:rsid w:val="005E5859"/>
    <w:rsid w:val="005E66BF"/>
    <w:rsid w:val="005F1761"/>
    <w:rsid w:val="005F2F3A"/>
    <w:rsid w:val="005F42E7"/>
    <w:rsid w:val="005F6349"/>
    <w:rsid w:val="005F6CCC"/>
    <w:rsid w:val="005F7590"/>
    <w:rsid w:val="00600CEF"/>
    <w:rsid w:val="00606C19"/>
    <w:rsid w:val="00611F5D"/>
    <w:rsid w:val="00614FB4"/>
    <w:rsid w:val="00615BF0"/>
    <w:rsid w:val="00616357"/>
    <w:rsid w:val="006173FE"/>
    <w:rsid w:val="00621B19"/>
    <w:rsid w:val="006231F4"/>
    <w:rsid w:val="00624205"/>
    <w:rsid w:val="00630EEF"/>
    <w:rsid w:val="00633BD7"/>
    <w:rsid w:val="00635C72"/>
    <w:rsid w:val="00636A43"/>
    <w:rsid w:val="00637D99"/>
    <w:rsid w:val="00640FEC"/>
    <w:rsid w:val="00642C95"/>
    <w:rsid w:val="00643E0F"/>
    <w:rsid w:val="0064553A"/>
    <w:rsid w:val="0064730D"/>
    <w:rsid w:val="0065388F"/>
    <w:rsid w:val="00654599"/>
    <w:rsid w:val="0065482E"/>
    <w:rsid w:val="00654A89"/>
    <w:rsid w:val="00655C2F"/>
    <w:rsid w:val="006564CC"/>
    <w:rsid w:val="006602E8"/>
    <w:rsid w:val="00660BBB"/>
    <w:rsid w:val="00662D25"/>
    <w:rsid w:val="00664E7C"/>
    <w:rsid w:val="00667F63"/>
    <w:rsid w:val="0067111F"/>
    <w:rsid w:val="0067200B"/>
    <w:rsid w:val="00672A93"/>
    <w:rsid w:val="00673A4A"/>
    <w:rsid w:val="006805A8"/>
    <w:rsid w:val="00680E1A"/>
    <w:rsid w:val="00686276"/>
    <w:rsid w:val="00687DF8"/>
    <w:rsid w:val="00692FE4"/>
    <w:rsid w:val="006940A5"/>
    <w:rsid w:val="0069700B"/>
    <w:rsid w:val="006971DF"/>
    <w:rsid w:val="006973D4"/>
    <w:rsid w:val="006A72CC"/>
    <w:rsid w:val="006B0499"/>
    <w:rsid w:val="006B1342"/>
    <w:rsid w:val="006B2A72"/>
    <w:rsid w:val="006C1F6B"/>
    <w:rsid w:val="006C5E59"/>
    <w:rsid w:val="006C6115"/>
    <w:rsid w:val="006D1157"/>
    <w:rsid w:val="006D23DA"/>
    <w:rsid w:val="006D3A19"/>
    <w:rsid w:val="006D6279"/>
    <w:rsid w:val="006D6823"/>
    <w:rsid w:val="006D6D39"/>
    <w:rsid w:val="006E13F2"/>
    <w:rsid w:val="006F2785"/>
    <w:rsid w:val="006F2924"/>
    <w:rsid w:val="006F77E1"/>
    <w:rsid w:val="00704923"/>
    <w:rsid w:val="00710164"/>
    <w:rsid w:val="007123CB"/>
    <w:rsid w:val="0071407C"/>
    <w:rsid w:val="007151A4"/>
    <w:rsid w:val="007241AF"/>
    <w:rsid w:val="00725693"/>
    <w:rsid w:val="00726E02"/>
    <w:rsid w:val="00731699"/>
    <w:rsid w:val="00731C97"/>
    <w:rsid w:val="00736238"/>
    <w:rsid w:val="00740849"/>
    <w:rsid w:val="00744962"/>
    <w:rsid w:val="0074502C"/>
    <w:rsid w:val="00745AE4"/>
    <w:rsid w:val="0074654D"/>
    <w:rsid w:val="00747FDE"/>
    <w:rsid w:val="00754F34"/>
    <w:rsid w:val="0076254A"/>
    <w:rsid w:val="00763B6B"/>
    <w:rsid w:val="00764B48"/>
    <w:rsid w:val="00766CB1"/>
    <w:rsid w:val="007714D8"/>
    <w:rsid w:val="00780103"/>
    <w:rsid w:val="0078178A"/>
    <w:rsid w:val="00785C57"/>
    <w:rsid w:val="00785E4A"/>
    <w:rsid w:val="00786256"/>
    <w:rsid w:val="0078756F"/>
    <w:rsid w:val="00787F4C"/>
    <w:rsid w:val="00794995"/>
    <w:rsid w:val="0079575A"/>
    <w:rsid w:val="00797E5D"/>
    <w:rsid w:val="007A0A2D"/>
    <w:rsid w:val="007A0CE1"/>
    <w:rsid w:val="007A0EDB"/>
    <w:rsid w:val="007A761E"/>
    <w:rsid w:val="007B0ACA"/>
    <w:rsid w:val="007B5E86"/>
    <w:rsid w:val="007B7AB7"/>
    <w:rsid w:val="007B7B47"/>
    <w:rsid w:val="007C0BD0"/>
    <w:rsid w:val="007C1D0A"/>
    <w:rsid w:val="007C62BB"/>
    <w:rsid w:val="007C72DF"/>
    <w:rsid w:val="007D09AC"/>
    <w:rsid w:val="007D55E8"/>
    <w:rsid w:val="007E2F9A"/>
    <w:rsid w:val="007F3E15"/>
    <w:rsid w:val="007F4CF7"/>
    <w:rsid w:val="007F5A42"/>
    <w:rsid w:val="007F5DF2"/>
    <w:rsid w:val="008030F7"/>
    <w:rsid w:val="00803506"/>
    <w:rsid w:val="008122F6"/>
    <w:rsid w:val="00812FF1"/>
    <w:rsid w:val="00816600"/>
    <w:rsid w:val="00817DE1"/>
    <w:rsid w:val="008236B1"/>
    <w:rsid w:val="00826E8F"/>
    <w:rsid w:val="00834DBF"/>
    <w:rsid w:val="00835671"/>
    <w:rsid w:val="008364B7"/>
    <w:rsid w:val="00841BC7"/>
    <w:rsid w:val="00843858"/>
    <w:rsid w:val="008442AB"/>
    <w:rsid w:val="00844CF0"/>
    <w:rsid w:val="008502A6"/>
    <w:rsid w:val="00853209"/>
    <w:rsid w:val="00853E3C"/>
    <w:rsid w:val="008542B8"/>
    <w:rsid w:val="00855423"/>
    <w:rsid w:val="008558C0"/>
    <w:rsid w:val="00860950"/>
    <w:rsid w:val="00862FCC"/>
    <w:rsid w:val="00863F96"/>
    <w:rsid w:val="00864D3D"/>
    <w:rsid w:val="00867027"/>
    <w:rsid w:val="00867C13"/>
    <w:rsid w:val="008719CD"/>
    <w:rsid w:val="00872733"/>
    <w:rsid w:val="00872E31"/>
    <w:rsid w:val="00873E7D"/>
    <w:rsid w:val="008804EF"/>
    <w:rsid w:val="00883EF6"/>
    <w:rsid w:val="00883FCE"/>
    <w:rsid w:val="0088433B"/>
    <w:rsid w:val="00885CBC"/>
    <w:rsid w:val="00891D30"/>
    <w:rsid w:val="00891E11"/>
    <w:rsid w:val="008933F4"/>
    <w:rsid w:val="00894FBA"/>
    <w:rsid w:val="00895D21"/>
    <w:rsid w:val="00896164"/>
    <w:rsid w:val="008A0047"/>
    <w:rsid w:val="008A0325"/>
    <w:rsid w:val="008A4807"/>
    <w:rsid w:val="008A4FA8"/>
    <w:rsid w:val="008A5B5F"/>
    <w:rsid w:val="008B0BF6"/>
    <w:rsid w:val="008B0FA9"/>
    <w:rsid w:val="008B2735"/>
    <w:rsid w:val="008B419C"/>
    <w:rsid w:val="008C0522"/>
    <w:rsid w:val="008C55A1"/>
    <w:rsid w:val="008C7664"/>
    <w:rsid w:val="008D45FA"/>
    <w:rsid w:val="008D71D3"/>
    <w:rsid w:val="008E11DA"/>
    <w:rsid w:val="008E5C94"/>
    <w:rsid w:val="008F3388"/>
    <w:rsid w:val="008F5877"/>
    <w:rsid w:val="00900CA4"/>
    <w:rsid w:val="00901581"/>
    <w:rsid w:val="009032ED"/>
    <w:rsid w:val="00904C2F"/>
    <w:rsid w:val="00906221"/>
    <w:rsid w:val="009124DD"/>
    <w:rsid w:val="00912D30"/>
    <w:rsid w:val="00913872"/>
    <w:rsid w:val="00917340"/>
    <w:rsid w:val="0092575C"/>
    <w:rsid w:val="00934C86"/>
    <w:rsid w:val="00936C72"/>
    <w:rsid w:val="0094091B"/>
    <w:rsid w:val="009439B6"/>
    <w:rsid w:val="009445BC"/>
    <w:rsid w:val="00950C90"/>
    <w:rsid w:val="009536AB"/>
    <w:rsid w:val="00956DED"/>
    <w:rsid w:val="009579DB"/>
    <w:rsid w:val="00964E8C"/>
    <w:rsid w:val="00966759"/>
    <w:rsid w:val="00977FFB"/>
    <w:rsid w:val="009852B2"/>
    <w:rsid w:val="00990D68"/>
    <w:rsid w:val="00990DE8"/>
    <w:rsid w:val="00990E74"/>
    <w:rsid w:val="00993E0B"/>
    <w:rsid w:val="0099645D"/>
    <w:rsid w:val="009A3713"/>
    <w:rsid w:val="009A3861"/>
    <w:rsid w:val="009A4F02"/>
    <w:rsid w:val="009B054D"/>
    <w:rsid w:val="009B0BE9"/>
    <w:rsid w:val="009B18B8"/>
    <w:rsid w:val="009B2242"/>
    <w:rsid w:val="009B2E7F"/>
    <w:rsid w:val="009B4649"/>
    <w:rsid w:val="009B765E"/>
    <w:rsid w:val="009C07B0"/>
    <w:rsid w:val="009C48A2"/>
    <w:rsid w:val="009C67C8"/>
    <w:rsid w:val="009D29A5"/>
    <w:rsid w:val="009D331B"/>
    <w:rsid w:val="009D5EB8"/>
    <w:rsid w:val="009D7D8C"/>
    <w:rsid w:val="009E03FB"/>
    <w:rsid w:val="009E1ECC"/>
    <w:rsid w:val="009E75E4"/>
    <w:rsid w:val="009F1D6E"/>
    <w:rsid w:val="009F20A6"/>
    <w:rsid w:val="009F2447"/>
    <w:rsid w:val="009F5046"/>
    <w:rsid w:val="009F7571"/>
    <w:rsid w:val="009F7814"/>
    <w:rsid w:val="00A00CA5"/>
    <w:rsid w:val="00A06118"/>
    <w:rsid w:val="00A07CAC"/>
    <w:rsid w:val="00A10CFA"/>
    <w:rsid w:val="00A13C38"/>
    <w:rsid w:val="00A22419"/>
    <w:rsid w:val="00A256FD"/>
    <w:rsid w:val="00A301C5"/>
    <w:rsid w:val="00A3146F"/>
    <w:rsid w:val="00A31D3C"/>
    <w:rsid w:val="00A31F06"/>
    <w:rsid w:val="00A322DE"/>
    <w:rsid w:val="00A32936"/>
    <w:rsid w:val="00A34065"/>
    <w:rsid w:val="00A34F6C"/>
    <w:rsid w:val="00A51BC8"/>
    <w:rsid w:val="00A524C2"/>
    <w:rsid w:val="00A52FE8"/>
    <w:rsid w:val="00A564A4"/>
    <w:rsid w:val="00A57BAC"/>
    <w:rsid w:val="00A600C0"/>
    <w:rsid w:val="00A608DF"/>
    <w:rsid w:val="00A6225C"/>
    <w:rsid w:val="00A63357"/>
    <w:rsid w:val="00A6537A"/>
    <w:rsid w:val="00A66617"/>
    <w:rsid w:val="00A70609"/>
    <w:rsid w:val="00A71A15"/>
    <w:rsid w:val="00A76A22"/>
    <w:rsid w:val="00A773C6"/>
    <w:rsid w:val="00A80DDF"/>
    <w:rsid w:val="00A8176B"/>
    <w:rsid w:val="00A82FB3"/>
    <w:rsid w:val="00A84A1F"/>
    <w:rsid w:val="00A85FA1"/>
    <w:rsid w:val="00A87D35"/>
    <w:rsid w:val="00A90CF8"/>
    <w:rsid w:val="00A91F16"/>
    <w:rsid w:val="00A92DC8"/>
    <w:rsid w:val="00A94023"/>
    <w:rsid w:val="00AA1631"/>
    <w:rsid w:val="00AA16DF"/>
    <w:rsid w:val="00AB0FC8"/>
    <w:rsid w:val="00AB29E8"/>
    <w:rsid w:val="00AC21A2"/>
    <w:rsid w:val="00AC7209"/>
    <w:rsid w:val="00AD0D07"/>
    <w:rsid w:val="00AD1C35"/>
    <w:rsid w:val="00AD39B0"/>
    <w:rsid w:val="00AD5D2B"/>
    <w:rsid w:val="00AD713F"/>
    <w:rsid w:val="00AD7FB4"/>
    <w:rsid w:val="00AE35C8"/>
    <w:rsid w:val="00AF1B8C"/>
    <w:rsid w:val="00AF2433"/>
    <w:rsid w:val="00AF62BF"/>
    <w:rsid w:val="00B01635"/>
    <w:rsid w:val="00B01CC4"/>
    <w:rsid w:val="00B0285C"/>
    <w:rsid w:val="00B02AD1"/>
    <w:rsid w:val="00B02E7B"/>
    <w:rsid w:val="00B03E10"/>
    <w:rsid w:val="00B04BB7"/>
    <w:rsid w:val="00B1247B"/>
    <w:rsid w:val="00B136D3"/>
    <w:rsid w:val="00B214C6"/>
    <w:rsid w:val="00B2708B"/>
    <w:rsid w:val="00B36468"/>
    <w:rsid w:val="00B36DF8"/>
    <w:rsid w:val="00B410A5"/>
    <w:rsid w:val="00B432EE"/>
    <w:rsid w:val="00B44225"/>
    <w:rsid w:val="00B50FC0"/>
    <w:rsid w:val="00B55DE6"/>
    <w:rsid w:val="00B56D6E"/>
    <w:rsid w:val="00B60894"/>
    <w:rsid w:val="00B72074"/>
    <w:rsid w:val="00B72845"/>
    <w:rsid w:val="00B80D7E"/>
    <w:rsid w:val="00B81229"/>
    <w:rsid w:val="00B83C51"/>
    <w:rsid w:val="00B87141"/>
    <w:rsid w:val="00B87520"/>
    <w:rsid w:val="00B901E4"/>
    <w:rsid w:val="00B90CAA"/>
    <w:rsid w:val="00B910EC"/>
    <w:rsid w:val="00B91DA3"/>
    <w:rsid w:val="00B95050"/>
    <w:rsid w:val="00B97245"/>
    <w:rsid w:val="00B975B6"/>
    <w:rsid w:val="00BA1446"/>
    <w:rsid w:val="00BA4BB6"/>
    <w:rsid w:val="00BB0DA1"/>
    <w:rsid w:val="00BB439B"/>
    <w:rsid w:val="00BB598B"/>
    <w:rsid w:val="00BB7FB3"/>
    <w:rsid w:val="00BC16B5"/>
    <w:rsid w:val="00BC2363"/>
    <w:rsid w:val="00BC3AAB"/>
    <w:rsid w:val="00BC576F"/>
    <w:rsid w:val="00BD13E4"/>
    <w:rsid w:val="00BD30C6"/>
    <w:rsid w:val="00BD6FF6"/>
    <w:rsid w:val="00BD7710"/>
    <w:rsid w:val="00BE119F"/>
    <w:rsid w:val="00BE2A73"/>
    <w:rsid w:val="00BE4BB3"/>
    <w:rsid w:val="00BE621A"/>
    <w:rsid w:val="00BE6CD8"/>
    <w:rsid w:val="00BF2B6B"/>
    <w:rsid w:val="00BF3FF9"/>
    <w:rsid w:val="00BF5A1E"/>
    <w:rsid w:val="00BF6AC6"/>
    <w:rsid w:val="00C04B9F"/>
    <w:rsid w:val="00C051CC"/>
    <w:rsid w:val="00C0654C"/>
    <w:rsid w:val="00C06E84"/>
    <w:rsid w:val="00C07029"/>
    <w:rsid w:val="00C07A29"/>
    <w:rsid w:val="00C14280"/>
    <w:rsid w:val="00C15D79"/>
    <w:rsid w:val="00C20B55"/>
    <w:rsid w:val="00C21B3B"/>
    <w:rsid w:val="00C25DC1"/>
    <w:rsid w:val="00C31C62"/>
    <w:rsid w:val="00C3221C"/>
    <w:rsid w:val="00C33337"/>
    <w:rsid w:val="00C378F9"/>
    <w:rsid w:val="00C37FFA"/>
    <w:rsid w:val="00C40821"/>
    <w:rsid w:val="00C40D13"/>
    <w:rsid w:val="00C468D4"/>
    <w:rsid w:val="00C472A2"/>
    <w:rsid w:val="00C5321E"/>
    <w:rsid w:val="00C5574B"/>
    <w:rsid w:val="00C5740D"/>
    <w:rsid w:val="00C60AAA"/>
    <w:rsid w:val="00C75D67"/>
    <w:rsid w:val="00C77A28"/>
    <w:rsid w:val="00C82D9A"/>
    <w:rsid w:val="00C83AAD"/>
    <w:rsid w:val="00C857A8"/>
    <w:rsid w:val="00C859FA"/>
    <w:rsid w:val="00C86CAE"/>
    <w:rsid w:val="00C87DA2"/>
    <w:rsid w:val="00C91F00"/>
    <w:rsid w:val="00C92742"/>
    <w:rsid w:val="00C92986"/>
    <w:rsid w:val="00C94078"/>
    <w:rsid w:val="00CA0944"/>
    <w:rsid w:val="00CA71E5"/>
    <w:rsid w:val="00CB3A1B"/>
    <w:rsid w:val="00CB3F1D"/>
    <w:rsid w:val="00CB4C44"/>
    <w:rsid w:val="00CB635E"/>
    <w:rsid w:val="00CB7EED"/>
    <w:rsid w:val="00CC20EB"/>
    <w:rsid w:val="00CC428E"/>
    <w:rsid w:val="00CC6057"/>
    <w:rsid w:val="00CC6B56"/>
    <w:rsid w:val="00CC6DFF"/>
    <w:rsid w:val="00CC7FD9"/>
    <w:rsid w:val="00CD11C8"/>
    <w:rsid w:val="00CD2E46"/>
    <w:rsid w:val="00CD5210"/>
    <w:rsid w:val="00CD7670"/>
    <w:rsid w:val="00CD7BF5"/>
    <w:rsid w:val="00CD7CF5"/>
    <w:rsid w:val="00CE056F"/>
    <w:rsid w:val="00CE78E6"/>
    <w:rsid w:val="00CF0237"/>
    <w:rsid w:val="00CF1A9A"/>
    <w:rsid w:val="00CF2230"/>
    <w:rsid w:val="00CF2DA3"/>
    <w:rsid w:val="00CF359A"/>
    <w:rsid w:val="00CF4615"/>
    <w:rsid w:val="00CF55F5"/>
    <w:rsid w:val="00D00B2C"/>
    <w:rsid w:val="00D033E3"/>
    <w:rsid w:val="00D074A5"/>
    <w:rsid w:val="00D07ECB"/>
    <w:rsid w:val="00D10ADB"/>
    <w:rsid w:val="00D15214"/>
    <w:rsid w:val="00D16CB2"/>
    <w:rsid w:val="00D233FE"/>
    <w:rsid w:val="00D343F6"/>
    <w:rsid w:val="00D36047"/>
    <w:rsid w:val="00D36B1F"/>
    <w:rsid w:val="00D40D78"/>
    <w:rsid w:val="00D42791"/>
    <w:rsid w:val="00D42D0C"/>
    <w:rsid w:val="00D42E1B"/>
    <w:rsid w:val="00D510FB"/>
    <w:rsid w:val="00D52CFE"/>
    <w:rsid w:val="00D55CF7"/>
    <w:rsid w:val="00D579DD"/>
    <w:rsid w:val="00D61229"/>
    <w:rsid w:val="00D6310A"/>
    <w:rsid w:val="00D6423C"/>
    <w:rsid w:val="00D64975"/>
    <w:rsid w:val="00D65713"/>
    <w:rsid w:val="00D65725"/>
    <w:rsid w:val="00D65C87"/>
    <w:rsid w:val="00D7081F"/>
    <w:rsid w:val="00D714F3"/>
    <w:rsid w:val="00D74FEB"/>
    <w:rsid w:val="00D827C7"/>
    <w:rsid w:val="00D82C17"/>
    <w:rsid w:val="00D83427"/>
    <w:rsid w:val="00D8496A"/>
    <w:rsid w:val="00D87BF8"/>
    <w:rsid w:val="00D92DF3"/>
    <w:rsid w:val="00D96A68"/>
    <w:rsid w:val="00D96B91"/>
    <w:rsid w:val="00D9702C"/>
    <w:rsid w:val="00D973AA"/>
    <w:rsid w:val="00D97DEA"/>
    <w:rsid w:val="00DA10E5"/>
    <w:rsid w:val="00DA1B99"/>
    <w:rsid w:val="00DA484B"/>
    <w:rsid w:val="00DB24D4"/>
    <w:rsid w:val="00DB6616"/>
    <w:rsid w:val="00DB793C"/>
    <w:rsid w:val="00DC1038"/>
    <w:rsid w:val="00DC1251"/>
    <w:rsid w:val="00DC3D1A"/>
    <w:rsid w:val="00DC4006"/>
    <w:rsid w:val="00DC4D8C"/>
    <w:rsid w:val="00DC5C18"/>
    <w:rsid w:val="00DC7B1E"/>
    <w:rsid w:val="00DC7CF5"/>
    <w:rsid w:val="00DD5F08"/>
    <w:rsid w:val="00DD6EF5"/>
    <w:rsid w:val="00DE088E"/>
    <w:rsid w:val="00DE3195"/>
    <w:rsid w:val="00DE39FB"/>
    <w:rsid w:val="00DE5F78"/>
    <w:rsid w:val="00DF0C37"/>
    <w:rsid w:val="00DF4134"/>
    <w:rsid w:val="00DF5669"/>
    <w:rsid w:val="00DF5AA4"/>
    <w:rsid w:val="00DF5ED6"/>
    <w:rsid w:val="00DF64F1"/>
    <w:rsid w:val="00E0513D"/>
    <w:rsid w:val="00E0629B"/>
    <w:rsid w:val="00E14BF5"/>
    <w:rsid w:val="00E162BB"/>
    <w:rsid w:val="00E22B2A"/>
    <w:rsid w:val="00E24136"/>
    <w:rsid w:val="00E25B9A"/>
    <w:rsid w:val="00E27207"/>
    <w:rsid w:val="00E30D2E"/>
    <w:rsid w:val="00E30F9B"/>
    <w:rsid w:val="00E31DC6"/>
    <w:rsid w:val="00E35EA7"/>
    <w:rsid w:val="00E401D8"/>
    <w:rsid w:val="00E42882"/>
    <w:rsid w:val="00E4358C"/>
    <w:rsid w:val="00E4566F"/>
    <w:rsid w:val="00E5174E"/>
    <w:rsid w:val="00E54E84"/>
    <w:rsid w:val="00E5612A"/>
    <w:rsid w:val="00E56A52"/>
    <w:rsid w:val="00E56E3D"/>
    <w:rsid w:val="00E570E6"/>
    <w:rsid w:val="00E57B38"/>
    <w:rsid w:val="00E63163"/>
    <w:rsid w:val="00E65C84"/>
    <w:rsid w:val="00E72509"/>
    <w:rsid w:val="00E8461C"/>
    <w:rsid w:val="00E854F1"/>
    <w:rsid w:val="00E8659D"/>
    <w:rsid w:val="00E907C7"/>
    <w:rsid w:val="00E919E4"/>
    <w:rsid w:val="00E939DD"/>
    <w:rsid w:val="00E943E1"/>
    <w:rsid w:val="00E94D96"/>
    <w:rsid w:val="00EA432D"/>
    <w:rsid w:val="00EA52C2"/>
    <w:rsid w:val="00EA6373"/>
    <w:rsid w:val="00EB0228"/>
    <w:rsid w:val="00EB11C2"/>
    <w:rsid w:val="00EB1B63"/>
    <w:rsid w:val="00EB1C27"/>
    <w:rsid w:val="00EB5786"/>
    <w:rsid w:val="00EC0D9B"/>
    <w:rsid w:val="00EC3688"/>
    <w:rsid w:val="00EC5BD3"/>
    <w:rsid w:val="00EC743F"/>
    <w:rsid w:val="00ED2980"/>
    <w:rsid w:val="00ED4212"/>
    <w:rsid w:val="00ED7902"/>
    <w:rsid w:val="00EE15B5"/>
    <w:rsid w:val="00EE1A1C"/>
    <w:rsid w:val="00EE3CC1"/>
    <w:rsid w:val="00EE3DC6"/>
    <w:rsid w:val="00EE3E77"/>
    <w:rsid w:val="00EE4510"/>
    <w:rsid w:val="00EE62FE"/>
    <w:rsid w:val="00EF0CE4"/>
    <w:rsid w:val="00EF75A3"/>
    <w:rsid w:val="00F00B51"/>
    <w:rsid w:val="00F07E62"/>
    <w:rsid w:val="00F15EA9"/>
    <w:rsid w:val="00F205E3"/>
    <w:rsid w:val="00F20E87"/>
    <w:rsid w:val="00F225ED"/>
    <w:rsid w:val="00F253FC"/>
    <w:rsid w:val="00F32C23"/>
    <w:rsid w:val="00F33952"/>
    <w:rsid w:val="00F3598A"/>
    <w:rsid w:val="00F36301"/>
    <w:rsid w:val="00F42176"/>
    <w:rsid w:val="00F50721"/>
    <w:rsid w:val="00F50E29"/>
    <w:rsid w:val="00F51B24"/>
    <w:rsid w:val="00F5263E"/>
    <w:rsid w:val="00F5391A"/>
    <w:rsid w:val="00F54EA5"/>
    <w:rsid w:val="00F601B5"/>
    <w:rsid w:val="00F60798"/>
    <w:rsid w:val="00F608AA"/>
    <w:rsid w:val="00F61271"/>
    <w:rsid w:val="00F64151"/>
    <w:rsid w:val="00F72ECF"/>
    <w:rsid w:val="00F74C04"/>
    <w:rsid w:val="00F8068F"/>
    <w:rsid w:val="00F81367"/>
    <w:rsid w:val="00F825F0"/>
    <w:rsid w:val="00F832BD"/>
    <w:rsid w:val="00F839B3"/>
    <w:rsid w:val="00F83AF0"/>
    <w:rsid w:val="00F860D4"/>
    <w:rsid w:val="00F91DB2"/>
    <w:rsid w:val="00F923E5"/>
    <w:rsid w:val="00FA09C9"/>
    <w:rsid w:val="00FA1548"/>
    <w:rsid w:val="00FA2152"/>
    <w:rsid w:val="00FA600F"/>
    <w:rsid w:val="00FB0E4A"/>
    <w:rsid w:val="00FB217C"/>
    <w:rsid w:val="00FC2176"/>
    <w:rsid w:val="00FC2B26"/>
    <w:rsid w:val="00FC4BA1"/>
    <w:rsid w:val="00FC5404"/>
    <w:rsid w:val="00FC5D2D"/>
    <w:rsid w:val="00FC6A3A"/>
    <w:rsid w:val="00FC754D"/>
    <w:rsid w:val="00FD1B42"/>
    <w:rsid w:val="00FD2272"/>
    <w:rsid w:val="00FD40D6"/>
    <w:rsid w:val="00FD7C60"/>
    <w:rsid w:val="00FE4496"/>
    <w:rsid w:val="00FE463F"/>
    <w:rsid w:val="00FE5D1F"/>
    <w:rsid w:val="00FE6B81"/>
    <w:rsid w:val="00FF4FE7"/>
    <w:rsid w:val="64B96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7B89E"/>
  <w15:docId w15:val="{F2518C5A-8C67-4EF0-9F08-55EC72A64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A14"/>
    <w:pPr>
      <w:spacing w:after="160" w:line="252" w:lineRule="auto"/>
    </w:pPr>
    <w:rPr>
      <w:sz w:val="22"/>
      <w:szCs w:val="22"/>
      <w:lang w:val="es-CL"/>
    </w:rPr>
  </w:style>
  <w:style w:type="paragraph" w:styleId="Ttulo1">
    <w:name w:val="heading 1"/>
    <w:basedOn w:val="Normal"/>
    <w:next w:val="Normal"/>
    <w:link w:val="Ttulo1Car"/>
    <w:uiPriority w:val="9"/>
    <w:qFormat/>
    <w:rsid w:val="006564CC"/>
    <w:pPr>
      <w:keepNext/>
      <w:keepLines/>
      <w:spacing w:before="240" w:after="0" w:line="256" w:lineRule="auto"/>
      <w:outlineLvl w:val="0"/>
    </w:pPr>
    <w:rPr>
      <w:rFonts w:ascii="Calibri Light" w:eastAsia="Times New Roman" w:hAnsi="Calibri Light"/>
      <w:color w:val="2F5496"/>
      <w:sz w:val="32"/>
      <w:szCs w:val="32"/>
    </w:rPr>
  </w:style>
  <w:style w:type="paragraph" w:styleId="Ttulo3">
    <w:name w:val="heading 3"/>
    <w:basedOn w:val="Normal"/>
    <w:next w:val="Normal"/>
    <w:link w:val="Ttulo3Car"/>
    <w:uiPriority w:val="9"/>
    <w:semiHidden/>
    <w:unhideWhenUsed/>
    <w:qFormat/>
    <w:rsid w:val="00FB0E4A"/>
    <w:pPr>
      <w:keepNext/>
      <w:keepLines/>
      <w:spacing w:before="40" w:after="0" w:line="256" w:lineRule="auto"/>
      <w:outlineLvl w:val="2"/>
    </w:pPr>
    <w:rPr>
      <w:rFonts w:ascii="Calibri Light" w:eastAsia="Times New Roman" w:hAnsi="Calibri Light"/>
      <w:color w:val="1F3763"/>
      <w:sz w:val="24"/>
      <w:szCs w:val="24"/>
    </w:rPr>
  </w:style>
  <w:style w:type="paragraph" w:styleId="Ttulo4">
    <w:name w:val="heading 4"/>
    <w:basedOn w:val="Normal"/>
    <w:next w:val="Normal"/>
    <w:link w:val="Ttulo4Car"/>
    <w:uiPriority w:val="9"/>
    <w:semiHidden/>
    <w:unhideWhenUsed/>
    <w:qFormat/>
    <w:rsid w:val="00FB0E4A"/>
    <w:pPr>
      <w:keepNext/>
      <w:keepLines/>
      <w:spacing w:before="40" w:after="0" w:line="256" w:lineRule="auto"/>
      <w:outlineLvl w:val="3"/>
    </w:pPr>
    <w:rPr>
      <w:rFonts w:ascii="Calibri Light" w:eastAsia="Times New Roman" w:hAnsi="Calibri Light"/>
      <w:i/>
      <w:iCs/>
      <w:color w:val="2F54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1C2888"/>
    <w:rPr>
      <w:color w:val="0563C1"/>
      <w:u w:val="single"/>
    </w:rPr>
  </w:style>
  <w:style w:type="paragraph" w:styleId="NormalWeb">
    <w:name w:val="Normal (Web)"/>
    <w:basedOn w:val="Normal"/>
    <w:uiPriority w:val="99"/>
    <w:unhideWhenUsed/>
    <w:rsid w:val="001C2888"/>
    <w:pPr>
      <w:spacing w:before="100" w:beforeAutospacing="1" w:after="100" w:afterAutospacing="1" w:line="240" w:lineRule="auto"/>
    </w:pPr>
    <w:rPr>
      <w:rFonts w:ascii="Times New Roman" w:eastAsia="Times New Roman" w:hAnsi="Times New Roman"/>
      <w:sz w:val="24"/>
      <w:szCs w:val="24"/>
      <w:lang w:eastAsia="es-CL"/>
    </w:rPr>
  </w:style>
  <w:style w:type="paragraph" w:styleId="Textonotapie">
    <w:name w:val="footnote text"/>
    <w:basedOn w:val="Normal"/>
    <w:link w:val="TextonotapieCar"/>
    <w:uiPriority w:val="99"/>
    <w:semiHidden/>
    <w:unhideWhenUsed/>
    <w:rsid w:val="001C2888"/>
    <w:pPr>
      <w:spacing w:after="0" w:line="240" w:lineRule="auto"/>
    </w:pPr>
    <w:rPr>
      <w:sz w:val="20"/>
      <w:szCs w:val="20"/>
    </w:rPr>
  </w:style>
  <w:style w:type="character" w:customStyle="1" w:styleId="TextonotapieCar">
    <w:name w:val="Texto nota pie Car"/>
    <w:link w:val="Textonotapie"/>
    <w:uiPriority w:val="99"/>
    <w:semiHidden/>
    <w:rsid w:val="001C2888"/>
    <w:rPr>
      <w:sz w:val="20"/>
      <w:szCs w:val="20"/>
    </w:rPr>
  </w:style>
  <w:style w:type="character" w:styleId="Refdenotaalpie">
    <w:name w:val="footnote reference"/>
    <w:semiHidden/>
    <w:unhideWhenUsed/>
    <w:rsid w:val="001C2888"/>
    <w:rPr>
      <w:vertAlign w:val="superscript"/>
    </w:rPr>
  </w:style>
  <w:style w:type="character" w:customStyle="1" w:styleId="Mencinsinresolver1">
    <w:name w:val="Mención sin resolver1"/>
    <w:uiPriority w:val="99"/>
    <w:semiHidden/>
    <w:unhideWhenUsed/>
    <w:rsid w:val="00891D30"/>
    <w:rPr>
      <w:color w:val="605E5C"/>
      <w:shd w:val="clear" w:color="auto" w:fill="E1DFDD"/>
    </w:rPr>
  </w:style>
  <w:style w:type="paragraph" w:styleId="Prrafodelista">
    <w:name w:val="List Paragraph"/>
    <w:basedOn w:val="Normal"/>
    <w:uiPriority w:val="34"/>
    <w:qFormat/>
    <w:rsid w:val="003879BE"/>
    <w:pPr>
      <w:spacing w:line="256" w:lineRule="auto"/>
      <w:ind w:left="720"/>
      <w:contextualSpacing/>
    </w:pPr>
  </w:style>
  <w:style w:type="character" w:customStyle="1" w:styleId="Ttulo1Car">
    <w:name w:val="Título 1 Car"/>
    <w:link w:val="Ttulo1"/>
    <w:uiPriority w:val="9"/>
    <w:rsid w:val="006564CC"/>
    <w:rPr>
      <w:rFonts w:ascii="Calibri Light" w:eastAsia="Times New Roman" w:hAnsi="Calibri Light" w:cs="Times New Roman"/>
      <w:color w:val="2F5496"/>
      <w:sz w:val="32"/>
      <w:szCs w:val="32"/>
    </w:rPr>
  </w:style>
  <w:style w:type="character" w:styleId="Textoennegrita">
    <w:name w:val="Strong"/>
    <w:uiPriority w:val="22"/>
    <w:qFormat/>
    <w:rsid w:val="00A32936"/>
    <w:rPr>
      <w:b/>
      <w:bCs/>
    </w:rPr>
  </w:style>
  <w:style w:type="character" w:customStyle="1" w:styleId="Ttulo3Car">
    <w:name w:val="Título 3 Car"/>
    <w:link w:val="Ttulo3"/>
    <w:uiPriority w:val="9"/>
    <w:semiHidden/>
    <w:rsid w:val="00FB0E4A"/>
    <w:rPr>
      <w:rFonts w:ascii="Calibri Light" w:eastAsia="Times New Roman" w:hAnsi="Calibri Light" w:cs="Times New Roman"/>
      <w:color w:val="1F3763"/>
      <w:sz w:val="24"/>
      <w:szCs w:val="24"/>
    </w:rPr>
  </w:style>
  <w:style w:type="character" w:customStyle="1" w:styleId="Ttulo4Car">
    <w:name w:val="Título 4 Car"/>
    <w:link w:val="Ttulo4"/>
    <w:uiPriority w:val="9"/>
    <w:semiHidden/>
    <w:rsid w:val="00FB0E4A"/>
    <w:rPr>
      <w:rFonts w:ascii="Calibri Light" w:eastAsia="Times New Roman" w:hAnsi="Calibri Light" w:cs="Times New Roman"/>
      <w:i/>
      <w:iCs/>
      <w:color w:val="2F5496"/>
    </w:rPr>
  </w:style>
  <w:style w:type="table" w:styleId="Tablaconcuadrcula">
    <w:name w:val="Table Grid"/>
    <w:basedOn w:val="Tabla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9442">
      <w:bodyDiv w:val="1"/>
      <w:marLeft w:val="0"/>
      <w:marRight w:val="0"/>
      <w:marTop w:val="0"/>
      <w:marBottom w:val="0"/>
      <w:divBdr>
        <w:top w:val="none" w:sz="0" w:space="0" w:color="auto"/>
        <w:left w:val="none" w:sz="0" w:space="0" w:color="auto"/>
        <w:bottom w:val="none" w:sz="0" w:space="0" w:color="auto"/>
        <w:right w:val="none" w:sz="0" w:space="0" w:color="auto"/>
      </w:divBdr>
    </w:div>
    <w:div w:id="18435890">
      <w:bodyDiv w:val="1"/>
      <w:marLeft w:val="0"/>
      <w:marRight w:val="0"/>
      <w:marTop w:val="0"/>
      <w:marBottom w:val="0"/>
      <w:divBdr>
        <w:top w:val="none" w:sz="0" w:space="0" w:color="auto"/>
        <w:left w:val="none" w:sz="0" w:space="0" w:color="auto"/>
        <w:bottom w:val="none" w:sz="0" w:space="0" w:color="auto"/>
        <w:right w:val="none" w:sz="0" w:space="0" w:color="auto"/>
      </w:divBdr>
    </w:div>
    <w:div w:id="18707123">
      <w:bodyDiv w:val="1"/>
      <w:marLeft w:val="0"/>
      <w:marRight w:val="0"/>
      <w:marTop w:val="0"/>
      <w:marBottom w:val="0"/>
      <w:divBdr>
        <w:top w:val="none" w:sz="0" w:space="0" w:color="auto"/>
        <w:left w:val="none" w:sz="0" w:space="0" w:color="auto"/>
        <w:bottom w:val="none" w:sz="0" w:space="0" w:color="auto"/>
        <w:right w:val="none" w:sz="0" w:space="0" w:color="auto"/>
      </w:divBdr>
    </w:div>
    <w:div w:id="26108335">
      <w:bodyDiv w:val="1"/>
      <w:marLeft w:val="0"/>
      <w:marRight w:val="0"/>
      <w:marTop w:val="0"/>
      <w:marBottom w:val="0"/>
      <w:divBdr>
        <w:top w:val="none" w:sz="0" w:space="0" w:color="auto"/>
        <w:left w:val="none" w:sz="0" w:space="0" w:color="auto"/>
        <w:bottom w:val="none" w:sz="0" w:space="0" w:color="auto"/>
        <w:right w:val="none" w:sz="0" w:space="0" w:color="auto"/>
      </w:divBdr>
    </w:div>
    <w:div w:id="34544127">
      <w:bodyDiv w:val="1"/>
      <w:marLeft w:val="0"/>
      <w:marRight w:val="0"/>
      <w:marTop w:val="0"/>
      <w:marBottom w:val="0"/>
      <w:divBdr>
        <w:top w:val="none" w:sz="0" w:space="0" w:color="auto"/>
        <w:left w:val="none" w:sz="0" w:space="0" w:color="auto"/>
        <w:bottom w:val="none" w:sz="0" w:space="0" w:color="auto"/>
        <w:right w:val="none" w:sz="0" w:space="0" w:color="auto"/>
      </w:divBdr>
    </w:div>
    <w:div w:id="50857262">
      <w:bodyDiv w:val="1"/>
      <w:marLeft w:val="0"/>
      <w:marRight w:val="0"/>
      <w:marTop w:val="0"/>
      <w:marBottom w:val="0"/>
      <w:divBdr>
        <w:top w:val="none" w:sz="0" w:space="0" w:color="auto"/>
        <w:left w:val="none" w:sz="0" w:space="0" w:color="auto"/>
        <w:bottom w:val="none" w:sz="0" w:space="0" w:color="auto"/>
        <w:right w:val="none" w:sz="0" w:space="0" w:color="auto"/>
      </w:divBdr>
    </w:div>
    <w:div w:id="67726908">
      <w:bodyDiv w:val="1"/>
      <w:marLeft w:val="0"/>
      <w:marRight w:val="0"/>
      <w:marTop w:val="0"/>
      <w:marBottom w:val="0"/>
      <w:divBdr>
        <w:top w:val="none" w:sz="0" w:space="0" w:color="auto"/>
        <w:left w:val="none" w:sz="0" w:space="0" w:color="auto"/>
        <w:bottom w:val="none" w:sz="0" w:space="0" w:color="auto"/>
        <w:right w:val="none" w:sz="0" w:space="0" w:color="auto"/>
      </w:divBdr>
    </w:div>
    <w:div w:id="86776779">
      <w:bodyDiv w:val="1"/>
      <w:marLeft w:val="0"/>
      <w:marRight w:val="0"/>
      <w:marTop w:val="0"/>
      <w:marBottom w:val="0"/>
      <w:divBdr>
        <w:top w:val="none" w:sz="0" w:space="0" w:color="auto"/>
        <w:left w:val="none" w:sz="0" w:space="0" w:color="auto"/>
        <w:bottom w:val="none" w:sz="0" w:space="0" w:color="auto"/>
        <w:right w:val="none" w:sz="0" w:space="0" w:color="auto"/>
      </w:divBdr>
    </w:div>
    <w:div w:id="91056137">
      <w:bodyDiv w:val="1"/>
      <w:marLeft w:val="0"/>
      <w:marRight w:val="0"/>
      <w:marTop w:val="0"/>
      <w:marBottom w:val="0"/>
      <w:divBdr>
        <w:top w:val="none" w:sz="0" w:space="0" w:color="auto"/>
        <w:left w:val="none" w:sz="0" w:space="0" w:color="auto"/>
        <w:bottom w:val="none" w:sz="0" w:space="0" w:color="auto"/>
        <w:right w:val="none" w:sz="0" w:space="0" w:color="auto"/>
      </w:divBdr>
    </w:div>
    <w:div w:id="94835938">
      <w:bodyDiv w:val="1"/>
      <w:marLeft w:val="0"/>
      <w:marRight w:val="0"/>
      <w:marTop w:val="0"/>
      <w:marBottom w:val="0"/>
      <w:divBdr>
        <w:top w:val="none" w:sz="0" w:space="0" w:color="auto"/>
        <w:left w:val="none" w:sz="0" w:space="0" w:color="auto"/>
        <w:bottom w:val="none" w:sz="0" w:space="0" w:color="auto"/>
        <w:right w:val="none" w:sz="0" w:space="0" w:color="auto"/>
      </w:divBdr>
    </w:div>
    <w:div w:id="97793516">
      <w:bodyDiv w:val="1"/>
      <w:marLeft w:val="0"/>
      <w:marRight w:val="0"/>
      <w:marTop w:val="0"/>
      <w:marBottom w:val="0"/>
      <w:divBdr>
        <w:top w:val="none" w:sz="0" w:space="0" w:color="auto"/>
        <w:left w:val="none" w:sz="0" w:space="0" w:color="auto"/>
        <w:bottom w:val="none" w:sz="0" w:space="0" w:color="auto"/>
        <w:right w:val="none" w:sz="0" w:space="0" w:color="auto"/>
      </w:divBdr>
    </w:div>
    <w:div w:id="98379320">
      <w:bodyDiv w:val="1"/>
      <w:marLeft w:val="0"/>
      <w:marRight w:val="0"/>
      <w:marTop w:val="0"/>
      <w:marBottom w:val="0"/>
      <w:divBdr>
        <w:top w:val="none" w:sz="0" w:space="0" w:color="auto"/>
        <w:left w:val="none" w:sz="0" w:space="0" w:color="auto"/>
        <w:bottom w:val="none" w:sz="0" w:space="0" w:color="auto"/>
        <w:right w:val="none" w:sz="0" w:space="0" w:color="auto"/>
      </w:divBdr>
    </w:div>
    <w:div w:id="106195920">
      <w:bodyDiv w:val="1"/>
      <w:marLeft w:val="0"/>
      <w:marRight w:val="0"/>
      <w:marTop w:val="0"/>
      <w:marBottom w:val="0"/>
      <w:divBdr>
        <w:top w:val="none" w:sz="0" w:space="0" w:color="auto"/>
        <w:left w:val="none" w:sz="0" w:space="0" w:color="auto"/>
        <w:bottom w:val="none" w:sz="0" w:space="0" w:color="auto"/>
        <w:right w:val="none" w:sz="0" w:space="0" w:color="auto"/>
      </w:divBdr>
    </w:div>
    <w:div w:id="112946532">
      <w:bodyDiv w:val="1"/>
      <w:marLeft w:val="0"/>
      <w:marRight w:val="0"/>
      <w:marTop w:val="0"/>
      <w:marBottom w:val="0"/>
      <w:divBdr>
        <w:top w:val="none" w:sz="0" w:space="0" w:color="auto"/>
        <w:left w:val="none" w:sz="0" w:space="0" w:color="auto"/>
        <w:bottom w:val="none" w:sz="0" w:space="0" w:color="auto"/>
        <w:right w:val="none" w:sz="0" w:space="0" w:color="auto"/>
      </w:divBdr>
    </w:div>
    <w:div w:id="113139203">
      <w:bodyDiv w:val="1"/>
      <w:marLeft w:val="0"/>
      <w:marRight w:val="0"/>
      <w:marTop w:val="0"/>
      <w:marBottom w:val="0"/>
      <w:divBdr>
        <w:top w:val="none" w:sz="0" w:space="0" w:color="auto"/>
        <w:left w:val="none" w:sz="0" w:space="0" w:color="auto"/>
        <w:bottom w:val="none" w:sz="0" w:space="0" w:color="auto"/>
        <w:right w:val="none" w:sz="0" w:space="0" w:color="auto"/>
      </w:divBdr>
    </w:div>
    <w:div w:id="151066539">
      <w:bodyDiv w:val="1"/>
      <w:marLeft w:val="0"/>
      <w:marRight w:val="0"/>
      <w:marTop w:val="0"/>
      <w:marBottom w:val="0"/>
      <w:divBdr>
        <w:top w:val="none" w:sz="0" w:space="0" w:color="auto"/>
        <w:left w:val="none" w:sz="0" w:space="0" w:color="auto"/>
        <w:bottom w:val="none" w:sz="0" w:space="0" w:color="auto"/>
        <w:right w:val="none" w:sz="0" w:space="0" w:color="auto"/>
      </w:divBdr>
    </w:div>
    <w:div w:id="152184250">
      <w:bodyDiv w:val="1"/>
      <w:marLeft w:val="0"/>
      <w:marRight w:val="0"/>
      <w:marTop w:val="0"/>
      <w:marBottom w:val="0"/>
      <w:divBdr>
        <w:top w:val="none" w:sz="0" w:space="0" w:color="auto"/>
        <w:left w:val="none" w:sz="0" w:space="0" w:color="auto"/>
        <w:bottom w:val="none" w:sz="0" w:space="0" w:color="auto"/>
        <w:right w:val="none" w:sz="0" w:space="0" w:color="auto"/>
      </w:divBdr>
    </w:div>
    <w:div w:id="159001490">
      <w:bodyDiv w:val="1"/>
      <w:marLeft w:val="0"/>
      <w:marRight w:val="0"/>
      <w:marTop w:val="0"/>
      <w:marBottom w:val="0"/>
      <w:divBdr>
        <w:top w:val="none" w:sz="0" w:space="0" w:color="auto"/>
        <w:left w:val="none" w:sz="0" w:space="0" w:color="auto"/>
        <w:bottom w:val="none" w:sz="0" w:space="0" w:color="auto"/>
        <w:right w:val="none" w:sz="0" w:space="0" w:color="auto"/>
      </w:divBdr>
    </w:div>
    <w:div w:id="159781117">
      <w:bodyDiv w:val="1"/>
      <w:marLeft w:val="0"/>
      <w:marRight w:val="0"/>
      <w:marTop w:val="0"/>
      <w:marBottom w:val="0"/>
      <w:divBdr>
        <w:top w:val="none" w:sz="0" w:space="0" w:color="auto"/>
        <w:left w:val="none" w:sz="0" w:space="0" w:color="auto"/>
        <w:bottom w:val="none" w:sz="0" w:space="0" w:color="auto"/>
        <w:right w:val="none" w:sz="0" w:space="0" w:color="auto"/>
      </w:divBdr>
    </w:div>
    <w:div w:id="171454289">
      <w:bodyDiv w:val="1"/>
      <w:marLeft w:val="0"/>
      <w:marRight w:val="0"/>
      <w:marTop w:val="0"/>
      <w:marBottom w:val="0"/>
      <w:divBdr>
        <w:top w:val="none" w:sz="0" w:space="0" w:color="auto"/>
        <w:left w:val="none" w:sz="0" w:space="0" w:color="auto"/>
        <w:bottom w:val="none" w:sz="0" w:space="0" w:color="auto"/>
        <w:right w:val="none" w:sz="0" w:space="0" w:color="auto"/>
      </w:divBdr>
    </w:div>
    <w:div w:id="172305372">
      <w:bodyDiv w:val="1"/>
      <w:marLeft w:val="0"/>
      <w:marRight w:val="0"/>
      <w:marTop w:val="0"/>
      <w:marBottom w:val="0"/>
      <w:divBdr>
        <w:top w:val="none" w:sz="0" w:space="0" w:color="auto"/>
        <w:left w:val="none" w:sz="0" w:space="0" w:color="auto"/>
        <w:bottom w:val="none" w:sz="0" w:space="0" w:color="auto"/>
        <w:right w:val="none" w:sz="0" w:space="0" w:color="auto"/>
      </w:divBdr>
    </w:div>
    <w:div w:id="178669269">
      <w:bodyDiv w:val="1"/>
      <w:marLeft w:val="0"/>
      <w:marRight w:val="0"/>
      <w:marTop w:val="0"/>
      <w:marBottom w:val="0"/>
      <w:divBdr>
        <w:top w:val="none" w:sz="0" w:space="0" w:color="auto"/>
        <w:left w:val="none" w:sz="0" w:space="0" w:color="auto"/>
        <w:bottom w:val="none" w:sz="0" w:space="0" w:color="auto"/>
        <w:right w:val="none" w:sz="0" w:space="0" w:color="auto"/>
      </w:divBdr>
    </w:div>
    <w:div w:id="180704745">
      <w:bodyDiv w:val="1"/>
      <w:marLeft w:val="0"/>
      <w:marRight w:val="0"/>
      <w:marTop w:val="0"/>
      <w:marBottom w:val="0"/>
      <w:divBdr>
        <w:top w:val="none" w:sz="0" w:space="0" w:color="auto"/>
        <w:left w:val="none" w:sz="0" w:space="0" w:color="auto"/>
        <w:bottom w:val="none" w:sz="0" w:space="0" w:color="auto"/>
        <w:right w:val="none" w:sz="0" w:space="0" w:color="auto"/>
      </w:divBdr>
    </w:div>
    <w:div w:id="195851246">
      <w:bodyDiv w:val="1"/>
      <w:marLeft w:val="0"/>
      <w:marRight w:val="0"/>
      <w:marTop w:val="0"/>
      <w:marBottom w:val="0"/>
      <w:divBdr>
        <w:top w:val="none" w:sz="0" w:space="0" w:color="auto"/>
        <w:left w:val="none" w:sz="0" w:space="0" w:color="auto"/>
        <w:bottom w:val="none" w:sz="0" w:space="0" w:color="auto"/>
        <w:right w:val="none" w:sz="0" w:space="0" w:color="auto"/>
      </w:divBdr>
    </w:div>
    <w:div w:id="202982673">
      <w:bodyDiv w:val="1"/>
      <w:marLeft w:val="0"/>
      <w:marRight w:val="0"/>
      <w:marTop w:val="0"/>
      <w:marBottom w:val="0"/>
      <w:divBdr>
        <w:top w:val="none" w:sz="0" w:space="0" w:color="auto"/>
        <w:left w:val="none" w:sz="0" w:space="0" w:color="auto"/>
        <w:bottom w:val="none" w:sz="0" w:space="0" w:color="auto"/>
        <w:right w:val="none" w:sz="0" w:space="0" w:color="auto"/>
      </w:divBdr>
    </w:div>
    <w:div w:id="213935001">
      <w:bodyDiv w:val="1"/>
      <w:marLeft w:val="0"/>
      <w:marRight w:val="0"/>
      <w:marTop w:val="0"/>
      <w:marBottom w:val="0"/>
      <w:divBdr>
        <w:top w:val="none" w:sz="0" w:space="0" w:color="auto"/>
        <w:left w:val="none" w:sz="0" w:space="0" w:color="auto"/>
        <w:bottom w:val="none" w:sz="0" w:space="0" w:color="auto"/>
        <w:right w:val="none" w:sz="0" w:space="0" w:color="auto"/>
      </w:divBdr>
    </w:div>
    <w:div w:id="245501964">
      <w:bodyDiv w:val="1"/>
      <w:marLeft w:val="0"/>
      <w:marRight w:val="0"/>
      <w:marTop w:val="0"/>
      <w:marBottom w:val="0"/>
      <w:divBdr>
        <w:top w:val="none" w:sz="0" w:space="0" w:color="auto"/>
        <w:left w:val="none" w:sz="0" w:space="0" w:color="auto"/>
        <w:bottom w:val="none" w:sz="0" w:space="0" w:color="auto"/>
        <w:right w:val="none" w:sz="0" w:space="0" w:color="auto"/>
      </w:divBdr>
    </w:div>
    <w:div w:id="277376221">
      <w:bodyDiv w:val="1"/>
      <w:marLeft w:val="0"/>
      <w:marRight w:val="0"/>
      <w:marTop w:val="0"/>
      <w:marBottom w:val="0"/>
      <w:divBdr>
        <w:top w:val="none" w:sz="0" w:space="0" w:color="auto"/>
        <w:left w:val="none" w:sz="0" w:space="0" w:color="auto"/>
        <w:bottom w:val="none" w:sz="0" w:space="0" w:color="auto"/>
        <w:right w:val="none" w:sz="0" w:space="0" w:color="auto"/>
      </w:divBdr>
    </w:div>
    <w:div w:id="283660682">
      <w:bodyDiv w:val="1"/>
      <w:marLeft w:val="0"/>
      <w:marRight w:val="0"/>
      <w:marTop w:val="0"/>
      <w:marBottom w:val="0"/>
      <w:divBdr>
        <w:top w:val="none" w:sz="0" w:space="0" w:color="auto"/>
        <w:left w:val="none" w:sz="0" w:space="0" w:color="auto"/>
        <w:bottom w:val="none" w:sz="0" w:space="0" w:color="auto"/>
        <w:right w:val="none" w:sz="0" w:space="0" w:color="auto"/>
      </w:divBdr>
    </w:div>
    <w:div w:id="304161764">
      <w:bodyDiv w:val="1"/>
      <w:marLeft w:val="0"/>
      <w:marRight w:val="0"/>
      <w:marTop w:val="0"/>
      <w:marBottom w:val="0"/>
      <w:divBdr>
        <w:top w:val="none" w:sz="0" w:space="0" w:color="auto"/>
        <w:left w:val="none" w:sz="0" w:space="0" w:color="auto"/>
        <w:bottom w:val="none" w:sz="0" w:space="0" w:color="auto"/>
        <w:right w:val="none" w:sz="0" w:space="0" w:color="auto"/>
      </w:divBdr>
    </w:div>
    <w:div w:id="345210586">
      <w:bodyDiv w:val="1"/>
      <w:marLeft w:val="0"/>
      <w:marRight w:val="0"/>
      <w:marTop w:val="0"/>
      <w:marBottom w:val="0"/>
      <w:divBdr>
        <w:top w:val="none" w:sz="0" w:space="0" w:color="auto"/>
        <w:left w:val="none" w:sz="0" w:space="0" w:color="auto"/>
        <w:bottom w:val="none" w:sz="0" w:space="0" w:color="auto"/>
        <w:right w:val="none" w:sz="0" w:space="0" w:color="auto"/>
      </w:divBdr>
    </w:div>
    <w:div w:id="349988992">
      <w:bodyDiv w:val="1"/>
      <w:marLeft w:val="0"/>
      <w:marRight w:val="0"/>
      <w:marTop w:val="0"/>
      <w:marBottom w:val="0"/>
      <w:divBdr>
        <w:top w:val="none" w:sz="0" w:space="0" w:color="auto"/>
        <w:left w:val="none" w:sz="0" w:space="0" w:color="auto"/>
        <w:bottom w:val="none" w:sz="0" w:space="0" w:color="auto"/>
        <w:right w:val="none" w:sz="0" w:space="0" w:color="auto"/>
      </w:divBdr>
    </w:div>
    <w:div w:id="353768439">
      <w:bodyDiv w:val="1"/>
      <w:marLeft w:val="0"/>
      <w:marRight w:val="0"/>
      <w:marTop w:val="0"/>
      <w:marBottom w:val="0"/>
      <w:divBdr>
        <w:top w:val="none" w:sz="0" w:space="0" w:color="auto"/>
        <w:left w:val="none" w:sz="0" w:space="0" w:color="auto"/>
        <w:bottom w:val="none" w:sz="0" w:space="0" w:color="auto"/>
        <w:right w:val="none" w:sz="0" w:space="0" w:color="auto"/>
      </w:divBdr>
    </w:div>
    <w:div w:id="374621650">
      <w:bodyDiv w:val="1"/>
      <w:marLeft w:val="0"/>
      <w:marRight w:val="0"/>
      <w:marTop w:val="0"/>
      <w:marBottom w:val="0"/>
      <w:divBdr>
        <w:top w:val="none" w:sz="0" w:space="0" w:color="auto"/>
        <w:left w:val="none" w:sz="0" w:space="0" w:color="auto"/>
        <w:bottom w:val="none" w:sz="0" w:space="0" w:color="auto"/>
        <w:right w:val="none" w:sz="0" w:space="0" w:color="auto"/>
      </w:divBdr>
      <w:divsChild>
        <w:div w:id="49155567">
          <w:marLeft w:val="720"/>
          <w:marRight w:val="0"/>
          <w:marTop w:val="0"/>
          <w:marBottom w:val="0"/>
          <w:divBdr>
            <w:top w:val="none" w:sz="0" w:space="0" w:color="auto"/>
            <w:left w:val="none" w:sz="0" w:space="0" w:color="auto"/>
            <w:bottom w:val="none" w:sz="0" w:space="0" w:color="auto"/>
            <w:right w:val="none" w:sz="0" w:space="0" w:color="auto"/>
          </w:divBdr>
        </w:div>
        <w:div w:id="1530530486">
          <w:marLeft w:val="720"/>
          <w:marRight w:val="0"/>
          <w:marTop w:val="0"/>
          <w:marBottom w:val="0"/>
          <w:divBdr>
            <w:top w:val="none" w:sz="0" w:space="0" w:color="auto"/>
            <w:left w:val="none" w:sz="0" w:space="0" w:color="auto"/>
            <w:bottom w:val="none" w:sz="0" w:space="0" w:color="auto"/>
            <w:right w:val="none" w:sz="0" w:space="0" w:color="auto"/>
          </w:divBdr>
        </w:div>
        <w:div w:id="1868789928">
          <w:marLeft w:val="720"/>
          <w:marRight w:val="0"/>
          <w:marTop w:val="0"/>
          <w:marBottom w:val="0"/>
          <w:divBdr>
            <w:top w:val="none" w:sz="0" w:space="0" w:color="auto"/>
            <w:left w:val="none" w:sz="0" w:space="0" w:color="auto"/>
            <w:bottom w:val="none" w:sz="0" w:space="0" w:color="auto"/>
            <w:right w:val="none" w:sz="0" w:space="0" w:color="auto"/>
          </w:divBdr>
        </w:div>
      </w:divsChild>
    </w:div>
    <w:div w:id="401030307">
      <w:bodyDiv w:val="1"/>
      <w:marLeft w:val="0"/>
      <w:marRight w:val="0"/>
      <w:marTop w:val="0"/>
      <w:marBottom w:val="0"/>
      <w:divBdr>
        <w:top w:val="none" w:sz="0" w:space="0" w:color="auto"/>
        <w:left w:val="none" w:sz="0" w:space="0" w:color="auto"/>
        <w:bottom w:val="none" w:sz="0" w:space="0" w:color="auto"/>
        <w:right w:val="none" w:sz="0" w:space="0" w:color="auto"/>
      </w:divBdr>
    </w:div>
    <w:div w:id="420107532">
      <w:bodyDiv w:val="1"/>
      <w:marLeft w:val="0"/>
      <w:marRight w:val="0"/>
      <w:marTop w:val="0"/>
      <w:marBottom w:val="0"/>
      <w:divBdr>
        <w:top w:val="none" w:sz="0" w:space="0" w:color="auto"/>
        <w:left w:val="none" w:sz="0" w:space="0" w:color="auto"/>
        <w:bottom w:val="none" w:sz="0" w:space="0" w:color="auto"/>
        <w:right w:val="none" w:sz="0" w:space="0" w:color="auto"/>
      </w:divBdr>
    </w:div>
    <w:div w:id="420877465">
      <w:bodyDiv w:val="1"/>
      <w:marLeft w:val="0"/>
      <w:marRight w:val="0"/>
      <w:marTop w:val="0"/>
      <w:marBottom w:val="0"/>
      <w:divBdr>
        <w:top w:val="none" w:sz="0" w:space="0" w:color="auto"/>
        <w:left w:val="none" w:sz="0" w:space="0" w:color="auto"/>
        <w:bottom w:val="none" w:sz="0" w:space="0" w:color="auto"/>
        <w:right w:val="none" w:sz="0" w:space="0" w:color="auto"/>
      </w:divBdr>
    </w:div>
    <w:div w:id="436171780">
      <w:bodyDiv w:val="1"/>
      <w:marLeft w:val="0"/>
      <w:marRight w:val="0"/>
      <w:marTop w:val="0"/>
      <w:marBottom w:val="0"/>
      <w:divBdr>
        <w:top w:val="none" w:sz="0" w:space="0" w:color="auto"/>
        <w:left w:val="none" w:sz="0" w:space="0" w:color="auto"/>
        <w:bottom w:val="none" w:sz="0" w:space="0" w:color="auto"/>
        <w:right w:val="none" w:sz="0" w:space="0" w:color="auto"/>
      </w:divBdr>
    </w:div>
    <w:div w:id="446045279">
      <w:bodyDiv w:val="1"/>
      <w:marLeft w:val="0"/>
      <w:marRight w:val="0"/>
      <w:marTop w:val="0"/>
      <w:marBottom w:val="0"/>
      <w:divBdr>
        <w:top w:val="none" w:sz="0" w:space="0" w:color="auto"/>
        <w:left w:val="none" w:sz="0" w:space="0" w:color="auto"/>
        <w:bottom w:val="none" w:sz="0" w:space="0" w:color="auto"/>
        <w:right w:val="none" w:sz="0" w:space="0" w:color="auto"/>
      </w:divBdr>
    </w:div>
    <w:div w:id="455370368">
      <w:bodyDiv w:val="1"/>
      <w:marLeft w:val="0"/>
      <w:marRight w:val="0"/>
      <w:marTop w:val="0"/>
      <w:marBottom w:val="0"/>
      <w:divBdr>
        <w:top w:val="none" w:sz="0" w:space="0" w:color="auto"/>
        <w:left w:val="none" w:sz="0" w:space="0" w:color="auto"/>
        <w:bottom w:val="none" w:sz="0" w:space="0" w:color="auto"/>
        <w:right w:val="none" w:sz="0" w:space="0" w:color="auto"/>
      </w:divBdr>
    </w:div>
    <w:div w:id="475680564">
      <w:bodyDiv w:val="1"/>
      <w:marLeft w:val="0"/>
      <w:marRight w:val="0"/>
      <w:marTop w:val="0"/>
      <w:marBottom w:val="0"/>
      <w:divBdr>
        <w:top w:val="none" w:sz="0" w:space="0" w:color="auto"/>
        <w:left w:val="none" w:sz="0" w:space="0" w:color="auto"/>
        <w:bottom w:val="none" w:sz="0" w:space="0" w:color="auto"/>
        <w:right w:val="none" w:sz="0" w:space="0" w:color="auto"/>
      </w:divBdr>
    </w:div>
    <w:div w:id="476383945">
      <w:bodyDiv w:val="1"/>
      <w:marLeft w:val="0"/>
      <w:marRight w:val="0"/>
      <w:marTop w:val="0"/>
      <w:marBottom w:val="0"/>
      <w:divBdr>
        <w:top w:val="none" w:sz="0" w:space="0" w:color="auto"/>
        <w:left w:val="none" w:sz="0" w:space="0" w:color="auto"/>
        <w:bottom w:val="none" w:sz="0" w:space="0" w:color="auto"/>
        <w:right w:val="none" w:sz="0" w:space="0" w:color="auto"/>
      </w:divBdr>
    </w:div>
    <w:div w:id="478230296">
      <w:bodyDiv w:val="1"/>
      <w:marLeft w:val="0"/>
      <w:marRight w:val="0"/>
      <w:marTop w:val="0"/>
      <w:marBottom w:val="0"/>
      <w:divBdr>
        <w:top w:val="none" w:sz="0" w:space="0" w:color="auto"/>
        <w:left w:val="none" w:sz="0" w:space="0" w:color="auto"/>
        <w:bottom w:val="none" w:sz="0" w:space="0" w:color="auto"/>
        <w:right w:val="none" w:sz="0" w:space="0" w:color="auto"/>
      </w:divBdr>
    </w:div>
    <w:div w:id="487483702">
      <w:bodyDiv w:val="1"/>
      <w:marLeft w:val="0"/>
      <w:marRight w:val="0"/>
      <w:marTop w:val="0"/>
      <w:marBottom w:val="0"/>
      <w:divBdr>
        <w:top w:val="none" w:sz="0" w:space="0" w:color="auto"/>
        <w:left w:val="none" w:sz="0" w:space="0" w:color="auto"/>
        <w:bottom w:val="none" w:sz="0" w:space="0" w:color="auto"/>
        <w:right w:val="none" w:sz="0" w:space="0" w:color="auto"/>
      </w:divBdr>
    </w:div>
    <w:div w:id="488137493">
      <w:bodyDiv w:val="1"/>
      <w:marLeft w:val="0"/>
      <w:marRight w:val="0"/>
      <w:marTop w:val="0"/>
      <w:marBottom w:val="0"/>
      <w:divBdr>
        <w:top w:val="none" w:sz="0" w:space="0" w:color="auto"/>
        <w:left w:val="none" w:sz="0" w:space="0" w:color="auto"/>
        <w:bottom w:val="none" w:sz="0" w:space="0" w:color="auto"/>
        <w:right w:val="none" w:sz="0" w:space="0" w:color="auto"/>
      </w:divBdr>
    </w:div>
    <w:div w:id="506597743">
      <w:bodyDiv w:val="1"/>
      <w:marLeft w:val="0"/>
      <w:marRight w:val="0"/>
      <w:marTop w:val="0"/>
      <w:marBottom w:val="0"/>
      <w:divBdr>
        <w:top w:val="none" w:sz="0" w:space="0" w:color="auto"/>
        <w:left w:val="none" w:sz="0" w:space="0" w:color="auto"/>
        <w:bottom w:val="none" w:sz="0" w:space="0" w:color="auto"/>
        <w:right w:val="none" w:sz="0" w:space="0" w:color="auto"/>
      </w:divBdr>
    </w:div>
    <w:div w:id="520053739">
      <w:bodyDiv w:val="1"/>
      <w:marLeft w:val="0"/>
      <w:marRight w:val="0"/>
      <w:marTop w:val="0"/>
      <w:marBottom w:val="0"/>
      <w:divBdr>
        <w:top w:val="none" w:sz="0" w:space="0" w:color="auto"/>
        <w:left w:val="none" w:sz="0" w:space="0" w:color="auto"/>
        <w:bottom w:val="none" w:sz="0" w:space="0" w:color="auto"/>
        <w:right w:val="none" w:sz="0" w:space="0" w:color="auto"/>
      </w:divBdr>
    </w:div>
    <w:div w:id="523906512">
      <w:bodyDiv w:val="1"/>
      <w:marLeft w:val="0"/>
      <w:marRight w:val="0"/>
      <w:marTop w:val="0"/>
      <w:marBottom w:val="0"/>
      <w:divBdr>
        <w:top w:val="none" w:sz="0" w:space="0" w:color="auto"/>
        <w:left w:val="none" w:sz="0" w:space="0" w:color="auto"/>
        <w:bottom w:val="none" w:sz="0" w:space="0" w:color="auto"/>
        <w:right w:val="none" w:sz="0" w:space="0" w:color="auto"/>
      </w:divBdr>
    </w:div>
    <w:div w:id="537352699">
      <w:bodyDiv w:val="1"/>
      <w:marLeft w:val="0"/>
      <w:marRight w:val="0"/>
      <w:marTop w:val="0"/>
      <w:marBottom w:val="0"/>
      <w:divBdr>
        <w:top w:val="none" w:sz="0" w:space="0" w:color="auto"/>
        <w:left w:val="none" w:sz="0" w:space="0" w:color="auto"/>
        <w:bottom w:val="none" w:sz="0" w:space="0" w:color="auto"/>
        <w:right w:val="none" w:sz="0" w:space="0" w:color="auto"/>
      </w:divBdr>
    </w:div>
    <w:div w:id="538473738">
      <w:bodyDiv w:val="1"/>
      <w:marLeft w:val="0"/>
      <w:marRight w:val="0"/>
      <w:marTop w:val="0"/>
      <w:marBottom w:val="0"/>
      <w:divBdr>
        <w:top w:val="none" w:sz="0" w:space="0" w:color="auto"/>
        <w:left w:val="none" w:sz="0" w:space="0" w:color="auto"/>
        <w:bottom w:val="none" w:sz="0" w:space="0" w:color="auto"/>
        <w:right w:val="none" w:sz="0" w:space="0" w:color="auto"/>
      </w:divBdr>
    </w:div>
    <w:div w:id="545335321">
      <w:bodyDiv w:val="1"/>
      <w:marLeft w:val="0"/>
      <w:marRight w:val="0"/>
      <w:marTop w:val="0"/>
      <w:marBottom w:val="0"/>
      <w:divBdr>
        <w:top w:val="none" w:sz="0" w:space="0" w:color="auto"/>
        <w:left w:val="none" w:sz="0" w:space="0" w:color="auto"/>
        <w:bottom w:val="none" w:sz="0" w:space="0" w:color="auto"/>
        <w:right w:val="none" w:sz="0" w:space="0" w:color="auto"/>
      </w:divBdr>
    </w:div>
    <w:div w:id="555822628">
      <w:bodyDiv w:val="1"/>
      <w:marLeft w:val="0"/>
      <w:marRight w:val="0"/>
      <w:marTop w:val="0"/>
      <w:marBottom w:val="0"/>
      <w:divBdr>
        <w:top w:val="none" w:sz="0" w:space="0" w:color="auto"/>
        <w:left w:val="none" w:sz="0" w:space="0" w:color="auto"/>
        <w:bottom w:val="none" w:sz="0" w:space="0" w:color="auto"/>
        <w:right w:val="none" w:sz="0" w:space="0" w:color="auto"/>
      </w:divBdr>
    </w:div>
    <w:div w:id="579487761">
      <w:bodyDiv w:val="1"/>
      <w:marLeft w:val="0"/>
      <w:marRight w:val="0"/>
      <w:marTop w:val="0"/>
      <w:marBottom w:val="0"/>
      <w:divBdr>
        <w:top w:val="none" w:sz="0" w:space="0" w:color="auto"/>
        <w:left w:val="none" w:sz="0" w:space="0" w:color="auto"/>
        <w:bottom w:val="none" w:sz="0" w:space="0" w:color="auto"/>
        <w:right w:val="none" w:sz="0" w:space="0" w:color="auto"/>
      </w:divBdr>
    </w:div>
    <w:div w:id="581960382">
      <w:bodyDiv w:val="1"/>
      <w:marLeft w:val="0"/>
      <w:marRight w:val="0"/>
      <w:marTop w:val="0"/>
      <w:marBottom w:val="0"/>
      <w:divBdr>
        <w:top w:val="none" w:sz="0" w:space="0" w:color="auto"/>
        <w:left w:val="none" w:sz="0" w:space="0" w:color="auto"/>
        <w:bottom w:val="none" w:sz="0" w:space="0" w:color="auto"/>
        <w:right w:val="none" w:sz="0" w:space="0" w:color="auto"/>
      </w:divBdr>
    </w:div>
    <w:div w:id="595672680">
      <w:bodyDiv w:val="1"/>
      <w:marLeft w:val="0"/>
      <w:marRight w:val="0"/>
      <w:marTop w:val="0"/>
      <w:marBottom w:val="0"/>
      <w:divBdr>
        <w:top w:val="none" w:sz="0" w:space="0" w:color="auto"/>
        <w:left w:val="none" w:sz="0" w:space="0" w:color="auto"/>
        <w:bottom w:val="none" w:sz="0" w:space="0" w:color="auto"/>
        <w:right w:val="none" w:sz="0" w:space="0" w:color="auto"/>
      </w:divBdr>
    </w:div>
    <w:div w:id="600067634">
      <w:bodyDiv w:val="1"/>
      <w:marLeft w:val="0"/>
      <w:marRight w:val="0"/>
      <w:marTop w:val="0"/>
      <w:marBottom w:val="0"/>
      <w:divBdr>
        <w:top w:val="none" w:sz="0" w:space="0" w:color="auto"/>
        <w:left w:val="none" w:sz="0" w:space="0" w:color="auto"/>
        <w:bottom w:val="none" w:sz="0" w:space="0" w:color="auto"/>
        <w:right w:val="none" w:sz="0" w:space="0" w:color="auto"/>
      </w:divBdr>
    </w:div>
    <w:div w:id="604191453">
      <w:bodyDiv w:val="1"/>
      <w:marLeft w:val="0"/>
      <w:marRight w:val="0"/>
      <w:marTop w:val="0"/>
      <w:marBottom w:val="0"/>
      <w:divBdr>
        <w:top w:val="none" w:sz="0" w:space="0" w:color="auto"/>
        <w:left w:val="none" w:sz="0" w:space="0" w:color="auto"/>
        <w:bottom w:val="none" w:sz="0" w:space="0" w:color="auto"/>
        <w:right w:val="none" w:sz="0" w:space="0" w:color="auto"/>
      </w:divBdr>
    </w:div>
    <w:div w:id="620499895">
      <w:bodyDiv w:val="1"/>
      <w:marLeft w:val="0"/>
      <w:marRight w:val="0"/>
      <w:marTop w:val="0"/>
      <w:marBottom w:val="0"/>
      <w:divBdr>
        <w:top w:val="none" w:sz="0" w:space="0" w:color="auto"/>
        <w:left w:val="none" w:sz="0" w:space="0" w:color="auto"/>
        <w:bottom w:val="none" w:sz="0" w:space="0" w:color="auto"/>
        <w:right w:val="none" w:sz="0" w:space="0" w:color="auto"/>
      </w:divBdr>
    </w:div>
    <w:div w:id="622419669">
      <w:bodyDiv w:val="1"/>
      <w:marLeft w:val="0"/>
      <w:marRight w:val="0"/>
      <w:marTop w:val="0"/>
      <w:marBottom w:val="0"/>
      <w:divBdr>
        <w:top w:val="none" w:sz="0" w:space="0" w:color="auto"/>
        <w:left w:val="none" w:sz="0" w:space="0" w:color="auto"/>
        <w:bottom w:val="none" w:sz="0" w:space="0" w:color="auto"/>
        <w:right w:val="none" w:sz="0" w:space="0" w:color="auto"/>
      </w:divBdr>
    </w:div>
    <w:div w:id="623001113">
      <w:bodyDiv w:val="1"/>
      <w:marLeft w:val="0"/>
      <w:marRight w:val="0"/>
      <w:marTop w:val="0"/>
      <w:marBottom w:val="0"/>
      <w:divBdr>
        <w:top w:val="none" w:sz="0" w:space="0" w:color="auto"/>
        <w:left w:val="none" w:sz="0" w:space="0" w:color="auto"/>
        <w:bottom w:val="none" w:sz="0" w:space="0" w:color="auto"/>
        <w:right w:val="none" w:sz="0" w:space="0" w:color="auto"/>
      </w:divBdr>
    </w:div>
    <w:div w:id="632322214">
      <w:bodyDiv w:val="1"/>
      <w:marLeft w:val="0"/>
      <w:marRight w:val="0"/>
      <w:marTop w:val="0"/>
      <w:marBottom w:val="0"/>
      <w:divBdr>
        <w:top w:val="none" w:sz="0" w:space="0" w:color="auto"/>
        <w:left w:val="none" w:sz="0" w:space="0" w:color="auto"/>
        <w:bottom w:val="none" w:sz="0" w:space="0" w:color="auto"/>
        <w:right w:val="none" w:sz="0" w:space="0" w:color="auto"/>
      </w:divBdr>
    </w:div>
    <w:div w:id="650183154">
      <w:bodyDiv w:val="1"/>
      <w:marLeft w:val="0"/>
      <w:marRight w:val="0"/>
      <w:marTop w:val="0"/>
      <w:marBottom w:val="0"/>
      <w:divBdr>
        <w:top w:val="none" w:sz="0" w:space="0" w:color="auto"/>
        <w:left w:val="none" w:sz="0" w:space="0" w:color="auto"/>
        <w:bottom w:val="none" w:sz="0" w:space="0" w:color="auto"/>
        <w:right w:val="none" w:sz="0" w:space="0" w:color="auto"/>
      </w:divBdr>
    </w:div>
    <w:div w:id="651568803">
      <w:bodyDiv w:val="1"/>
      <w:marLeft w:val="0"/>
      <w:marRight w:val="0"/>
      <w:marTop w:val="0"/>
      <w:marBottom w:val="0"/>
      <w:divBdr>
        <w:top w:val="none" w:sz="0" w:space="0" w:color="auto"/>
        <w:left w:val="none" w:sz="0" w:space="0" w:color="auto"/>
        <w:bottom w:val="none" w:sz="0" w:space="0" w:color="auto"/>
        <w:right w:val="none" w:sz="0" w:space="0" w:color="auto"/>
      </w:divBdr>
    </w:div>
    <w:div w:id="653294535">
      <w:bodyDiv w:val="1"/>
      <w:marLeft w:val="0"/>
      <w:marRight w:val="0"/>
      <w:marTop w:val="0"/>
      <w:marBottom w:val="0"/>
      <w:divBdr>
        <w:top w:val="none" w:sz="0" w:space="0" w:color="auto"/>
        <w:left w:val="none" w:sz="0" w:space="0" w:color="auto"/>
        <w:bottom w:val="none" w:sz="0" w:space="0" w:color="auto"/>
        <w:right w:val="none" w:sz="0" w:space="0" w:color="auto"/>
      </w:divBdr>
    </w:div>
    <w:div w:id="683433671">
      <w:bodyDiv w:val="1"/>
      <w:marLeft w:val="0"/>
      <w:marRight w:val="0"/>
      <w:marTop w:val="0"/>
      <w:marBottom w:val="0"/>
      <w:divBdr>
        <w:top w:val="none" w:sz="0" w:space="0" w:color="auto"/>
        <w:left w:val="none" w:sz="0" w:space="0" w:color="auto"/>
        <w:bottom w:val="none" w:sz="0" w:space="0" w:color="auto"/>
        <w:right w:val="none" w:sz="0" w:space="0" w:color="auto"/>
      </w:divBdr>
    </w:div>
    <w:div w:id="683749033">
      <w:bodyDiv w:val="1"/>
      <w:marLeft w:val="0"/>
      <w:marRight w:val="0"/>
      <w:marTop w:val="0"/>
      <w:marBottom w:val="0"/>
      <w:divBdr>
        <w:top w:val="none" w:sz="0" w:space="0" w:color="auto"/>
        <w:left w:val="none" w:sz="0" w:space="0" w:color="auto"/>
        <w:bottom w:val="none" w:sz="0" w:space="0" w:color="auto"/>
        <w:right w:val="none" w:sz="0" w:space="0" w:color="auto"/>
      </w:divBdr>
    </w:div>
    <w:div w:id="690183205">
      <w:bodyDiv w:val="1"/>
      <w:marLeft w:val="0"/>
      <w:marRight w:val="0"/>
      <w:marTop w:val="0"/>
      <w:marBottom w:val="0"/>
      <w:divBdr>
        <w:top w:val="none" w:sz="0" w:space="0" w:color="auto"/>
        <w:left w:val="none" w:sz="0" w:space="0" w:color="auto"/>
        <w:bottom w:val="none" w:sz="0" w:space="0" w:color="auto"/>
        <w:right w:val="none" w:sz="0" w:space="0" w:color="auto"/>
      </w:divBdr>
    </w:div>
    <w:div w:id="698900105">
      <w:bodyDiv w:val="1"/>
      <w:marLeft w:val="0"/>
      <w:marRight w:val="0"/>
      <w:marTop w:val="0"/>
      <w:marBottom w:val="0"/>
      <w:divBdr>
        <w:top w:val="none" w:sz="0" w:space="0" w:color="auto"/>
        <w:left w:val="none" w:sz="0" w:space="0" w:color="auto"/>
        <w:bottom w:val="none" w:sz="0" w:space="0" w:color="auto"/>
        <w:right w:val="none" w:sz="0" w:space="0" w:color="auto"/>
      </w:divBdr>
    </w:div>
    <w:div w:id="721634951">
      <w:bodyDiv w:val="1"/>
      <w:marLeft w:val="0"/>
      <w:marRight w:val="0"/>
      <w:marTop w:val="0"/>
      <w:marBottom w:val="0"/>
      <w:divBdr>
        <w:top w:val="none" w:sz="0" w:space="0" w:color="auto"/>
        <w:left w:val="none" w:sz="0" w:space="0" w:color="auto"/>
        <w:bottom w:val="none" w:sz="0" w:space="0" w:color="auto"/>
        <w:right w:val="none" w:sz="0" w:space="0" w:color="auto"/>
      </w:divBdr>
    </w:div>
    <w:div w:id="734666732">
      <w:bodyDiv w:val="1"/>
      <w:marLeft w:val="0"/>
      <w:marRight w:val="0"/>
      <w:marTop w:val="0"/>
      <w:marBottom w:val="0"/>
      <w:divBdr>
        <w:top w:val="none" w:sz="0" w:space="0" w:color="auto"/>
        <w:left w:val="none" w:sz="0" w:space="0" w:color="auto"/>
        <w:bottom w:val="none" w:sz="0" w:space="0" w:color="auto"/>
        <w:right w:val="none" w:sz="0" w:space="0" w:color="auto"/>
      </w:divBdr>
      <w:divsChild>
        <w:div w:id="922683427">
          <w:marLeft w:val="0"/>
          <w:marRight w:val="0"/>
          <w:marTop w:val="0"/>
          <w:marBottom w:val="0"/>
          <w:divBdr>
            <w:top w:val="none" w:sz="0" w:space="0" w:color="auto"/>
            <w:left w:val="none" w:sz="0" w:space="0" w:color="auto"/>
            <w:bottom w:val="none" w:sz="0" w:space="0" w:color="auto"/>
            <w:right w:val="none" w:sz="0" w:space="0" w:color="auto"/>
          </w:divBdr>
        </w:div>
      </w:divsChild>
    </w:div>
    <w:div w:id="735014217">
      <w:bodyDiv w:val="1"/>
      <w:marLeft w:val="0"/>
      <w:marRight w:val="0"/>
      <w:marTop w:val="0"/>
      <w:marBottom w:val="0"/>
      <w:divBdr>
        <w:top w:val="none" w:sz="0" w:space="0" w:color="auto"/>
        <w:left w:val="none" w:sz="0" w:space="0" w:color="auto"/>
        <w:bottom w:val="none" w:sz="0" w:space="0" w:color="auto"/>
        <w:right w:val="none" w:sz="0" w:space="0" w:color="auto"/>
      </w:divBdr>
    </w:div>
    <w:div w:id="743263557">
      <w:bodyDiv w:val="1"/>
      <w:marLeft w:val="0"/>
      <w:marRight w:val="0"/>
      <w:marTop w:val="0"/>
      <w:marBottom w:val="0"/>
      <w:divBdr>
        <w:top w:val="none" w:sz="0" w:space="0" w:color="auto"/>
        <w:left w:val="none" w:sz="0" w:space="0" w:color="auto"/>
        <w:bottom w:val="none" w:sz="0" w:space="0" w:color="auto"/>
        <w:right w:val="none" w:sz="0" w:space="0" w:color="auto"/>
      </w:divBdr>
    </w:div>
    <w:div w:id="752626136">
      <w:bodyDiv w:val="1"/>
      <w:marLeft w:val="0"/>
      <w:marRight w:val="0"/>
      <w:marTop w:val="0"/>
      <w:marBottom w:val="0"/>
      <w:divBdr>
        <w:top w:val="none" w:sz="0" w:space="0" w:color="auto"/>
        <w:left w:val="none" w:sz="0" w:space="0" w:color="auto"/>
        <w:bottom w:val="none" w:sz="0" w:space="0" w:color="auto"/>
        <w:right w:val="none" w:sz="0" w:space="0" w:color="auto"/>
      </w:divBdr>
    </w:div>
    <w:div w:id="787891016">
      <w:bodyDiv w:val="1"/>
      <w:marLeft w:val="0"/>
      <w:marRight w:val="0"/>
      <w:marTop w:val="0"/>
      <w:marBottom w:val="0"/>
      <w:divBdr>
        <w:top w:val="none" w:sz="0" w:space="0" w:color="auto"/>
        <w:left w:val="none" w:sz="0" w:space="0" w:color="auto"/>
        <w:bottom w:val="none" w:sz="0" w:space="0" w:color="auto"/>
        <w:right w:val="none" w:sz="0" w:space="0" w:color="auto"/>
      </w:divBdr>
    </w:div>
    <w:div w:id="796799363">
      <w:bodyDiv w:val="1"/>
      <w:marLeft w:val="0"/>
      <w:marRight w:val="0"/>
      <w:marTop w:val="0"/>
      <w:marBottom w:val="0"/>
      <w:divBdr>
        <w:top w:val="none" w:sz="0" w:space="0" w:color="auto"/>
        <w:left w:val="none" w:sz="0" w:space="0" w:color="auto"/>
        <w:bottom w:val="none" w:sz="0" w:space="0" w:color="auto"/>
        <w:right w:val="none" w:sz="0" w:space="0" w:color="auto"/>
      </w:divBdr>
    </w:div>
    <w:div w:id="801658046">
      <w:bodyDiv w:val="1"/>
      <w:marLeft w:val="0"/>
      <w:marRight w:val="0"/>
      <w:marTop w:val="0"/>
      <w:marBottom w:val="0"/>
      <w:divBdr>
        <w:top w:val="none" w:sz="0" w:space="0" w:color="auto"/>
        <w:left w:val="none" w:sz="0" w:space="0" w:color="auto"/>
        <w:bottom w:val="none" w:sz="0" w:space="0" w:color="auto"/>
        <w:right w:val="none" w:sz="0" w:space="0" w:color="auto"/>
      </w:divBdr>
    </w:div>
    <w:div w:id="818770011">
      <w:bodyDiv w:val="1"/>
      <w:marLeft w:val="0"/>
      <w:marRight w:val="0"/>
      <w:marTop w:val="0"/>
      <w:marBottom w:val="0"/>
      <w:divBdr>
        <w:top w:val="none" w:sz="0" w:space="0" w:color="auto"/>
        <w:left w:val="none" w:sz="0" w:space="0" w:color="auto"/>
        <w:bottom w:val="none" w:sz="0" w:space="0" w:color="auto"/>
        <w:right w:val="none" w:sz="0" w:space="0" w:color="auto"/>
      </w:divBdr>
    </w:div>
    <w:div w:id="839004149">
      <w:bodyDiv w:val="1"/>
      <w:marLeft w:val="0"/>
      <w:marRight w:val="0"/>
      <w:marTop w:val="0"/>
      <w:marBottom w:val="0"/>
      <w:divBdr>
        <w:top w:val="none" w:sz="0" w:space="0" w:color="auto"/>
        <w:left w:val="none" w:sz="0" w:space="0" w:color="auto"/>
        <w:bottom w:val="none" w:sz="0" w:space="0" w:color="auto"/>
        <w:right w:val="none" w:sz="0" w:space="0" w:color="auto"/>
      </w:divBdr>
    </w:div>
    <w:div w:id="852451043">
      <w:bodyDiv w:val="1"/>
      <w:marLeft w:val="0"/>
      <w:marRight w:val="0"/>
      <w:marTop w:val="0"/>
      <w:marBottom w:val="0"/>
      <w:divBdr>
        <w:top w:val="none" w:sz="0" w:space="0" w:color="auto"/>
        <w:left w:val="none" w:sz="0" w:space="0" w:color="auto"/>
        <w:bottom w:val="none" w:sz="0" w:space="0" w:color="auto"/>
        <w:right w:val="none" w:sz="0" w:space="0" w:color="auto"/>
      </w:divBdr>
    </w:div>
    <w:div w:id="865407991">
      <w:bodyDiv w:val="1"/>
      <w:marLeft w:val="0"/>
      <w:marRight w:val="0"/>
      <w:marTop w:val="0"/>
      <w:marBottom w:val="0"/>
      <w:divBdr>
        <w:top w:val="none" w:sz="0" w:space="0" w:color="auto"/>
        <w:left w:val="none" w:sz="0" w:space="0" w:color="auto"/>
        <w:bottom w:val="none" w:sz="0" w:space="0" w:color="auto"/>
        <w:right w:val="none" w:sz="0" w:space="0" w:color="auto"/>
      </w:divBdr>
    </w:div>
    <w:div w:id="876968764">
      <w:bodyDiv w:val="1"/>
      <w:marLeft w:val="0"/>
      <w:marRight w:val="0"/>
      <w:marTop w:val="0"/>
      <w:marBottom w:val="0"/>
      <w:divBdr>
        <w:top w:val="none" w:sz="0" w:space="0" w:color="auto"/>
        <w:left w:val="none" w:sz="0" w:space="0" w:color="auto"/>
        <w:bottom w:val="none" w:sz="0" w:space="0" w:color="auto"/>
        <w:right w:val="none" w:sz="0" w:space="0" w:color="auto"/>
      </w:divBdr>
    </w:div>
    <w:div w:id="889876366">
      <w:bodyDiv w:val="1"/>
      <w:marLeft w:val="0"/>
      <w:marRight w:val="0"/>
      <w:marTop w:val="0"/>
      <w:marBottom w:val="0"/>
      <w:divBdr>
        <w:top w:val="none" w:sz="0" w:space="0" w:color="auto"/>
        <w:left w:val="none" w:sz="0" w:space="0" w:color="auto"/>
        <w:bottom w:val="none" w:sz="0" w:space="0" w:color="auto"/>
        <w:right w:val="none" w:sz="0" w:space="0" w:color="auto"/>
      </w:divBdr>
    </w:div>
    <w:div w:id="911501163">
      <w:bodyDiv w:val="1"/>
      <w:marLeft w:val="0"/>
      <w:marRight w:val="0"/>
      <w:marTop w:val="0"/>
      <w:marBottom w:val="0"/>
      <w:divBdr>
        <w:top w:val="none" w:sz="0" w:space="0" w:color="auto"/>
        <w:left w:val="none" w:sz="0" w:space="0" w:color="auto"/>
        <w:bottom w:val="none" w:sz="0" w:space="0" w:color="auto"/>
        <w:right w:val="none" w:sz="0" w:space="0" w:color="auto"/>
      </w:divBdr>
    </w:div>
    <w:div w:id="923680913">
      <w:bodyDiv w:val="1"/>
      <w:marLeft w:val="0"/>
      <w:marRight w:val="0"/>
      <w:marTop w:val="0"/>
      <w:marBottom w:val="0"/>
      <w:divBdr>
        <w:top w:val="none" w:sz="0" w:space="0" w:color="auto"/>
        <w:left w:val="none" w:sz="0" w:space="0" w:color="auto"/>
        <w:bottom w:val="none" w:sz="0" w:space="0" w:color="auto"/>
        <w:right w:val="none" w:sz="0" w:space="0" w:color="auto"/>
      </w:divBdr>
    </w:div>
    <w:div w:id="925769823">
      <w:bodyDiv w:val="1"/>
      <w:marLeft w:val="0"/>
      <w:marRight w:val="0"/>
      <w:marTop w:val="0"/>
      <w:marBottom w:val="0"/>
      <w:divBdr>
        <w:top w:val="none" w:sz="0" w:space="0" w:color="auto"/>
        <w:left w:val="none" w:sz="0" w:space="0" w:color="auto"/>
        <w:bottom w:val="none" w:sz="0" w:space="0" w:color="auto"/>
        <w:right w:val="none" w:sz="0" w:space="0" w:color="auto"/>
      </w:divBdr>
    </w:div>
    <w:div w:id="947393852">
      <w:bodyDiv w:val="1"/>
      <w:marLeft w:val="0"/>
      <w:marRight w:val="0"/>
      <w:marTop w:val="0"/>
      <w:marBottom w:val="0"/>
      <w:divBdr>
        <w:top w:val="none" w:sz="0" w:space="0" w:color="auto"/>
        <w:left w:val="none" w:sz="0" w:space="0" w:color="auto"/>
        <w:bottom w:val="none" w:sz="0" w:space="0" w:color="auto"/>
        <w:right w:val="none" w:sz="0" w:space="0" w:color="auto"/>
      </w:divBdr>
    </w:div>
    <w:div w:id="964121915">
      <w:bodyDiv w:val="1"/>
      <w:marLeft w:val="0"/>
      <w:marRight w:val="0"/>
      <w:marTop w:val="0"/>
      <w:marBottom w:val="0"/>
      <w:divBdr>
        <w:top w:val="none" w:sz="0" w:space="0" w:color="auto"/>
        <w:left w:val="none" w:sz="0" w:space="0" w:color="auto"/>
        <w:bottom w:val="none" w:sz="0" w:space="0" w:color="auto"/>
        <w:right w:val="none" w:sz="0" w:space="0" w:color="auto"/>
      </w:divBdr>
    </w:div>
    <w:div w:id="992677736">
      <w:bodyDiv w:val="1"/>
      <w:marLeft w:val="0"/>
      <w:marRight w:val="0"/>
      <w:marTop w:val="0"/>
      <w:marBottom w:val="0"/>
      <w:divBdr>
        <w:top w:val="none" w:sz="0" w:space="0" w:color="auto"/>
        <w:left w:val="none" w:sz="0" w:space="0" w:color="auto"/>
        <w:bottom w:val="none" w:sz="0" w:space="0" w:color="auto"/>
        <w:right w:val="none" w:sz="0" w:space="0" w:color="auto"/>
      </w:divBdr>
    </w:div>
    <w:div w:id="1024676682">
      <w:bodyDiv w:val="1"/>
      <w:marLeft w:val="0"/>
      <w:marRight w:val="0"/>
      <w:marTop w:val="0"/>
      <w:marBottom w:val="0"/>
      <w:divBdr>
        <w:top w:val="none" w:sz="0" w:space="0" w:color="auto"/>
        <w:left w:val="none" w:sz="0" w:space="0" w:color="auto"/>
        <w:bottom w:val="none" w:sz="0" w:space="0" w:color="auto"/>
        <w:right w:val="none" w:sz="0" w:space="0" w:color="auto"/>
      </w:divBdr>
    </w:div>
    <w:div w:id="1032271598">
      <w:bodyDiv w:val="1"/>
      <w:marLeft w:val="0"/>
      <w:marRight w:val="0"/>
      <w:marTop w:val="0"/>
      <w:marBottom w:val="0"/>
      <w:divBdr>
        <w:top w:val="none" w:sz="0" w:space="0" w:color="auto"/>
        <w:left w:val="none" w:sz="0" w:space="0" w:color="auto"/>
        <w:bottom w:val="none" w:sz="0" w:space="0" w:color="auto"/>
        <w:right w:val="none" w:sz="0" w:space="0" w:color="auto"/>
      </w:divBdr>
    </w:div>
    <w:div w:id="1035083349">
      <w:bodyDiv w:val="1"/>
      <w:marLeft w:val="0"/>
      <w:marRight w:val="0"/>
      <w:marTop w:val="0"/>
      <w:marBottom w:val="0"/>
      <w:divBdr>
        <w:top w:val="none" w:sz="0" w:space="0" w:color="auto"/>
        <w:left w:val="none" w:sz="0" w:space="0" w:color="auto"/>
        <w:bottom w:val="none" w:sz="0" w:space="0" w:color="auto"/>
        <w:right w:val="none" w:sz="0" w:space="0" w:color="auto"/>
      </w:divBdr>
    </w:div>
    <w:div w:id="1042483510">
      <w:bodyDiv w:val="1"/>
      <w:marLeft w:val="0"/>
      <w:marRight w:val="0"/>
      <w:marTop w:val="0"/>
      <w:marBottom w:val="0"/>
      <w:divBdr>
        <w:top w:val="none" w:sz="0" w:space="0" w:color="auto"/>
        <w:left w:val="none" w:sz="0" w:space="0" w:color="auto"/>
        <w:bottom w:val="none" w:sz="0" w:space="0" w:color="auto"/>
        <w:right w:val="none" w:sz="0" w:space="0" w:color="auto"/>
      </w:divBdr>
    </w:div>
    <w:div w:id="1056315107">
      <w:bodyDiv w:val="1"/>
      <w:marLeft w:val="0"/>
      <w:marRight w:val="0"/>
      <w:marTop w:val="0"/>
      <w:marBottom w:val="0"/>
      <w:divBdr>
        <w:top w:val="none" w:sz="0" w:space="0" w:color="auto"/>
        <w:left w:val="none" w:sz="0" w:space="0" w:color="auto"/>
        <w:bottom w:val="none" w:sz="0" w:space="0" w:color="auto"/>
        <w:right w:val="none" w:sz="0" w:space="0" w:color="auto"/>
      </w:divBdr>
    </w:div>
    <w:div w:id="1059548799">
      <w:bodyDiv w:val="1"/>
      <w:marLeft w:val="0"/>
      <w:marRight w:val="0"/>
      <w:marTop w:val="0"/>
      <w:marBottom w:val="0"/>
      <w:divBdr>
        <w:top w:val="none" w:sz="0" w:space="0" w:color="auto"/>
        <w:left w:val="none" w:sz="0" w:space="0" w:color="auto"/>
        <w:bottom w:val="none" w:sz="0" w:space="0" w:color="auto"/>
        <w:right w:val="none" w:sz="0" w:space="0" w:color="auto"/>
      </w:divBdr>
    </w:div>
    <w:div w:id="1062170689">
      <w:bodyDiv w:val="1"/>
      <w:marLeft w:val="0"/>
      <w:marRight w:val="0"/>
      <w:marTop w:val="0"/>
      <w:marBottom w:val="0"/>
      <w:divBdr>
        <w:top w:val="none" w:sz="0" w:space="0" w:color="auto"/>
        <w:left w:val="none" w:sz="0" w:space="0" w:color="auto"/>
        <w:bottom w:val="none" w:sz="0" w:space="0" w:color="auto"/>
        <w:right w:val="none" w:sz="0" w:space="0" w:color="auto"/>
      </w:divBdr>
    </w:div>
    <w:div w:id="1108935122">
      <w:bodyDiv w:val="1"/>
      <w:marLeft w:val="0"/>
      <w:marRight w:val="0"/>
      <w:marTop w:val="0"/>
      <w:marBottom w:val="0"/>
      <w:divBdr>
        <w:top w:val="none" w:sz="0" w:space="0" w:color="auto"/>
        <w:left w:val="none" w:sz="0" w:space="0" w:color="auto"/>
        <w:bottom w:val="none" w:sz="0" w:space="0" w:color="auto"/>
        <w:right w:val="none" w:sz="0" w:space="0" w:color="auto"/>
      </w:divBdr>
    </w:div>
    <w:div w:id="1113745499">
      <w:bodyDiv w:val="1"/>
      <w:marLeft w:val="0"/>
      <w:marRight w:val="0"/>
      <w:marTop w:val="0"/>
      <w:marBottom w:val="0"/>
      <w:divBdr>
        <w:top w:val="none" w:sz="0" w:space="0" w:color="auto"/>
        <w:left w:val="none" w:sz="0" w:space="0" w:color="auto"/>
        <w:bottom w:val="none" w:sz="0" w:space="0" w:color="auto"/>
        <w:right w:val="none" w:sz="0" w:space="0" w:color="auto"/>
      </w:divBdr>
    </w:div>
    <w:div w:id="1139804949">
      <w:bodyDiv w:val="1"/>
      <w:marLeft w:val="0"/>
      <w:marRight w:val="0"/>
      <w:marTop w:val="0"/>
      <w:marBottom w:val="0"/>
      <w:divBdr>
        <w:top w:val="none" w:sz="0" w:space="0" w:color="auto"/>
        <w:left w:val="none" w:sz="0" w:space="0" w:color="auto"/>
        <w:bottom w:val="none" w:sz="0" w:space="0" w:color="auto"/>
        <w:right w:val="none" w:sz="0" w:space="0" w:color="auto"/>
      </w:divBdr>
    </w:div>
    <w:div w:id="1140729506">
      <w:bodyDiv w:val="1"/>
      <w:marLeft w:val="0"/>
      <w:marRight w:val="0"/>
      <w:marTop w:val="0"/>
      <w:marBottom w:val="0"/>
      <w:divBdr>
        <w:top w:val="none" w:sz="0" w:space="0" w:color="auto"/>
        <w:left w:val="none" w:sz="0" w:space="0" w:color="auto"/>
        <w:bottom w:val="none" w:sz="0" w:space="0" w:color="auto"/>
        <w:right w:val="none" w:sz="0" w:space="0" w:color="auto"/>
      </w:divBdr>
    </w:div>
    <w:div w:id="1143810182">
      <w:bodyDiv w:val="1"/>
      <w:marLeft w:val="0"/>
      <w:marRight w:val="0"/>
      <w:marTop w:val="0"/>
      <w:marBottom w:val="0"/>
      <w:divBdr>
        <w:top w:val="none" w:sz="0" w:space="0" w:color="auto"/>
        <w:left w:val="none" w:sz="0" w:space="0" w:color="auto"/>
        <w:bottom w:val="none" w:sz="0" w:space="0" w:color="auto"/>
        <w:right w:val="none" w:sz="0" w:space="0" w:color="auto"/>
      </w:divBdr>
    </w:div>
    <w:div w:id="1149205786">
      <w:bodyDiv w:val="1"/>
      <w:marLeft w:val="0"/>
      <w:marRight w:val="0"/>
      <w:marTop w:val="0"/>
      <w:marBottom w:val="0"/>
      <w:divBdr>
        <w:top w:val="none" w:sz="0" w:space="0" w:color="auto"/>
        <w:left w:val="none" w:sz="0" w:space="0" w:color="auto"/>
        <w:bottom w:val="none" w:sz="0" w:space="0" w:color="auto"/>
        <w:right w:val="none" w:sz="0" w:space="0" w:color="auto"/>
      </w:divBdr>
    </w:div>
    <w:div w:id="1168785904">
      <w:bodyDiv w:val="1"/>
      <w:marLeft w:val="0"/>
      <w:marRight w:val="0"/>
      <w:marTop w:val="0"/>
      <w:marBottom w:val="0"/>
      <w:divBdr>
        <w:top w:val="none" w:sz="0" w:space="0" w:color="auto"/>
        <w:left w:val="none" w:sz="0" w:space="0" w:color="auto"/>
        <w:bottom w:val="none" w:sz="0" w:space="0" w:color="auto"/>
        <w:right w:val="none" w:sz="0" w:space="0" w:color="auto"/>
      </w:divBdr>
    </w:div>
    <w:div w:id="1173226046">
      <w:bodyDiv w:val="1"/>
      <w:marLeft w:val="0"/>
      <w:marRight w:val="0"/>
      <w:marTop w:val="0"/>
      <w:marBottom w:val="0"/>
      <w:divBdr>
        <w:top w:val="none" w:sz="0" w:space="0" w:color="auto"/>
        <w:left w:val="none" w:sz="0" w:space="0" w:color="auto"/>
        <w:bottom w:val="none" w:sz="0" w:space="0" w:color="auto"/>
        <w:right w:val="none" w:sz="0" w:space="0" w:color="auto"/>
      </w:divBdr>
    </w:div>
    <w:div w:id="1173566426">
      <w:bodyDiv w:val="1"/>
      <w:marLeft w:val="0"/>
      <w:marRight w:val="0"/>
      <w:marTop w:val="0"/>
      <w:marBottom w:val="0"/>
      <w:divBdr>
        <w:top w:val="none" w:sz="0" w:space="0" w:color="auto"/>
        <w:left w:val="none" w:sz="0" w:space="0" w:color="auto"/>
        <w:bottom w:val="none" w:sz="0" w:space="0" w:color="auto"/>
        <w:right w:val="none" w:sz="0" w:space="0" w:color="auto"/>
      </w:divBdr>
    </w:div>
    <w:div w:id="1178812457">
      <w:bodyDiv w:val="1"/>
      <w:marLeft w:val="0"/>
      <w:marRight w:val="0"/>
      <w:marTop w:val="0"/>
      <w:marBottom w:val="0"/>
      <w:divBdr>
        <w:top w:val="none" w:sz="0" w:space="0" w:color="auto"/>
        <w:left w:val="none" w:sz="0" w:space="0" w:color="auto"/>
        <w:bottom w:val="none" w:sz="0" w:space="0" w:color="auto"/>
        <w:right w:val="none" w:sz="0" w:space="0" w:color="auto"/>
      </w:divBdr>
    </w:div>
    <w:div w:id="1193154757">
      <w:bodyDiv w:val="1"/>
      <w:marLeft w:val="0"/>
      <w:marRight w:val="0"/>
      <w:marTop w:val="0"/>
      <w:marBottom w:val="0"/>
      <w:divBdr>
        <w:top w:val="none" w:sz="0" w:space="0" w:color="auto"/>
        <w:left w:val="none" w:sz="0" w:space="0" w:color="auto"/>
        <w:bottom w:val="none" w:sz="0" w:space="0" w:color="auto"/>
        <w:right w:val="none" w:sz="0" w:space="0" w:color="auto"/>
      </w:divBdr>
    </w:div>
    <w:div w:id="1206717351">
      <w:bodyDiv w:val="1"/>
      <w:marLeft w:val="0"/>
      <w:marRight w:val="0"/>
      <w:marTop w:val="0"/>
      <w:marBottom w:val="0"/>
      <w:divBdr>
        <w:top w:val="none" w:sz="0" w:space="0" w:color="auto"/>
        <w:left w:val="none" w:sz="0" w:space="0" w:color="auto"/>
        <w:bottom w:val="none" w:sz="0" w:space="0" w:color="auto"/>
        <w:right w:val="none" w:sz="0" w:space="0" w:color="auto"/>
      </w:divBdr>
    </w:div>
    <w:div w:id="1215848132">
      <w:bodyDiv w:val="1"/>
      <w:marLeft w:val="0"/>
      <w:marRight w:val="0"/>
      <w:marTop w:val="0"/>
      <w:marBottom w:val="0"/>
      <w:divBdr>
        <w:top w:val="none" w:sz="0" w:space="0" w:color="auto"/>
        <w:left w:val="none" w:sz="0" w:space="0" w:color="auto"/>
        <w:bottom w:val="none" w:sz="0" w:space="0" w:color="auto"/>
        <w:right w:val="none" w:sz="0" w:space="0" w:color="auto"/>
      </w:divBdr>
    </w:div>
    <w:div w:id="1216350951">
      <w:bodyDiv w:val="1"/>
      <w:marLeft w:val="0"/>
      <w:marRight w:val="0"/>
      <w:marTop w:val="0"/>
      <w:marBottom w:val="0"/>
      <w:divBdr>
        <w:top w:val="none" w:sz="0" w:space="0" w:color="auto"/>
        <w:left w:val="none" w:sz="0" w:space="0" w:color="auto"/>
        <w:bottom w:val="none" w:sz="0" w:space="0" w:color="auto"/>
        <w:right w:val="none" w:sz="0" w:space="0" w:color="auto"/>
      </w:divBdr>
    </w:div>
    <w:div w:id="1227183450">
      <w:bodyDiv w:val="1"/>
      <w:marLeft w:val="0"/>
      <w:marRight w:val="0"/>
      <w:marTop w:val="0"/>
      <w:marBottom w:val="0"/>
      <w:divBdr>
        <w:top w:val="none" w:sz="0" w:space="0" w:color="auto"/>
        <w:left w:val="none" w:sz="0" w:space="0" w:color="auto"/>
        <w:bottom w:val="none" w:sz="0" w:space="0" w:color="auto"/>
        <w:right w:val="none" w:sz="0" w:space="0" w:color="auto"/>
      </w:divBdr>
    </w:div>
    <w:div w:id="1232810737">
      <w:bodyDiv w:val="1"/>
      <w:marLeft w:val="0"/>
      <w:marRight w:val="0"/>
      <w:marTop w:val="0"/>
      <w:marBottom w:val="0"/>
      <w:divBdr>
        <w:top w:val="none" w:sz="0" w:space="0" w:color="auto"/>
        <w:left w:val="none" w:sz="0" w:space="0" w:color="auto"/>
        <w:bottom w:val="none" w:sz="0" w:space="0" w:color="auto"/>
        <w:right w:val="none" w:sz="0" w:space="0" w:color="auto"/>
      </w:divBdr>
    </w:div>
    <w:div w:id="1249315187">
      <w:bodyDiv w:val="1"/>
      <w:marLeft w:val="0"/>
      <w:marRight w:val="0"/>
      <w:marTop w:val="0"/>
      <w:marBottom w:val="0"/>
      <w:divBdr>
        <w:top w:val="none" w:sz="0" w:space="0" w:color="auto"/>
        <w:left w:val="none" w:sz="0" w:space="0" w:color="auto"/>
        <w:bottom w:val="none" w:sz="0" w:space="0" w:color="auto"/>
        <w:right w:val="none" w:sz="0" w:space="0" w:color="auto"/>
      </w:divBdr>
    </w:div>
    <w:div w:id="1250120037">
      <w:bodyDiv w:val="1"/>
      <w:marLeft w:val="0"/>
      <w:marRight w:val="0"/>
      <w:marTop w:val="0"/>
      <w:marBottom w:val="0"/>
      <w:divBdr>
        <w:top w:val="none" w:sz="0" w:space="0" w:color="auto"/>
        <w:left w:val="none" w:sz="0" w:space="0" w:color="auto"/>
        <w:bottom w:val="none" w:sz="0" w:space="0" w:color="auto"/>
        <w:right w:val="none" w:sz="0" w:space="0" w:color="auto"/>
      </w:divBdr>
      <w:divsChild>
        <w:div w:id="293408034">
          <w:marLeft w:val="720"/>
          <w:marRight w:val="0"/>
          <w:marTop w:val="0"/>
          <w:marBottom w:val="0"/>
          <w:divBdr>
            <w:top w:val="none" w:sz="0" w:space="0" w:color="auto"/>
            <w:left w:val="none" w:sz="0" w:space="0" w:color="auto"/>
            <w:bottom w:val="none" w:sz="0" w:space="0" w:color="auto"/>
            <w:right w:val="none" w:sz="0" w:space="0" w:color="auto"/>
          </w:divBdr>
        </w:div>
        <w:div w:id="1349943004">
          <w:marLeft w:val="720"/>
          <w:marRight w:val="0"/>
          <w:marTop w:val="0"/>
          <w:marBottom w:val="0"/>
          <w:divBdr>
            <w:top w:val="none" w:sz="0" w:space="0" w:color="auto"/>
            <w:left w:val="none" w:sz="0" w:space="0" w:color="auto"/>
            <w:bottom w:val="none" w:sz="0" w:space="0" w:color="auto"/>
            <w:right w:val="none" w:sz="0" w:space="0" w:color="auto"/>
          </w:divBdr>
        </w:div>
        <w:div w:id="1903323433">
          <w:marLeft w:val="720"/>
          <w:marRight w:val="0"/>
          <w:marTop w:val="0"/>
          <w:marBottom w:val="0"/>
          <w:divBdr>
            <w:top w:val="none" w:sz="0" w:space="0" w:color="auto"/>
            <w:left w:val="none" w:sz="0" w:space="0" w:color="auto"/>
            <w:bottom w:val="none" w:sz="0" w:space="0" w:color="auto"/>
            <w:right w:val="none" w:sz="0" w:space="0" w:color="auto"/>
          </w:divBdr>
        </w:div>
      </w:divsChild>
    </w:div>
    <w:div w:id="1256209708">
      <w:bodyDiv w:val="1"/>
      <w:marLeft w:val="0"/>
      <w:marRight w:val="0"/>
      <w:marTop w:val="0"/>
      <w:marBottom w:val="0"/>
      <w:divBdr>
        <w:top w:val="none" w:sz="0" w:space="0" w:color="auto"/>
        <w:left w:val="none" w:sz="0" w:space="0" w:color="auto"/>
        <w:bottom w:val="none" w:sz="0" w:space="0" w:color="auto"/>
        <w:right w:val="none" w:sz="0" w:space="0" w:color="auto"/>
      </w:divBdr>
    </w:div>
    <w:div w:id="1266352146">
      <w:bodyDiv w:val="1"/>
      <w:marLeft w:val="0"/>
      <w:marRight w:val="0"/>
      <w:marTop w:val="0"/>
      <w:marBottom w:val="0"/>
      <w:divBdr>
        <w:top w:val="none" w:sz="0" w:space="0" w:color="auto"/>
        <w:left w:val="none" w:sz="0" w:space="0" w:color="auto"/>
        <w:bottom w:val="none" w:sz="0" w:space="0" w:color="auto"/>
        <w:right w:val="none" w:sz="0" w:space="0" w:color="auto"/>
      </w:divBdr>
    </w:div>
    <w:div w:id="1271935056">
      <w:bodyDiv w:val="1"/>
      <w:marLeft w:val="0"/>
      <w:marRight w:val="0"/>
      <w:marTop w:val="0"/>
      <w:marBottom w:val="0"/>
      <w:divBdr>
        <w:top w:val="none" w:sz="0" w:space="0" w:color="auto"/>
        <w:left w:val="none" w:sz="0" w:space="0" w:color="auto"/>
        <w:bottom w:val="none" w:sz="0" w:space="0" w:color="auto"/>
        <w:right w:val="none" w:sz="0" w:space="0" w:color="auto"/>
      </w:divBdr>
    </w:div>
    <w:div w:id="1274168075">
      <w:bodyDiv w:val="1"/>
      <w:marLeft w:val="0"/>
      <w:marRight w:val="0"/>
      <w:marTop w:val="0"/>
      <w:marBottom w:val="0"/>
      <w:divBdr>
        <w:top w:val="none" w:sz="0" w:space="0" w:color="auto"/>
        <w:left w:val="none" w:sz="0" w:space="0" w:color="auto"/>
        <w:bottom w:val="none" w:sz="0" w:space="0" w:color="auto"/>
        <w:right w:val="none" w:sz="0" w:space="0" w:color="auto"/>
      </w:divBdr>
    </w:div>
    <w:div w:id="1278096105">
      <w:bodyDiv w:val="1"/>
      <w:marLeft w:val="0"/>
      <w:marRight w:val="0"/>
      <w:marTop w:val="0"/>
      <w:marBottom w:val="0"/>
      <w:divBdr>
        <w:top w:val="none" w:sz="0" w:space="0" w:color="auto"/>
        <w:left w:val="none" w:sz="0" w:space="0" w:color="auto"/>
        <w:bottom w:val="none" w:sz="0" w:space="0" w:color="auto"/>
        <w:right w:val="none" w:sz="0" w:space="0" w:color="auto"/>
      </w:divBdr>
    </w:div>
    <w:div w:id="1295216265">
      <w:bodyDiv w:val="1"/>
      <w:marLeft w:val="0"/>
      <w:marRight w:val="0"/>
      <w:marTop w:val="0"/>
      <w:marBottom w:val="0"/>
      <w:divBdr>
        <w:top w:val="none" w:sz="0" w:space="0" w:color="auto"/>
        <w:left w:val="none" w:sz="0" w:space="0" w:color="auto"/>
        <w:bottom w:val="none" w:sz="0" w:space="0" w:color="auto"/>
        <w:right w:val="none" w:sz="0" w:space="0" w:color="auto"/>
      </w:divBdr>
    </w:div>
    <w:div w:id="1296569347">
      <w:bodyDiv w:val="1"/>
      <w:marLeft w:val="0"/>
      <w:marRight w:val="0"/>
      <w:marTop w:val="0"/>
      <w:marBottom w:val="0"/>
      <w:divBdr>
        <w:top w:val="none" w:sz="0" w:space="0" w:color="auto"/>
        <w:left w:val="none" w:sz="0" w:space="0" w:color="auto"/>
        <w:bottom w:val="none" w:sz="0" w:space="0" w:color="auto"/>
        <w:right w:val="none" w:sz="0" w:space="0" w:color="auto"/>
      </w:divBdr>
    </w:div>
    <w:div w:id="1312978401">
      <w:bodyDiv w:val="1"/>
      <w:marLeft w:val="0"/>
      <w:marRight w:val="0"/>
      <w:marTop w:val="0"/>
      <w:marBottom w:val="0"/>
      <w:divBdr>
        <w:top w:val="none" w:sz="0" w:space="0" w:color="auto"/>
        <w:left w:val="none" w:sz="0" w:space="0" w:color="auto"/>
        <w:bottom w:val="none" w:sz="0" w:space="0" w:color="auto"/>
        <w:right w:val="none" w:sz="0" w:space="0" w:color="auto"/>
      </w:divBdr>
    </w:div>
    <w:div w:id="1323898432">
      <w:bodyDiv w:val="1"/>
      <w:marLeft w:val="0"/>
      <w:marRight w:val="0"/>
      <w:marTop w:val="0"/>
      <w:marBottom w:val="0"/>
      <w:divBdr>
        <w:top w:val="none" w:sz="0" w:space="0" w:color="auto"/>
        <w:left w:val="none" w:sz="0" w:space="0" w:color="auto"/>
        <w:bottom w:val="none" w:sz="0" w:space="0" w:color="auto"/>
        <w:right w:val="none" w:sz="0" w:space="0" w:color="auto"/>
      </w:divBdr>
    </w:div>
    <w:div w:id="1362125256">
      <w:bodyDiv w:val="1"/>
      <w:marLeft w:val="0"/>
      <w:marRight w:val="0"/>
      <w:marTop w:val="0"/>
      <w:marBottom w:val="0"/>
      <w:divBdr>
        <w:top w:val="none" w:sz="0" w:space="0" w:color="auto"/>
        <w:left w:val="none" w:sz="0" w:space="0" w:color="auto"/>
        <w:bottom w:val="none" w:sz="0" w:space="0" w:color="auto"/>
        <w:right w:val="none" w:sz="0" w:space="0" w:color="auto"/>
      </w:divBdr>
    </w:div>
    <w:div w:id="1376273270">
      <w:bodyDiv w:val="1"/>
      <w:marLeft w:val="0"/>
      <w:marRight w:val="0"/>
      <w:marTop w:val="0"/>
      <w:marBottom w:val="0"/>
      <w:divBdr>
        <w:top w:val="none" w:sz="0" w:space="0" w:color="auto"/>
        <w:left w:val="none" w:sz="0" w:space="0" w:color="auto"/>
        <w:bottom w:val="none" w:sz="0" w:space="0" w:color="auto"/>
        <w:right w:val="none" w:sz="0" w:space="0" w:color="auto"/>
      </w:divBdr>
    </w:div>
    <w:div w:id="1377003497">
      <w:bodyDiv w:val="1"/>
      <w:marLeft w:val="0"/>
      <w:marRight w:val="0"/>
      <w:marTop w:val="0"/>
      <w:marBottom w:val="0"/>
      <w:divBdr>
        <w:top w:val="none" w:sz="0" w:space="0" w:color="auto"/>
        <w:left w:val="none" w:sz="0" w:space="0" w:color="auto"/>
        <w:bottom w:val="none" w:sz="0" w:space="0" w:color="auto"/>
        <w:right w:val="none" w:sz="0" w:space="0" w:color="auto"/>
      </w:divBdr>
    </w:div>
    <w:div w:id="1416706902">
      <w:bodyDiv w:val="1"/>
      <w:marLeft w:val="0"/>
      <w:marRight w:val="0"/>
      <w:marTop w:val="0"/>
      <w:marBottom w:val="0"/>
      <w:divBdr>
        <w:top w:val="none" w:sz="0" w:space="0" w:color="auto"/>
        <w:left w:val="none" w:sz="0" w:space="0" w:color="auto"/>
        <w:bottom w:val="none" w:sz="0" w:space="0" w:color="auto"/>
        <w:right w:val="none" w:sz="0" w:space="0" w:color="auto"/>
      </w:divBdr>
    </w:div>
    <w:div w:id="1432579776">
      <w:bodyDiv w:val="1"/>
      <w:marLeft w:val="0"/>
      <w:marRight w:val="0"/>
      <w:marTop w:val="0"/>
      <w:marBottom w:val="0"/>
      <w:divBdr>
        <w:top w:val="none" w:sz="0" w:space="0" w:color="auto"/>
        <w:left w:val="none" w:sz="0" w:space="0" w:color="auto"/>
        <w:bottom w:val="none" w:sz="0" w:space="0" w:color="auto"/>
        <w:right w:val="none" w:sz="0" w:space="0" w:color="auto"/>
      </w:divBdr>
    </w:div>
    <w:div w:id="1438718090">
      <w:bodyDiv w:val="1"/>
      <w:marLeft w:val="0"/>
      <w:marRight w:val="0"/>
      <w:marTop w:val="0"/>
      <w:marBottom w:val="0"/>
      <w:divBdr>
        <w:top w:val="none" w:sz="0" w:space="0" w:color="auto"/>
        <w:left w:val="none" w:sz="0" w:space="0" w:color="auto"/>
        <w:bottom w:val="none" w:sz="0" w:space="0" w:color="auto"/>
        <w:right w:val="none" w:sz="0" w:space="0" w:color="auto"/>
      </w:divBdr>
    </w:div>
    <w:div w:id="1448305797">
      <w:bodyDiv w:val="1"/>
      <w:marLeft w:val="0"/>
      <w:marRight w:val="0"/>
      <w:marTop w:val="0"/>
      <w:marBottom w:val="0"/>
      <w:divBdr>
        <w:top w:val="none" w:sz="0" w:space="0" w:color="auto"/>
        <w:left w:val="none" w:sz="0" w:space="0" w:color="auto"/>
        <w:bottom w:val="none" w:sz="0" w:space="0" w:color="auto"/>
        <w:right w:val="none" w:sz="0" w:space="0" w:color="auto"/>
      </w:divBdr>
    </w:div>
    <w:div w:id="1454858667">
      <w:bodyDiv w:val="1"/>
      <w:marLeft w:val="0"/>
      <w:marRight w:val="0"/>
      <w:marTop w:val="0"/>
      <w:marBottom w:val="0"/>
      <w:divBdr>
        <w:top w:val="none" w:sz="0" w:space="0" w:color="auto"/>
        <w:left w:val="none" w:sz="0" w:space="0" w:color="auto"/>
        <w:bottom w:val="none" w:sz="0" w:space="0" w:color="auto"/>
        <w:right w:val="none" w:sz="0" w:space="0" w:color="auto"/>
      </w:divBdr>
    </w:div>
    <w:div w:id="1457331816">
      <w:bodyDiv w:val="1"/>
      <w:marLeft w:val="0"/>
      <w:marRight w:val="0"/>
      <w:marTop w:val="0"/>
      <w:marBottom w:val="0"/>
      <w:divBdr>
        <w:top w:val="none" w:sz="0" w:space="0" w:color="auto"/>
        <w:left w:val="none" w:sz="0" w:space="0" w:color="auto"/>
        <w:bottom w:val="none" w:sz="0" w:space="0" w:color="auto"/>
        <w:right w:val="none" w:sz="0" w:space="0" w:color="auto"/>
      </w:divBdr>
    </w:div>
    <w:div w:id="1480417506">
      <w:bodyDiv w:val="1"/>
      <w:marLeft w:val="0"/>
      <w:marRight w:val="0"/>
      <w:marTop w:val="0"/>
      <w:marBottom w:val="0"/>
      <w:divBdr>
        <w:top w:val="none" w:sz="0" w:space="0" w:color="auto"/>
        <w:left w:val="none" w:sz="0" w:space="0" w:color="auto"/>
        <w:bottom w:val="none" w:sz="0" w:space="0" w:color="auto"/>
        <w:right w:val="none" w:sz="0" w:space="0" w:color="auto"/>
      </w:divBdr>
    </w:div>
    <w:div w:id="1490948607">
      <w:bodyDiv w:val="1"/>
      <w:marLeft w:val="0"/>
      <w:marRight w:val="0"/>
      <w:marTop w:val="0"/>
      <w:marBottom w:val="0"/>
      <w:divBdr>
        <w:top w:val="none" w:sz="0" w:space="0" w:color="auto"/>
        <w:left w:val="none" w:sz="0" w:space="0" w:color="auto"/>
        <w:bottom w:val="none" w:sz="0" w:space="0" w:color="auto"/>
        <w:right w:val="none" w:sz="0" w:space="0" w:color="auto"/>
      </w:divBdr>
    </w:div>
    <w:div w:id="1494953413">
      <w:bodyDiv w:val="1"/>
      <w:marLeft w:val="0"/>
      <w:marRight w:val="0"/>
      <w:marTop w:val="0"/>
      <w:marBottom w:val="0"/>
      <w:divBdr>
        <w:top w:val="none" w:sz="0" w:space="0" w:color="auto"/>
        <w:left w:val="none" w:sz="0" w:space="0" w:color="auto"/>
        <w:bottom w:val="none" w:sz="0" w:space="0" w:color="auto"/>
        <w:right w:val="none" w:sz="0" w:space="0" w:color="auto"/>
      </w:divBdr>
    </w:div>
    <w:div w:id="1496143234">
      <w:bodyDiv w:val="1"/>
      <w:marLeft w:val="0"/>
      <w:marRight w:val="0"/>
      <w:marTop w:val="0"/>
      <w:marBottom w:val="0"/>
      <w:divBdr>
        <w:top w:val="none" w:sz="0" w:space="0" w:color="auto"/>
        <w:left w:val="none" w:sz="0" w:space="0" w:color="auto"/>
        <w:bottom w:val="none" w:sz="0" w:space="0" w:color="auto"/>
        <w:right w:val="none" w:sz="0" w:space="0" w:color="auto"/>
      </w:divBdr>
    </w:div>
    <w:div w:id="1506166557">
      <w:bodyDiv w:val="1"/>
      <w:marLeft w:val="0"/>
      <w:marRight w:val="0"/>
      <w:marTop w:val="0"/>
      <w:marBottom w:val="0"/>
      <w:divBdr>
        <w:top w:val="none" w:sz="0" w:space="0" w:color="auto"/>
        <w:left w:val="none" w:sz="0" w:space="0" w:color="auto"/>
        <w:bottom w:val="none" w:sz="0" w:space="0" w:color="auto"/>
        <w:right w:val="none" w:sz="0" w:space="0" w:color="auto"/>
      </w:divBdr>
    </w:div>
    <w:div w:id="1511262383">
      <w:bodyDiv w:val="1"/>
      <w:marLeft w:val="0"/>
      <w:marRight w:val="0"/>
      <w:marTop w:val="0"/>
      <w:marBottom w:val="0"/>
      <w:divBdr>
        <w:top w:val="none" w:sz="0" w:space="0" w:color="auto"/>
        <w:left w:val="none" w:sz="0" w:space="0" w:color="auto"/>
        <w:bottom w:val="none" w:sz="0" w:space="0" w:color="auto"/>
        <w:right w:val="none" w:sz="0" w:space="0" w:color="auto"/>
      </w:divBdr>
    </w:div>
    <w:div w:id="1515651374">
      <w:bodyDiv w:val="1"/>
      <w:marLeft w:val="0"/>
      <w:marRight w:val="0"/>
      <w:marTop w:val="0"/>
      <w:marBottom w:val="0"/>
      <w:divBdr>
        <w:top w:val="none" w:sz="0" w:space="0" w:color="auto"/>
        <w:left w:val="none" w:sz="0" w:space="0" w:color="auto"/>
        <w:bottom w:val="none" w:sz="0" w:space="0" w:color="auto"/>
        <w:right w:val="none" w:sz="0" w:space="0" w:color="auto"/>
      </w:divBdr>
    </w:div>
    <w:div w:id="1540043962">
      <w:bodyDiv w:val="1"/>
      <w:marLeft w:val="0"/>
      <w:marRight w:val="0"/>
      <w:marTop w:val="0"/>
      <w:marBottom w:val="0"/>
      <w:divBdr>
        <w:top w:val="none" w:sz="0" w:space="0" w:color="auto"/>
        <w:left w:val="none" w:sz="0" w:space="0" w:color="auto"/>
        <w:bottom w:val="none" w:sz="0" w:space="0" w:color="auto"/>
        <w:right w:val="none" w:sz="0" w:space="0" w:color="auto"/>
      </w:divBdr>
    </w:div>
    <w:div w:id="1556506123">
      <w:bodyDiv w:val="1"/>
      <w:marLeft w:val="0"/>
      <w:marRight w:val="0"/>
      <w:marTop w:val="0"/>
      <w:marBottom w:val="0"/>
      <w:divBdr>
        <w:top w:val="none" w:sz="0" w:space="0" w:color="auto"/>
        <w:left w:val="none" w:sz="0" w:space="0" w:color="auto"/>
        <w:bottom w:val="none" w:sz="0" w:space="0" w:color="auto"/>
        <w:right w:val="none" w:sz="0" w:space="0" w:color="auto"/>
      </w:divBdr>
    </w:div>
    <w:div w:id="1557739763">
      <w:bodyDiv w:val="1"/>
      <w:marLeft w:val="0"/>
      <w:marRight w:val="0"/>
      <w:marTop w:val="0"/>
      <w:marBottom w:val="0"/>
      <w:divBdr>
        <w:top w:val="none" w:sz="0" w:space="0" w:color="auto"/>
        <w:left w:val="none" w:sz="0" w:space="0" w:color="auto"/>
        <w:bottom w:val="none" w:sz="0" w:space="0" w:color="auto"/>
        <w:right w:val="none" w:sz="0" w:space="0" w:color="auto"/>
      </w:divBdr>
    </w:div>
    <w:div w:id="1559169995">
      <w:bodyDiv w:val="1"/>
      <w:marLeft w:val="0"/>
      <w:marRight w:val="0"/>
      <w:marTop w:val="0"/>
      <w:marBottom w:val="0"/>
      <w:divBdr>
        <w:top w:val="none" w:sz="0" w:space="0" w:color="auto"/>
        <w:left w:val="none" w:sz="0" w:space="0" w:color="auto"/>
        <w:bottom w:val="none" w:sz="0" w:space="0" w:color="auto"/>
        <w:right w:val="none" w:sz="0" w:space="0" w:color="auto"/>
      </w:divBdr>
    </w:div>
    <w:div w:id="1576164018">
      <w:bodyDiv w:val="1"/>
      <w:marLeft w:val="0"/>
      <w:marRight w:val="0"/>
      <w:marTop w:val="0"/>
      <w:marBottom w:val="0"/>
      <w:divBdr>
        <w:top w:val="none" w:sz="0" w:space="0" w:color="auto"/>
        <w:left w:val="none" w:sz="0" w:space="0" w:color="auto"/>
        <w:bottom w:val="none" w:sz="0" w:space="0" w:color="auto"/>
        <w:right w:val="none" w:sz="0" w:space="0" w:color="auto"/>
      </w:divBdr>
    </w:div>
    <w:div w:id="1601909511">
      <w:bodyDiv w:val="1"/>
      <w:marLeft w:val="0"/>
      <w:marRight w:val="0"/>
      <w:marTop w:val="0"/>
      <w:marBottom w:val="0"/>
      <w:divBdr>
        <w:top w:val="none" w:sz="0" w:space="0" w:color="auto"/>
        <w:left w:val="none" w:sz="0" w:space="0" w:color="auto"/>
        <w:bottom w:val="none" w:sz="0" w:space="0" w:color="auto"/>
        <w:right w:val="none" w:sz="0" w:space="0" w:color="auto"/>
      </w:divBdr>
    </w:div>
    <w:div w:id="1604878111">
      <w:bodyDiv w:val="1"/>
      <w:marLeft w:val="0"/>
      <w:marRight w:val="0"/>
      <w:marTop w:val="0"/>
      <w:marBottom w:val="0"/>
      <w:divBdr>
        <w:top w:val="none" w:sz="0" w:space="0" w:color="auto"/>
        <w:left w:val="none" w:sz="0" w:space="0" w:color="auto"/>
        <w:bottom w:val="none" w:sz="0" w:space="0" w:color="auto"/>
        <w:right w:val="none" w:sz="0" w:space="0" w:color="auto"/>
      </w:divBdr>
    </w:div>
    <w:div w:id="1604914993">
      <w:bodyDiv w:val="1"/>
      <w:marLeft w:val="0"/>
      <w:marRight w:val="0"/>
      <w:marTop w:val="0"/>
      <w:marBottom w:val="0"/>
      <w:divBdr>
        <w:top w:val="none" w:sz="0" w:space="0" w:color="auto"/>
        <w:left w:val="none" w:sz="0" w:space="0" w:color="auto"/>
        <w:bottom w:val="none" w:sz="0" w:space="0" w:color="auto"/>
        <w:right w:val="none" w:sz="0" w:space="0" w:color="auto"/>
      </w:divBdr>
    </w:div>
    <w:div w:id="1628897526">
      <w:bodyDiv w:val="1"/>
      <w:marLeft w:val="0"/>
      <w:marRight w:val="0"/>
      <w:marTop w:val="0"/>
      <w:marBottom w:val="0"/>
      <w:divBdr>
        <w:top w:val="none" w:sz="0" w:space="0" w:color="auto"/>
        <w:left w:val="none" w:sz="0" w:space="0" w:color="auto"/>
        <w:bottom w:val="none" w:sz="0" w:space="0" w:color="auto"/>
        <w:right w:val="none" w:sz="0" w:space="0" w:color="auto"/>
      </w:divBdr>
    </w:div>
    <w:div w:id="1630430126">
      <w:bodyDiv w:val="1"/>
      <w:marLeft w:val="0"/>
      <w:marRight w:val="0"/>
      <w:marTop w:val="0"/>
      <w:marBottom w:val="0"/>
      <w:divBdr>
        <w:top w:val="none" w:sz="0" w:space="0" w:color="auto"/>
        <w:left w:val="none" w:sz="0" w:space="0" w:color="auto"/>
        <w:bottom w:val="none" w:sz="0" w:space="0" w:color="auto"/>
        <w:right w:val="none" w:sz="0" w:space="0" w:color="auto"/>
      </w:divBdr>
    </w:div>
    <w:div w:id="1635406809">
      <w:bodyDiv w:val="1"/>
      <w:marLeft w:val="0"/>
      <w:marRight w:val="0"/>
      <w:marTop w:val="0"/>
      <w:marBottom w:val="0"/>
      <w:divBdr>
        <w:top w:val="none" w:sz="0" w:space="0" w:color="auto"/>
        <w:left w:val="none" w:sz="0" w:space="0" w:color="auto"/>
        <w:bottom w:val="none" w:sz="0" w:space="0" w:color="auto"/>
        <w:right w:val="none" w:sz="0" w:space="0" w:color="auto"/>
      </w:divBdr>
    </w:div>
    <w:div w:id="1648514166">
      <w:bodyDiv w:val="1"/>
      <w:marLeft w:val="0"/>
      <w:marRight w:val="0"/>
      <w:marTop w:val="0"/>
      <w:marBottom w:val="0"/>
      <w:divBdr>
        <w:top w:val="none" w:sz="0" w:space="0" w:color="auto"/>
        <w:left w:val="none" w:sz="0" w:space="0" w:color="auto"/>
        <w:bottom w:val="none" w:sz="0" w:space="0" w:color="auto"/>
        <w:right w:val="none" w:sz="0" w:space="0" w:color="auto"/>
      </w:divBdr>
    </w:div>
    <w:div w:id="1662078842">
      <w:bodyDiv w:val="1"/>
      <w:marLeft w:val="0"/>
      <w:marRight w:val="0"/>
      <w:marTop w:val="0"/>
      <w:marBottom w:val="0"/>
      <w:divBdr>
        <w:top w:val="none" w:sz="0" w:space="0" w:color="auto"/>
        <w:left w:val="none" w:sz="0" w:space="0" w:color="auto"/>
        <w:bottom w:val="none" w:sz="0" w:space="0" w:color="auto"/>
        <w:right w:val="none" w:sz="0" w:space="0" w:color="auto"/>
      </w:divBdr>
    </w:div>
    <w:div w:id="1672681292">
      <w:bodyDiv w:val="1"/>
      <w:marLeft w:val="0"/>
      <w:marRight w:val="0"/>
      <w:marTop w:val="0"/>
      <w:marBottom w:val="0"/>
      <w:divBdr>
        <w:top w:val="none" w:sz="0" w:space="0" w:color="auto"/>
        <w:left w:val="none" w:sz="0" w:space="0" w:color="auto"/>
        <w:bottom w:val="none" w:sz="0" w:space="0" w:color="auto"/>
        <w:right w:val="none" w:sz="0" w:space="0" w:color="auto"/>
      </w:divBdr>
    </w:div>
    <w:div w:id="1695956097">
      <w:bodyDiv w:val="1"/>
      <w:marLeft w:val="0"/>
      <w:marRight w:val="0"/>
      <w:marTop w:val="0"/>
      <w:marBottom w:val="0"/>
      <w:divBdr>
        <w:top w:val="none" w:sz="0" w:space="0" w:color="auto"/>
        <w:left w:val="none" w:sz="0" w:space="0" w:color="auto"/>
        <w:bottom w:val="none" w:sz="0" w:space="0" w:color="auto"/>
        <w:right w:val="none" w:sz="0" w:space="0" w:color="auto"/>
      </w:divBdr>
    </w:div>
    <w:div w:id="1703899178">
      <w:bodyDiv w:val="1"/>
      <w:marLeft w:val="0"/>
      <w:marRight w:val="0"/>
      <w:marTop w:val="0"/>
      <w:marBottom w:val="0"/>
      <w:divBdr>
        <w:top w:val="none" w:sz="0" w:space="0" w:color="auto"/>
        <w:left w:val="none" w:sz="0" w:space="0" w:color="auto"/>
        <w:bottom w:val="none" w:sz="0" w:space="0" w:color="auto"/>
        <w:right w:val="none" w:sz="0" w:space="0" w:color="auto"/>
      </w:divBdr>
    </w:div>
    <w:div w:id="1714184224">
      <w:bodyDiv w:val="1"/>
      <w:marLeft w:val="0"/>
      <w:marRight w:val="0"/>
      <w:marTop w:val="0"/>
      <w:marBottom w:val="0"/>
      <w:divBdr>
        <w:top w:val="none" w:sz="0" w:space="0" w:color="auto"/>
        <w:left w:val="none" w:sz="0" w:space="0" w:color="auto"/>
        <w:bottom w:val="none" w:sz="0" w:space="0" w:color="auto"/>
        <w:right w:val="none" w:sz="0" w:space="0" w:color="auto"/>
      </w:divBdr>
    </w:div>
    <w:div w:id="1717925870">
      <w:bodyDiv w:val="1"/>
      <w:marLeft w:val="0"/>
      <w:marRight w:val="0"/>
      <w:marTop w:val="0"/>
      <w:marBottom w:val="0"/>
      <w:divBdr>
        <w:top w:val="none" w:sz="0" w:space="0" w:color="auto"/>
        <w:left w:val="none" w:sz="0" w:space="0" w:color="auto"/>
        <w:bottom w:val="none" w:sz="0" w:space="0" w:color="auto"/>
        <w:right w:val="none" w:sz="0" w:space="0" w:color="auto"/>
      </w:divBdr>
    </w:div>
    <w:div w:id="1733121058">
      <w:bodyDiv w:val="1"/>
      <w:marLeft w:val="0"/>
      <w:marRight w:val="0"/>
      <w:marTop w:val="0"/>
      <w:marBottom w:val="0"/>
      <w:divBdr>
        <w:top w:val="none" w:sz="0" w:space="0" w:color="auto"/>
        <w:left w:val="none" w:sz="0" w:space="0" w:color="auto"/>
        <w:bottom w:val="none" w:sz="0" w:space="0" w:color="auto"/>
        <w:right w:val="none" w:sz="0" w:space="0" w:color="auto"/>
      </w:divBdr>
    </w:div>
    <w:div w:id="1735472745">
      <w:bodyDiv w:val="1"/>
      <w:marLeft w:val="0"/>
      <w:marRight w:val="0"/>
      <w:marTop w:val="0"/>
      <w:marBottom w:val="0"/>
      <w:divBdr>
        <w:top w:val="none" w:sz="0" w:space="0" w:color="auto"/>
        <w:left w:val="none" w:sz="0" w:space="0" w:color="auto"/>
        <w:bottom w:val="none" w:sz="0" w:space="0" w:color="auto"/>
        <w:right w:val="none" w:sz="0" w:space="0" w:color="auto"/>
      </w:divBdr>
    </w:div>
    <w:div w:id="1749695428">
      <w:bodyDiv w:val="1"/>
      <w:marLeft w:val="0"/>
      <w:marRight w:val="0"/>
      <w:marTop w:val="0"/>
      <w:marBottom w:val="0"/>
      <w:divBdr>
        <w:top w:val="none" w:sz="0" w:space="0" w:color="auto"/>
        <w:left w:val="none" w:sz="0" w:space="0" w:color="auto"/>
        <w:bottom w:val="none" w:sz="0" w:space="0" w:color="auto"/>
        <w:right w:val="none" w:sz="0" w:space="0" w:color="auto"/>
      </w:divBdr>
    </w:div>
    <w:div w:id="1751076759">
      <w:bodyDiv w:val="1"/>
      <w:marLeft w:val="0"/>
      <w:marRight w:val="0"/>
      <w:marTop w:val="0"/>
      <w:marBottom w:val="0"/>
      <w:divBdr>
        <w:top w:val="none" w:sz="0" w:space="0" w:color="auto"/>
        <w:left w:val="none" w:sz="0" w:space="0" w:color="auto"/>
        <w:bottom w:val="none" w:sz="0" w:space="0" w:color="auto"/>
        <w:right w:val="none" w:sz="0" w:space="0" w:color="auto"/>
      </w:divBdr>
    </w:div>
    <w:div w:id="1760175585">
      <w:bodyDiv w:val="1"/>
      <w:marLeft w:val="0"/>
      <w:marRight w:val="0"/>
      <w:marTop w:val="0"/>
      <w:marBottom w:val="0"/>
      <w:divBdr>
        <w:top w:val="none" w:sz="0" w:space="0" w:color="auto"/>
        <w:left w:val="none" w:sz="0" w:space="0" w:color="auto"/>
        <w:bottom w:val="none" w:sz="0" w:space="0" w:color="auto"/>
        <w:right w:val="none" w:sz="0" w:space="0" w:color="auto"/>
      </w:divBdr>
    </w:div>
    <w:div w:id="1763447547">
      <w:bodyDiv w:val="1"/>
      <w:marLeft w:val="0"/>
      <w:marRight w:val="0"/>
      <w:marTop w:val="0"/>
      <w:marBottom w:val="0"/>
      <w:divBdr>
        <w:top w:val="none" w:sz="0" w:space="0" w:color="auto"/>
        <w:left w:val="none" w:sz="0" w:space="0" w:color="auto"/>
        <w:bottom w:val="none" w:sz="0" w:space="0" w:color="auto"/>
        <w:right w:val="none" w:sz="0" w:space="0" w:color="auto"/>
      </w:divBdr>
    </w:div>
    <w:div w:id="1801459287">
      <w:bodyDiv w:val="1"/>
      <w:marLeft w:val="0"/>
      <w:marRight w:val="0"/>
      <w:marTop w:val="0"/>
      <w:marBottom w:val="0"/>
      <w:divBdr>
        <w:top w:val="none" w:sz="0" w:space="0" w:color="auto"/>
        <w:left w:val="none" w:sz="0" w:space="0" w:color="auto"/>
        <w:bottom w:val="none" w:sz="0" w:space="0" w:color="auto"/>
        <w:right w:val="none" w:sz="0" w:space="0" w:color="auto"/>
      </w:divBdr>
    </w:div>
    <w:div w:id="1815104183">
      <w:bodyDiv w:val="1"/>
      <w:marLeft w:val="0"/>
      <w:marRight w:val="0"/>
      <w:marTop w:val="0"/>
      <w:marBottom w:val="0"/>
      <w:divBdr>
        <w:top w:val="none" w:sz="0" w:space="0" w:color="auto"/>
        <w:left w:val="none" w:sz="0" w:space="0" w:color="auto"/>
        <w:bottom w:val="none" w:sz="0" w:space="0" w:color="auto"/>
        <w:right w:val="none" w:sz="0" w:space="0" w:color="auto"/>
      </w:divBdr>
    </w:div>
    <w:div w:id="1816752027">
      <w:bodyDiv w:val="1"/>
      <w:marLeft w:val="0"/>
      <w:marRight w:val="0"/>
      <w:marTop w:val="0"/>
      <w:marBottom w:val="0"/>
      <w:divBdr>
        <w:top w:val="none" w:sz="0" w:space="0" w:color="auto"/>
        <w:left w:val="none" w:sz="0" w:space="0" w:color="auto"/>
        <w:bottom w:val="none" w:sz="0" w:space="0" w:color="auto"/>
        <w:right w:val="none" w:sz="0" w:space="0" w:color="auto"/>
      </w:divBdr>
    </w:div>
    <w:div w:id="1831211308">
      <w:bodyDiv w:val="1"/>
      <w:marLeft w:val="0"/>
      <w:marRight w:val="0"/>
      <w:marTop w:val="0"/>
      <w:marBottom w:val="0"/>
      <w:divBdr>
        <w:top w:val="none" w:sz="0" w:space="0" w:color="auto"/>
        <w:left w:val="none" w:sz="0" w:space="0" w:color="auto"/>
        <w:bottom w:val="none" w:sz="0" w:space="0" w:color="auto"/>
        <w:right w:val="none" w:sz="0" w:space="0" w:color="auto"/>
      </w:divBdr>
    </w:div>
    <w:div w:id="1835296128">
      <w:bodyDiv w:val="1"/>
      <w:marLeft w:val="0"/>
      <w:marRight w:val="0"/>
      <w:marTop w:val="0"/>
      <w:marBottom w:val="0"/>
      <w:divBdr>
        <w:top w:val="none" w:sz="0" w:space="0" w:color="auto"/>
        <w:left w:val="none" w:sz="0" w:space="0" w:color="auto"/>
        <w:bottom w:val="none" w:sz="0" w:space="0" w:color="auto"/>
        <w:right w:val="none" w:sz="0" w:space="0" w:color="auto"/>
      </w:divBdr>
    </w:div>
    <w:div w:id="1841891599">
      <w:bodyDiv w:val="1"/>
      <w:marLeft w:val="0"/>
      <w:marRight w:val="0"/>
      <w:marTop w:val="0"/>
      <w:marBottom w:val="0"/>
      <w:divBdr>
        <w:top w:val="none" w:sz="0" w:space="0" w:color="auto"/>
        <w:left w:val="none" w:sz="0" w:space="0" w:color="auto"/>
        <w:bottom w:val="none" w:sz="0" w:space="0" w:color="auto"/>
        <w:right w:val="none" w:sz="0" w:space="0" w:color="auto"/>
      </w:divBdr>
    </w:div>
    <w:div w:id="1850363301">
      <w:bodyDiv w:val="1"/>
      <w:marLeft w:val="0"/>
      <w:marRight w:val="0"/>
      <w:marTop w:val="0"/>
      <w:marBottom w:val="0"/>
      <w:divBdr>
        <w:top w:val="none" w:sz="0" w:space="0" w:color="auto"/>
        <w:left w:val="none" w:sz="0" w:space="0" w:color="auto"/>
        <w:bottom w:val="none" w:sz="0" w:space="0" w:color="auto"/>
        <w:right w:val="none" w:sz="0" w:space="0" w:color="auto"/>
      </w:divBdr>
    </w:div>
    <w:div w:id="1854684514">
      <w:bodyDiv w:val="1"/>
      <w:marLeft w:val="0"/>
      <w:marRight w:val="0"/>
      <w:marTop w:val="0"/>
      <w:marBottom w:val="0"/>
      <w:divBdr>
        <w:top w:val="none" w:sz="0" w:space="0" w:color="auto"/>
        <w:left w:val="none" w:sz="0" w:space="0" w:color="auto"/>
        <w:bottom w:val="none" w:sz="0" w:space="0" w:color="auto"/>
        <w:right w:val="none" w:sz="0" w:space="0" w:color="auto"/>
      </w:divBdr>
    </w:div>
    <w:div w:id="1866288000">
      <w:bodyDiv w:val="1"/>
      <w:marLeft w:val="0"/>
      <w:marRight w:val="0"/>
      <w:marTop w:val="0"/>
      <w:marBottom w:val="0"/>
      <w:divBdr>
        <w:top w:val="none" w:sz="0" w:space="0" w:color="auto"/>
        <w:left w:val="none" w:sz="0" w:space="0" w:color="auto"/>
        <w:bottom w:val="none" w:sz="0" w:space="0" w:color="auto"/>
        <w:right w:val="none" w:sz="0" w:space="0" w:color="auto"/>
      </w:divBdr>
    </w:div>
    <w:div w:id="1869833064">
      <w:bodyDiv w:val="1"/>
      <w:marLeft w:val="0"/>
      <w:marRight w:val="0"/>
      <w:marTop w:val="0"/>
      <w:marBottom w:val="0"/>
      <w:divBdr>
        <w:top w:val="none" w:sz="0" w:space="0" w:color="auto"/>
        <w:left w:val="none" w:sz="0" w:space="0" w:color="auto"/>
        <w:bottom w:val="none" w:sz="0" w:space="0" w:color="auto"/>
        <w:right w:val="none" w:sz="0" w:space="0" w:color="auto"/>
      </w:divBdr>
    </w:div>
    <w:div w:id="1874687426">
      <w:bodyDiv w:val="1"/>
      <w:marLeft w:val="0"/>
      <w:marRight w:val="0"/>
      <w:marTop w:val="0"/>
      <w:marBottom w:val="0"/>
      <w:divBdr>
        <w:top w:val="none" w:sz="0" w:space="0" w:color="auto"/>
        <w:left w:val="none" w:sz="0" w:space="0" w:color="auto"/>
        <w:bottom w:val="none" w:sz="0" w:space="0" w:color="auto"/>
        <w:right w:val="none" w:sz="0" w:space="0" w:color="auto"/>
      </w:divBdr>
    </w:div>
    <w:div w:id="1882210333">
      <w:bodyDiv w:val="1"/>
      <w:marLeft w:val="0"/>
      <w:marRight w:val="0"/>
      <w:marTop w:val="0"/>
      <w:marBottom w:val="0"/>
      <w:divBdr>
        <w:top w:val="none" w:sz="0" w:space="0" w:color="auto"/>
        <w:left w:val="none" w:sz="0" w:space="0" w:color="auto"/>
        <w:bottom w:val="none" w:sz="0" w:space="0" w:color="auto"/>
        <w:right w:val="none" w:sz="0" w:space="0" w:color="auto"/>
      </w:divBdr>
    </w:div>
    <w:div w:id="1896045081">
      <w:bodyDiv w:val="1"/>
      <w:marLeft w:val="0"/>
      <w:marRight w:val="0"/>
      <w:marTop w:val="0"/>
      <w:marBottom w:val="0"/>
      <w:divBdr>
        <w:top w:val="none" w:sz="0" w:space="0" w:color="auto"/>
        <w:left w:val="none" w:sz="0" w:space="0" w:color="auto"/>
        <w:bottom w:val="none" w:sz="0" w:space="0" w:color="auto"/>
        <w:right w:val="none" w:sz="0" w:space="0" w:color="auto"/>
      </w:divBdr>
    </w:div>
    <w:div w:id="1911307937">
      <w:bodyDiv w:val="1"/>
      <w:marLeft w:val="0"/>
      <w:marRight w:val="0"/>
      <w:marTop w:val="0"/>
      <w:marBottom w:val="0"/>
      <w:divBdr>
        <w:top w:val="none" w:sz="0" w:space="0" w:color="auto"/>
        <w:left w:val="none" w:sz="0" w:space="0" w:color="auto"/>
        <w:bottom w:val="none" w:sz="0" w:space="0" w:color="auto"/>
        <w:right w:val="none" w:sz="0" w:space="0" w:color="auto"/>
      </w:divBdr>
    </w:div>
    <w:div w:id="1921669713">
      <w:bodyDiv w:val="1"/>
      <w:marLeft w:val="0"/>
      <w:marRight w:val="0"/>
      <w:marTop w:val="0"/>
      <w:marBottom w:val="0"/>
      <w:divBdr>
        <w:top w:val="none" w:sz="0" w:space="0" w:color="auto"/>
        <w:left w:val="none" w:sz="0" w:space="0" w:color="auto"/>
        <w:bottom w:val="none" w:sz="0" w:space="0" w:color="auto"/>
        <w:right w:val="none" w:sz="0" w:space="0" w:color="auto"/>
      </w:divBdr>
    </w:div>
    <w:div w:id="1925144114">
      <w:bodyDiv w:val="1"/>
      <w:marLeft w:val="0"/>
      <w:marRight w:val="0"/>
      <w:marTop w:val="0"/>
      <w:marBottom w:val="0"/>
      <w:divBdr>
        <w:top w:val="none" w:sz="0" w:space="0" w:color="auto"/>
        <w:left w:val="none" w:sz="0" w:space="0" w:color="auto"/>
        <w:bottom w:val="none" w:sz="0" w:space="0" w:color="auto"/>
        <w:right w:val="none" w:sz="0" w:space="0" w:color="auto"/>
      </w:divBdr>
    </w:div>
    <w:div w:id="1930580889">
      <w:bodyDiv w:val="1"/>
      <w:marLeft w:val="0"/>
      <w:marRight w:val="0"/>
      <w:marTop w:val="0"/>
      <w:marBottom w:val="0"/>
      <w:divBdr>
        <w:top w:val="none" w:sz="0" w:space="0" w:color="auto"/>
        <w:left w:val="none" w:sz="0" w:space="0" w:color="auto"/>
        <w:bottom w:val="none" w:sz="0" w:space="0" w:color="auto"/>
        <w:right w:val="none" w:sz="0" w:space="0" w:color="auto"/>
      </w:divBdr>
    </w:div>
    <w:div w:id="1931809473">
      <w:bodyDiv w:val="1"/>
      <w:marLeft w:val="0"/>
      <w:marRight w:val="0"/>
      <w:marTop w:val="0"/>
      <w:marBottom w:val="0"/>
      <w:divBdr>
        <w:top w:val="none" w:sz="0" w:space="0" w:color="auto"/>
        <w:left w:val="none" w:sz="0" w:space="0" w:color="auto"/>
        <w:bottom w:val="none" w:sz="0" w:space="0" w:color="auto"/>
        <w:right w:val="none" w:sz="0" w:space="0" w:color="auto"/>
      </w:divBdr>
    </w:div>
    <w:div w:id="1939634571">
      <w:bodyDiv w:val="1"/>
      <w:marLeft w:val="0"/>
      <w:marRight w:val="0"/>
      <w:marTop w:val="0"/>
      <w:marBottom w:val="0"/>
      <w:divBdr>
        <w:top w:val="none" w:sz="0" w:space="0" w:color="auto"/>
        <w:left w:val="none" w:sz="0" w:space="0" w:color="auto"/>
        <w:bottom w:val="none" w:sz="0" w:space="0" w:color="auto"/>
        <w:right w:val="none" w:sz="0" w:space="0" w:color="auto"/>
      </w:divBdr>
    </w:div>
    <w:div w:id="1943220208">
      <w:bodyDiv w:val="1"/>
      <w:marLeft w:val="0"/>
      <w:marRight w:val="0"/>
      <w:marTop w:val="0"/>
      <w:marBottom w:val="0"/>
      <w:divBdr>
        <w:top w:val="none" w:sz="0" w:space="0" w:color="auto"/>
        <w:left w:val="none" w:sz="0" w:space="0" w:color="auto"/>
        <w:bottom w:val="none" w:sz="0" w:space="0" w:color="auto"/>
        <w:right w:val="none" w:sz="0" w:space="0" w:color="auto"/>
      </w:divBdr>
    </w:div>
    <w:div w:id="1946036387">
      <w:bodyDiv w:val="1"/>
      <w:marLeft w:val="0"/>
      <w:marRight w:val="0"/>
      <w:marTop w:val="0"/>
      <w:marBottom w:val="0"/>
      <w:divBdr>
        <w:top w:val="none" w:sz="0" w:space="0" w:color="auto"/>
        <w:left w:val="none" w:sz="0" w:space="0" w:color="auto"/>
        <w:bottom w:val="none" w:sz="0" w:space="0" w:color="auto"/>
        <w:right w:val="none" w:sz="0" w:space="0" w:color="auto"/>
      </w:divBdr>
    </w:div>
    <w:div w:id="1949972520">
      <w:bodyDiv w:val="1"/>
      <w:marLeft w:val="0"/>
      <w:marRight w:val="0"/>
      <w:marTop w:val="0"/>
      <w:marBottom w:val="0"/>
      <w:divBdr>
        <w:top w:val="none" w:sz="0" w:space="0" w:color="auto"/>
        <w:left w:val="none" w:sz="0" w:space="0" w:color="auto"/>
        <w:bottom w:val="none" w:sz="0" w:space="0" w:color="auto"/>
        <w:right w:val="none" w:sz="0" w:space="0" w:color="auto"/>
      </w:divBdr>
    </w:div>
    <w:div w:id="1950578595">
      <w:bodyDiv w:val="1"/>
      <w:marLeft w:val="0"/>
      <w:marRight w:val="0"/>
      <w:marTop w:val="0"/>
      <w:marBottom w:val="0"/>
      <w:divBdr>
        <w:top w:val="none" w:sz="0" w:space="0" w:color="auto"/>
        <w:left w:val="none" w:sz="0" w:space="0" w:color="auto"/>
        <w:bottom w:val="none" w:sz="0" w:space="0" w:color="auto"/>
        <w:right w:val="none" w:sz="0" w:space="0" w:color="auto"/>
      </w:divBdr>
    </w:div>
    <w:div w:id="1957633204">
      <w:bodyDiv w:val="1"/>
      <w:marLeft w:val="0"/>
      <w:marRight w:val="0"/>
      <w:marTop w:val="0"/>
      <w:marBottom w:val="0"/>
      <w:divBdr>
        <w:top w:val="none" w:sz="0" w:space="0" w:color="auto"/>
        <w:left w:val="none" w:sz="0" w:space="0" w:color="auto"/>
        <w:bottom w:val="none" w:sz="0" w:space="0" w:color="auto"/>
        <w:right w:val="none" w:sz="0" w:space="0" w:color="auto"/>
      </w:divBdr>
    </w:div>
    <w:div w:id="1984037157">
      <w:bodyDiv w:val="1"/>
      <w:marLeft w:val="0"/>
      <w:marRight w:val="0"/>
      <w:marTop w:val="0"/>
      <w:marBottom w:val="0"/>
      <w:divBdr>
        <w:top w:val="none" w:sz="0" w:space="0" w:color="auto"/>
        <w:left w:val="none" w:sz="0" w:space="0" w:color="auto"/>
        <w:bottom w:val="none" w:sz="0" w:space="0" w:color="auto"/>
        <w:right w:val="none" w:sz="0" w:space="0" w:color="auto"/>
      </w:divBdr>
    </w:div>
    <w:div w:id="2045052415">
      <w:bodyDiv w:val="1"/>
      <w:marLeft w:val="0"/>
      <w:marRight w:val="0"/>
      <w:marTop w:val="0"/>
      <w:marBottom w:val="0"/>
      <w:divBdr>
        <w:top w:val="none" w:sz="0" w:space="0" w:color="auto"/>
        <w:left w:val="none" w:sz="0" w:space="0" w:color="auto"/>
        <w:bottom w:val="none" w:sz="0" w:space="0" w:color="auto"/>
        <w:right w:val="none" w:sz="0" w:space="0" w:color="auto"/>
      </w:divBdr>
    </w:div>
    <w:div w:id="2058042595">
      <w:bodyDiv w:val="1"/>
      <w:marLeft w:val="0"/>
      <w:marRight w:val="0"/>
      <w:marTop w:val="0"/>
      <w:marBottom w:val="0"/>
      <w:divBdr>
        <w:top w:val="none" w:sz="0" w:space="0" w:color="auto"/>
        <w:left w:val="none" w:sz="0" w:space="0" w:color="auto"/>
        <w:bottom w:val="none" w:sz="0" w:space="0" w:color="auto"/>
        <w:right w:val="none" w:sz="0" w:space="0" w:color="auto"/>
      </w:divBdr>
    </w:div>
    <w:div w:id="2058895774">
      <w:bodyDiv w:val="1"/>
      <w:marLeft w:val="0"/>
      <w:marRight w:val="0"/>
      <w:marTop w:val="0"/>
      <w:marBottom w:val="0"/>
      <w:divBdr>
        <w:top w:val="none" w:sz="0" w:space="0" w:color="auto"/>
        <w:left w:val="none" w:sz="0" w:space="0" w:color="auto"/>
        <w:bottom w:val="none" w:sz="0" w:space="0" w:color="auto"/>
        <w:right w:val="none" w:sz="0" w:space="0" w:color="auto"/>
      </w:divBdr>
    </w:div>
    <w:div w:id="2065715610">
      <w:bodyDiv w:val="1"/>
      <w:marLeft w:val="0"/>
      <w:marRight w:val="0"/>
      <w:marTop w:val="0"/>
      <w:marBottom w:val="0"/>
      <w:divBdr>
        <w:top w:val="none" w:sz="0" w:space="0" w:color="auto"/>
        <w:left w:val="none" w:sz="0" w:space="0" w:color="auto"/>
        <w:bottom w:val="none" w:sz="0" w:space="0" w:color="auto"/>
        <w:right w:val="none" w:sz="0" w:space="0" w:color="auto"/>
      </w:divBdr>
    </w:div>
    <w:div w:id="2074615905">
      <w:bodyDiv w:val="1"/>
      <w:marLeft w:val="0"/>
      <w:marRight w:val="0"/>
      <w:marTop w:val="0"/>
      <w:marBottom w:val="0"/>
      <w:divBdr>
        <w:top w:val="none" w:sz="0" w:space="0" w:color="auto"/>
        <w:left w:val="none" w:sz="0" w:space="0" w:color="auto"/>
        <w:bottom w:val="none" w:sz="0" w:space="0" w:color="auto"/>
        <w:right w:val="none" w:sz="0" w:space="0" w:color="auto"/>
      </w:divBdr>
    </w:div>
    <w:div w:id="2076270276">
      <w:bodyDiv w:val="1"/>
      <w:marLeft w:val="0"/>
      <w:marRight w:val="0"/>
      <w:marTop w:val="0"/>
      <w:marBottom w:val="0"/>
      <w:divBdr>
        <w:top w:val="none" w:sz="0" w:space="0" w:color="auto"/>
        <w:left w:val="none" w:sz="0" w:space="0" w:color="auto"/>
        <w:bottom w:val="none" w:sz="0" w:space="0" w:color="auto"/>
        <w:right w:val="none" w:sz="0" w:space="0" w:color="auto"/>
      </w:divBdr>
    </w:div>
    <w:div w:id="2078551116">
      <w:bodyDiv w:val="1"/>
      <w:marLeft w:val="0"/>
      <w:marRight w:val="0"/>
      <w:marTop w:val="0"/>
      <w:marBottom w:val="0"/>
      <w:divBdr>
        <w:top w:val="none" w:sz="0" w:space="0" w:color="auto"/>
        <w:left w:val="none" w:sz="0" w:space="0" w:color="auto"/>
        <w:bottom w:val="none" w:sz="0" w:space="0" w:color="auto"/>
        <w:right w:val="none" w:sz="0" w:space="0" w:color="auto"/>
      </w:divBdr>
    </w:div>
    <w:div w:id="2087071804">
      <w:bodyDiv w:val="1"/>
      <w:marLeft w:val="0"/>
      <w:marRight w:val="0"/>
      <w:marTop w:val="0"/>
      <w:marBottom w:val="0"/>
      <w:divBdr>
        <w:top w:val="none" w:sz="0" w:space="0" w:color="auto"/>
        <w:left w:val="none" w:sz="0" w:space="0" w:color="auto"/>
        <w:bottom w:val="none" w:sz="0" w:space="0" w:color="auto"/>
        <w:right w:val="none" w:sz="0" w:space="0" w:color="auto"/>
      </w:divBdr>
    </w:div>
    <w:div w:id="2091195939">
      <w:bodyDiv w:val="1"/>
      <w:marLeft w:val="0"/>
      <w:marRight w:val="0"/>
      <w:marTop w:val="0"/>
      <w:marBottom w:val="0"/>
      <w:divBdr>
        <w:top w:val="none" w:sz="0" w:space="0" w:color="auto"/>
        <w:left w:val="none" w:sz="0" w:space="0" w:color="auto"/>
        <w:bottom w:val="none" w:sz="0" w:space="0" w:color="auto"/>
        <w:right w:val="none" w:sz="0" w:space="0" w:color="auto"/>
      </w:divBdr>
    </w:div>
    <w:div w:id="2110807251">
      <w:bodyDiv w:val="1"/>
      <w:marLeft w:val="0"/>
      <w:marRight w:val="0"/>
      <w:marTop w:val="0"/>
      <w:marBottom w:val="0"/>
      <w:divBdr>
        <w:top w:val="none" w:sz="0" w:space="0" w:color="auto"/>
        <w:left w:val="none" w:sz="0" w:space="0" w:color="auto"/>
        <w:bottom w:val="none" w:sz="0" w:space="0" w:color="auto"/>
        <w:right w:val="none" w:sz="0" w:space="0" w:color="auto"/>
      </w:divBdr>
    </w:div>
    <w:div w:id="2112387634">
      <w:bodyDiv w:val="1"/>
      <w:marLeft w:val="0"/>
      <w:marRight w:val="0"/>
      <w:marTop w:val="0"/>
      <w:marBottom w:val="0"/>
      <w:divBdr>
        <w:top w:val="none" w:sz="0" w:space="0" w:color="auto"/>
        <w:left w:val="none" w:sz="0" w:space="0" w:color="auto"/>
        <w:bottom w:val="none" w:sz="0" w:space="0" w:color="auto"/>
        <w:right w:val="none" w:sz="0" w:space="0" w:color="auto"/>
      </w:divBdr>
    </w:div>
    <w:div w:id="211297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berto%20Godoy%20F\Downloads\Varios%20Ximena\Prisi&#243;n%20preventiva\El%20derecho%20a%20un%20juicio%20imparcial%20y%20a%20la%20igualdad%20ante%20los%20tribunales%20y%20cortes%20de%20justic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dpp.cl/repositorio/196/542" TargetMode="External"/><Relationship Id="rId3" Type="http://schemas.openxmlformats.org/officeDocument/2006/relationships/hyperlink" Target="https://conf-dts1.unog.ch/1" TargetMode="External"/><Relationship Id="rId7" Type="http://schemas.openxmlformats.org/officeDocument/2006/relationships/hyperlink" Target="https://conf-dts1.unog.ch/1" TargetMode="External"/><Relationship Id="rId2" Type="http://schemas.openxmlformats.org/officeDocument/2006/relationships/hyperlink" Target="http://repositorio.uchile.cl/bitstream/handle/2250/112169/debravo_n.pdf?sequence=1" TargetMode="External"/><Relationship Id="rId1" Type="http://schemas.openxmlformats.org/officeDocument/2006/relationships/hyperlink" Target="https://derechopenalonline.com/el-neopunitivismo-como-instrumento-de-desgobierno-sobre-una-tendencia-en-espana-que-no-es-solo-de-espana/" TargetMode="External"/><Relationship Id="rId6" Type="http://schemas.openxmlformats.org/officeDocument/2006/relationships/hyperlink" Target="https://conf-dts1.unog.ch/1" TargetMode="External"/><Relationship Id="rId5" Type="http://schemas.openxmlformats.org/officeDocument/2006/relationships/hyperlink" Target="file:///C:\Users\Roberto%20Godoy%20F\Downloads\Varios%20Ximena\Prisi&#243;n%20preventiva\El%20derecho%20a%20un%20juicio%20imparcial%20y%20a%20la%20igualdad%20ante%20los%20tribunales%20y%20cortes%20de%20justicia" TargetMode="External"/><Relationship Id="rId10" Type="http://schemas.openxmlformats.org/officeDocument/2006/relationships/hyperlink" Target="https://conf-dts1.unog.ch/1" TargetMode="External"/><Relationship Id="rId4" Type="http://schemas.openxmlformats.org/officeDocument/2006/relationships/hyperlink" Target="https://conf-dts1.unog.ch/1" TargetMode="External"/><Relationship Id="rId9" Type="http://schemas.openxmlformats.org/officeDocument/2006/relationships/hyperlink" Target="https://conf-dts1.unog.ch/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057C9-52EC-4AEE-BCEC-456FAEB07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9528</Words>
  <Characters>52406</Characters>
  <Application>Microsoft Office Word</Application>
  <DocSecurity>0</DocSecurity>
  <Lines>436</Lines>
  <Paragraphs>123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61811</CharactersWithSpaces>
  <SharedDoc>false</SharedDoc>
  <HLinks>
    <vt:vector size="72" baseType="variant">
      <vt:variant>
        <vt:i4>12517416</vt:i4>
      </vt:variant>
      <vt:variant>
        <vt:i4>0</vt:i4>
      </vt:variant>
      <vt:variant>
        <vt:i4>0</vt:i4>
      </vt:variant>
      <vt:variant>
        <vt:i4>5</vt:i4>
      </vt:variant>
      <vt:variant>
        <vt:lpwstr>Varios Ximena/Prisión preventiva/El derecho a un juicio imparcial y a la igualdad ante los tribunales y cortes de justicia</vt:lpwstr>
      </vt:variant>
      <vt:variant>
        <vt:lpwstr/>
      </vt:variant>
      <vt:variant>
        <vt:i4>6553721</vt:i4>
      </vt:variant>
      <vt:variant>
        <vt:i4>27</vt:i4>
      </vt:variant>
      <vt:variant>
        <vt:i4>0</vt:i4>
      </vt:variant>
      <vt:variant>
        <vt:i4>5</vt:i4>
      </vt:variant>
      <vt:variant>
        <vt:lpwstr>https://conf-dts1.unog.ch/1</vt:lpwstr>
      </vt:variant>
      <vt:variant>
        <vt:lpwstr/>
      </vt:variant>
      <vt:variant>
        <vt:i4>6553721</vt:i4>
      </vt:variant>
      <vt:variant>
        <vt:i4>24</vt:i4>
      </vt:variant>
      <vt:variant>
        <vt:i4>0</vt:i4>
      </vt:variant>
      <vt:variant>
        <vt:i4>5</vt:i4>
      </vt:variant>
      <vt:variant>
        <vt:lpwstr>https://conf-dts1.unog.ch/1</vt:lpwstr>
      </vt:variant>
      <vt:variant>
        <vt:lpwstr/>
      </vt:variant>
      <vt:variant>
        <vt:i4>1769544</vt:i4>
      </vt:variant>
      <vt:variant>
        <vt:i4>21</vt:i4>
      </vt:variant>
      <vt:variant>
        <vt:i4>0</vt:i4>
      </vt:variant>
      <vt:variant>
        <vt:i4>5</vt:i4>
      </vt:variant>
      <vt:variant>
        <vt:lpwstr>http://www.dpp.cl/repositorio/196/542</vt:lpwstr>
      </vt:variant>
      <vt:variant>
        <vt:lpwstr/>
      </vt:variant>
      <vt:variant>
        <vt:i4>6553721</vt:i4>
      </vt:variant>
      <vt:variant>
        <vt:i4>18</vt:i4>
      </vt:variant>
      <vt:variant>
        <vt:i4>0</vt:i4>
      </vt:variant>
      <vt:variant>
        <vt:i4>5</vt:i4>
      </vt:variant>
      <vt:variant>
        <vt:lpwstr>https://conf-dts1.unog.ch/1</vt:lpwstr>
      </vt:variant>
      <vt:variant>
        <vt:lpwstr/>
      </vt:variant>
      <vt:variant>
        <vt:i4>6553721</vt:i4>
      </vt:variant>
      <vt:variant>
        <vt:i4>15</vt:i4>
      </vt:variant>
      <vt:variant>
        <vt:i4>0</vt:i4>
      </vt:variant>
      <vt:variant>
        <vt:i4>5</vt:i4>
      </vt:variant>
      <vt:variant>
        <vt:lpwstr>https://conf-dts1.unog.ch/1</vt:lpwstr>
      </vt:variant>
      <vt:variant>
        <vt:lpwstr/>
      </vt:variant>
      <vt:variant>
        <vt:i4>12517416</vt:i4>
      </vt:variant>
      <vt:variant>
        <vt:i4>12</vt:i4>
      </vt:variant>
      <vt:variant>
        <vt:i4>0</vt:i4>
      </vt:variant>
      <vt:variant>
        <vt:i4>5</vt:i4>
      </vt:variant>
      <vt:variant>
        <vt:lpwstr>Varios Ximena/Prisión preventiva/El derecho a un juicio imparcial y a la igualdad ante los tribunales y cortes de justicia</vt:lpwstr>
      </vt:variant>
      <vt:variant>
        <vt:lpwstr/>
      </vt:variant>
      <vt:variant>
        <vt:i4>6553721</vt:i4>
      </vt:variant>
      <vt:variant>
        <vt:i4>9</vt:i4>
      </vt:variant>
      <vt:variant>
        <vt:i4>0</vt:i4>
      </vt:variant>
      <vt:variant>
        <vt:i4>5</vt:i4>
      </vt:variant>
      <vt:variant>
        <vt:lpwstr>https://conf-dts1.unog.ch/1</vt:lpwstr>
      </vt:variant>
      <vt:variant>
        <vt:lpwstr/>
      </vt:variant>
      <vt:variant>
        <vt:i4>6553721</vt:i4>
      </vt:variant>
      <vt:variant>
        <vt:i4>6</vt:i4>
      </vt:variant>
      <vt:variant>
        <vt:i4>0</vt:i4>
      </vt:variant>
      <vt:variant>
        <vt:i4>5</vt:i4>
      </vt:variant>
      <vt:variant>
        <vt:lpwstr>https://conf-dts1.unog.ch/1</vt:lpwstr>
      </vt:variant>
      <vt:variant>
        <vt:lpwstr/>
      </vt:variant>
      <vt:variant>
        <vt:i4>1179763</vt:i4>
      </vt:variant>
      <vt:variant>
        <vt:i4>3</vt:i4>
      </vt:variant>
      <vt:variant>
        <vt:i4>0</vt:i4>
      </vt:variant>
      <vt:variant>
        <vt:i4>5</vt:i4>
      </vt:variant>
      <vt:variant>
        <vt:lpwstr>http://repositorio.uchile.cl/bitstream/handle/2250/112169/debravo_n.pdf?sequence=1</vt:lpwstr>
      </vt:variant>
      <vt:variant>
        <vt:lpwstr>:~:text=El%20Derecho%20Penal%20del%20Enemigo%20es%20una%20t%C3%A9cnica%20legislativa%20que,de%20las%20relaciones%20sociales%20personales</vt:lpwstr>
      </vt:variant>
      <vt:variant>
        <vt:i4>5374018</vt:i4>
      </vt:variant>
      <vt:variant>
        <vt:i4>0</vt:i4>
      </vt:variant>
      <vt:variant>
        <vt:i4>0</vt:i4>
      </vt:variant>
      <vt:variant>
        <vt:i4>5</vt:i4>
      </vt:variant>
      <vt:variant>
        <vt:lpwstr>https://derechopenalonline.com/el-neopunitivismo-como-instrumento-de-desgobierno-sobre-una-tendencia-en-espana-que-no-es-solo-de-espana/</vt:lpwstr>
      </vt:variant>
      <vt:variant>
        <vt:lpwstr/>
      </vt:variant>
      <vt:variant>
        <vt:i4>6815759</vt:i4>
      </vt:variant>
      <vt:variant>
        <vt:i4>64502</vt:i4>
      </vt:variant>
      <vt:variant>
        <vt:i4>1033</vt:i4>
      </vt:variant>
      <vt:variant>
        <vt:i4>1</vt:i4>
      </vt:variant>
      <vt:variant>
        <vt:lpwstr>https://lh5.googleusercontent.com/QiF0CRfrwXTYzGEzdz4vAtoqQPD36AsdEYCeH0lKzp0urj9gRX7zQbtbVx8uNNCYoCOankI-GSeuh_Dft-YsMZPOVRB1FBKCBGK4iqzlq6wpMIUDsIxr2IF-O6MzSmlvWVwLZUQV=s0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Gómez Barboza</dc:creator>
  <cp:keywords/>
  <dc:description/>
  <cp:lastModifiedBy>AVILLARROEL</cp:lastModifiedBy>
  <cp:revision>2</cp:revision>
  <cp:lastPrinted>2021-09-21T18:03:00Z</cp:lastPrinted>
  <dcterms:created xsi:type="dcterms:W3CDTF">2021-09-21T18:57:00Z</dcterms:created>
  <dcterms:modified xsi:type="dcterms:W3CDTF">2021-09-21T18:57:00Z</dcterms:modified>
</cp:coreProperties>
</file>