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637CE7" w14:textId="77777777" w:rsidR="00025406" w:rsidRPr="00025406" w:rsidRDefault="00025406" w:rsidP="00686CB1">
      <w:pPr>
        <w:spacing w:after="0" w:line="276" w:lineRule="auto"/>
        <w:ind w:left="0" w:right="0"/>
        <w:jc w:val="right"/>
        <w:rPr>
          <w:rFonts w:ascii="Times" w:eastAsia="Times New Roman" w:hAnsi="Times" w:cs="Times New Roman"/>
          <w:b/>
          <w:bCs/>
          <w:sz w:val="24"/>
        </w:rPr>
      </w:pPr>
      <w:r w:rsidRPr="00025406">
        <w:rPr>
          <w:rFonts w:ascii="Times" w:eastAsia="Times New Roman" w:hAnsi="Times" w:cs="Times New Roman"/>
          <w:b/>
          <w:bCs/>
          <w:sz w:val="24"/>
        </w:rPr>
        <w:t>Boletín N° 14.675-13</w:t>
      </w:r>
    </w:p>
    <w:p w14:paraId="03B412FC" w14:textId="77777777" w:rsidR="00025406" w:rsidRPr="00025406" w:rsidRDefault="00025406" w:rsidP="00686CB1">
      <w:pPr>
        <w:spacing w:after="0" w:line="276" w:lineRule="auto"/>
        <w:ind w:left="0" w:right="0"/>
        <w:jc w:val="left"/>
        <w:rPr>
          <w:rFonts w:ascii="Times" w:eastAsia="Times New Roman" w:hAnsi="Times" w:cs="Times New Roman"/>
          <w:b/>
          <w:bCs/>
          <w:sz w:val="24"/>
        </w:rPr>
      </w:pPr>
    </w:p>
    <w:p w14:paraId="7F6D6D82" w14:textId="4CCD86AA" w:rsidR="00025406" w:rsidRPr="00025406" w:rsidRDefault="00025406" w:rsidP="00686CB1">
      <w:pPr>
        <w:spacing w:after="0" w:line="276" w:lineRule="auto"/>
        <w:ind w:left="0" w:right="0"/>
        <w:rPr>
          <w:rFonts w:ascii="Times" w:eastAsia="Times New Roman" w:hAnsi="Times" w:cs="Times New Roman"/>
          <w:b/>
          <w:bCs/>
          <w:sz w:val="24"/>
        </w:rPr>
      </w:pPr>
      <w:r w:rsidRPr="00025406">
        <w:rPr>
          <w:rFonts w:ascii="Times" w:eastAsia="Times New Roman" w:hAnsi="Times" w:cs="Times New Roman"/>
          <w:b/>
          <w:bCs/>
          <w:sz w:val="24"/>
        </w:rPr>
        <w:t xml:space="preserve">Proyecto de ley, iniciado en moción de los Honorables Senadores señora Aravena y señores Chahuán, García, </w:t>
      </w:r>
      <w:proofErr w:type="spellStart"/>
      <w:r w:rsidRPr="00025406">
        <w:rPr>
          <w:rFonts w:ascii="Times" w:eastAsia="Times New Roman" w:hAnsi="Times" w:cs="Times New Roman"/>
          <w:b/>
          <w:bCs/>
          <w:sz w:val="24"/>
        </w:rPr>
        <w:t>Prohens</w:t>
      </w:r>
      <w:proofErr w:type="spellEnd"/>
      <w:r w:rsidRPr="00025406">
        <w:rPr>
          <w:rFonts w:ascii="Times" w:eastAsia="Times New Roman" w:hAnsi="Times" w:cs="Times New Roman"/>
          <w:b/>
          <w:bCs/>
          <w:sz w:val="24"/>
        </w:rPr>
        <w:t xml:space="preserve"> y Pugh, que modifica el Código del Trabajo, para dar preferencia en la tramitación judicial a las causas que se indican.</w:t>
      </w:r>
    </w:p>
    <w:p w14:paraId="6EA43354" w14:textId="77777777" w:rsidR="00025406" w:rsidRDefault="00025406" w:rsidP="00686CB1">
      <w:pPr>
        <w:spacing w:after="0" w:line="276" w:lineRule="auto"/>
        <w:ind w:left="0" w:right="0"/>
        <w:jc w:val="left"/>
        <w:rPr>
          <w:rFonts w:ascii="Times" w:eastAsia="Times New Roman" w:hAnsi="Times" w:cs="Times New Roman"/>
          <w:sz w:val="27"/>
          <w:szCs w:val="27"/>
        </w:rPr>
      </w:pPr>
    </w:p>
    <w:p w14:paraId="2FA31A2B" w14:textId="77777777" w:rsidR="00025406" w:rsidRPr="00025406" w:rsidRDefault="00025406" w:rsidP="00686CB1">
      <w:pPr>
        <w:spacing w:after="0" w:line="276" w:lineRule="auto"/>
        <w:ind w:left="0" w:right="0"/>
        <w:jc w:val="left"/>
        <w:rPr>
          <w:rFonts w:ascii="Times New Roman" w:eastAsia="Times New Roman" w:hAnsi="Times New Roman" w:cs="Times New Roman"/>
          <w:color w:val="auto"/>
          <w:sz w:val="24"/>
        </w:rPr>
      </w:pPr>
    </w:p>
    <w:p w14:paraId="476D3062" w14:textId="27AB3A27" w:rsidR="003763C0" w:rsidRPr="00025406" w:rsidRDefault="00025406" w:rsidP="00686CB1">
      <w:pPr>
        <w:spacing w:after="0" w:line="276" w:lineRule="auto"/>
        <w:ind w:left="0" w:right="0"/>
        <w:rPr>
          <w:rFonts w:ascii="Times New Roman" w:hAnsi="Times New Roman" w:cs="Times New Roman"/>
          <w:b/>
          <w:bCs/>
          <w:sz w:val="24"/>
        </w:rPr>
      </w:pPr>
      <w:r>
        <w:rPr>
          <w:rFonts w:ascii="Times New Roman" w:hAnsi="Times New Roman" w:cs="Times New Roman"/>
          <w:b/>
          <w:bCs/>
          <w:sz w:val="24"/>
        </w:rPr>
        <w:t>I</w:t>
      </w:r>
      <w:r w:rsidR="00747E76" w:rsidRPr="00025406">
        <w:rPr>
          <w:rFonts w:ascii="Times New Roman" w:hAnsi="Times New Roman" w:cs="Times New Roman"/>
          <w:b/>
          <w:bCs/>
          <w:sz w:val="24"/>
        </w:rPr>
        <w:t>.- Fundamento del proyecto</w:t>
      </w:r>
    </w:p>
    <w:p w14:paraId="6E220D36" w14:textId="77777777" w:rsidR="00025406" w:rsidRPr="00025406" w:rsidRDefault="00025406" w:rsidP="00686CB1">
      <w:pPr>
        <w:spacing w:after="0" w:line="276" w:lineRule="auto"/>
        <w:ind w:left="0" w:right="0"/>
        <w:rPr>
          <w:rFonts w:ascii="Times New Roman" w:hAnsi="Times New Roman" w:cs="Times New Roman"/>
          <w:sz w:val="24"/>
        </w:rPr>
      </w:pPr>
    </w:p>
    <w:p w14:paraId="42E5ECDA" w14:textId="2B61D278" w:rsidR="003763C0" w:rsidRDefault="00747E76" w:rsidP="00686CB1">
      <w:pPr>
        <w:spacing w:after="0" w:line="276" w:lineRule="auto"/>
        <w:ind w:left="0" w:right="0"/>
        <w:rPr>
          <w:rFonts w:ascii="Times New Roman" w:hAnsi="Times New Roman" w:cs="Times New Roman"/>
          <w:sz w:val="24"/>
        </w:rPr>
      </w:pPr>
      <w:r w:rsidRPr="00025406">
        <w:rPr>
          <w:rFonts w:ascii="Times New Roman" w:hAnsi="Times New Roman" w:cs="Times New Roman"/>
          <w:sz w:val="24"/>
        </w:rPr>
        <w:t>Es evidente que existen situaciones ventiladas en sedes jurisdiccionales en donde se producen coaliciones de derechos fundamentales en las que el respectivo órgano jurisdiccional debe ponderar cuál es el derecho fund</w:t>
      </w:r>
      <w:r w:rsidRPr="00025406">
        <w:rPr>
          <w:rFonts w:ascii="Times New Roman" w:hAnsi="Times New Roman" w:cs="Times New Roman"/>
          <w:sz w:val="24"/>
        </w:rPr>
        <w:t>amental que debe prevalecer, y actuar con la debida celeridad, eficacia y eficiencia, para poder de esa forma mermar la lesividad de los derechos fundamentales del asunto que está siendo sometidos a su conocimiento y resolución.</w:t>
      </w:r>
    </w:p>
    <w:p w14:paraId="62D41730" w14:textId="77777777" w:rsidR="00025406" w:rsidRPr="00025406" w:rsidRDefault="00025406" w:rsidP="00686CB1">
      <w:pPr>
        <w:spacing w:after="0" w:line="276" w:lineRule="auto"/>
        <w:ind w:left="0" w:right="0"/>
        <w:rPr>
          <w:rFonts w:ascii="Times New Roman" w:hAnsi="Times New Roman" w:cs="Times New Roman"/>
          <w:sz w:val="24"/>
        </w:rPr>
      </w:pPr>
    </w:p>
    <w:p w14:paraId="09BC4B74" w14:textId="5AE4008F" w:rsidR="003763C0" w:rsidRDefault="00747E76" w:rsidP="00686CB1">
      <w:pPr>
        <w:spacing w:after="0" w:line="276" w:lineRule="auto"/>
        <w:ind w:left="0" w:right="0"/>
        <w:rPr>
          <w:rFonts w:ascii="Times New Roman" w:hAnsi="Times New Roman" w:cs="Times New Roman"/>
          <w:sz w:val="24"/>
        </w:rPr>
      </w:pPr>
      <w:r w:rsidRPr="00025406">
        <w:rPr>
          <w:rFonts w:ascii="Times New Roman" w:hAnsi="Times New Roman" w:cs="Times New Roman"/>
          <w:sz w:val="24"/>
        </w:rPr>
        <w:t>Así las cosas, siguiendo a</w:t>
      </w:r>
      <w:r w:rsidRPr="00025406">
        <w:rPr>
          <w:rFonts w:ascii="Times New Roman" w:hAnsi="Times New Roman" w:cs="Times New Roman"/>
          <w:sz w:val="24"/>
        </w:rPr>
        <w:t xml:space="preserve"> ALEXY</w:t>
      </w:r>
      <w:r w:rsidR="00025406">
        <w:rPr>
          <w:rStyle w:val="Refdenotaalpie"/>
          <w:rFonts w:ascii="Times New Roman" w:hAnsi="Times New Roman" w:cs="Times New Roman"/>
          <w:sz w:val="24"/>
        </w:rPr>
        <w:footnoteReference w:id="1"/>
      </w:r>
      <w:r w:rsidRPr="00025406">
        <w:rPr>
          <w:rFonts w:ascii="Times New Roman" w:hAnsi="Times New Roman" w:cs="Times New Roman"/>
          <w:sz w:val="24"/>
          <w:vertAlign w:val="superscript"/>
        </w:rPr>
        <w:t>I</w:t>
      </w:r>
      <w:r w:rsidRPr="00025406">
        <w:rPr>
          <w:rFonts w:ascii="Times New Roman" w:hAnsi="Times New Roman" w:cs="Times New Roman"/>
          <w:sz w:val="24"/>
        </w:rPr>
        <w:t>, existen dos tipos o categorías de normas. En un primer lugar, encontramos aquellas que constituyen y organizan los poderes legislativo, ejecutivo y judicial, es decir el Estado; aquí lo central es la atribución de poder (</w:t>
      </w:r>
      <w:proofErr w:type="spellStart"/>
      <w:r w:rsidRPr="00025406">
        <w:rPr>
          <w:rFonts w:ascii="Times New Roman" w:hAnsi="Times New Roman" w:cs="Times New Roman"/>
          <w:sz w:val="24"/>
        </w:rPr>
        <w:t>Ermãchtigung</w:t>
      </w:r>
      <w:proofErr w:type="spellEnd"/>
      <w:r w:rsidRPr="00025406">
        <w:rPr>
          <w:rFonts w:ascii="Times New Roman" w:hAnsi="Times New Roman" w:cs="Times New Roman"/>
          <w:sz w:val="24"/>
        </w:rPr>
        <w:t>). En la seg</w:t>
      </w:r>
      <w:r w:rsidRPr="00025406">
        <w:rPr>
          <w:rFonts w:ascii="Times New Roman" w:hAnsi="Times New Roman" w:cs="Times New Roman"/>
          <w:sz w:val="24"/>
        </w:rPr>
        <w:t xml:space="preserve">unda se incluyen las que limitan y dirigen el poder estatal; aquí deben nombrarse primeramente los derechos fundamentales, los que en este </w:t>
      </w:r>
      <w:r w:rsidR="00025406" w:rsidRPr="00025406">
        <w:rPr>
          <w:rFonts w:ascii="Times New Roman" w:hAnsi="Times New Roman" w:cs="Times New Roman"/>
          <w:sz w:val="24"/>
        </w:rPr>
        <w:t>escenario</w:t>
      </w:r>
      <w:r w:rsidRPr="00025406">
        <w:rPr>
          <w:rFonts w:ascii="Times New Roman" w:hAnsi="Times New Roman" w:cs="Times New Roman"/>
          <w:sz w:val="24"/>
        </w:rPr>
        <w:t xml:space="preserve"> son traídos a debate, precisamente cuando en una controversia se afectan los de terceros ajenos al pleito.</w:t>
      </w:r>
    </w:p>
    <w:p w14:paraId="4625AE0E" w14:textId="77777777" w:rsidR="00025406" w:rsidRPr="00025406" w:rsidRDefault="00025406" w:rsidP="00686CB1">
      <w:pPr>
        <w:spacing w:after="0" w:line="276" w:lineRule="auto"/>
        <w:ind w:left="0" w:right="0"/>
        <w:rPr>
          <w:rFonts w:ascii="Times New Roman" w:hAnsi="Times New Roman" w:cs="Times New Roman"/>
          <w:sz w:val="24"/>
        </w:rPr>
      </w:pPr>
    </w:p>
    <w:p w14:paraId="17A755F8" w14:textId="77F662FC" w:rsidR="003763C0" w:rsidRDefault="00747E76" w:rsidP="00686CB1">
      <w:pPr>
        <w:spacing w:after="0" w:line="276" w:lineRule="auto"/>
        <w:ind w:left="0" w:right="0"/>
        <w:rPr>
          <w:rFonts w:ascii="Times New Roman" w:hAnsi="Times New Roman" w:cs="Times New Roman"/>
          <w:sz w:val="24"/>
        </w:rPr>
      </w:pPr>
      <w:r w:rsidRPr="00025406">
        <w:rPr>
          <w:rFonts w:ascii="Times New Roman" w:hAnsi="Times New Roman" w:cs="Times New Roman"/>
          <w:sz w:val="24"/>
        </w:rPr>
        <w:t>Los derechos fundamentales son mandatos de optimización, como tales son normas de principio que ordenan la realización de algo en la más alta medida, relativamente a las posibilidades materiales y jurídicas.</w:t>
      </w:r>
      <w:r w:rsidR="00025406">
        <w:rPr>
          <w:rStyle w:val="Refdenotaalpie"/>
          <w:rFonts w:ascii="Times New Roman" w:hAnsi="Times New Roman" w:cs="Times New Roman"/>
          <w:sz w:val="24"/>
        </w:rPr>
        <w:footnoteReference w:id="2"/>
      </w:r>
      <w:r w:rsidRPr="00025406">
        <w:rPr>
          <w:rFonts w:ascii="Times New Roman" w:hAnsi="Times New Roman" w:cs="Times New Roman"/>
          <w:sz w:val="24"/>
        </w:rPr>
        <w:t xml:space="preserve"> </w:t>
      </w:r>
      <w:r w:rsidRPr="00025406">
        <w:rPr>
          <w:rFonts w:ascii="Times New Roman" w:hAnsi="Times New Roman" w:cs="Times New Roman"/>
          <w:sz w:val="24"/>
          <w:vertAlign w:val="superscript"/>
        </w:rPr>
        <w:t xml:space="preserve">2 </w:t>
      </w:r>
      <w:r w:rsidRPr="00025406">
        <w:rPr>
          <w:rFonts w:ascii="Times New Roman" w:hAnsi="Times New Roman" w:cs="Times New Roman"/>
          <w:sz w:val="24"/>
        </w:rPr>
        <w:t>En esas consideraciones, debemos entender e</w:t>
      </w:r>
      <w:r w:rsidRPr="00025406">
        <w:rPr>
          <w:rFonts w:ascii="Times New Roman" w:hAnsi="Times New Roman" w:cs="Times New Roman"/>
          <w:sz w:val="24"/>
        </w:rPr>
        <w:t>l deber de preferencia con el que tienen que someter su actuar los órganos jurisdiccionales, ante la resolución de los asuntos en que se ventilen coalición de derechos fundamentales sometidos a su magistratura.</w:t>
      </w:r>
    </w:p>
    <w:p w14:paraId="1521094D" w14:textId="77777777" w:rsidR="00025406" w:rsidRDefault="00025406" w:rsidP="00686CB1">
      <w:pPr>
        <w:spacing w:after="0" w:line="276" w:lineRule="auto"/>
        <w:ind w:left="0" w:right="0"/>
        <w:rPr>
          <w:rFonts w:ascii="Times New Roman" w:hAnsi="Times New Roman" w:cs="Times New Roman"/>
          <w:sz w:val="24"/>
        </w:rPr>
      </w:pPr>
    </w:p>
    <w:p w14:paraId="0999C0BF" w14:textId="2F6E8C57" w:rsidR="003763C0" w:rsidRDefault="00747E76" w:rsidP="00686CB1">
      <w:pPr>
        <w:spacing w:after="0" w:line="276" w:lineRule="auto"/>
        <w:ind w:left="0" w:right="0"/>
        <w:rPr>
          <w:rFonts w:ascii="Times New Roman" w:hAnsi="Times New Roman" w:cs="Times New Roman"/>
          <w:sz w:val="24"/>
        </w:rPr>
      </w:pPr>
      <w:r w:rsidRPr="00025406">
        <w:rPr>
          <w:rFonts w:ascii="Times New Roman" w:hAnsi="Times New Roman" w:cs="Times New Roman"/>
          <w:sz w:val="24"/>
        </w:rPr>
        <w:t>A través del tiempo hemos sido testigos de q</w:t>
      </w:r>
      <w:r w:rsidRPr="00025406">
        <w:rPr>
          <w:rFonts w:ascii="Times New Roman" w:hAnsi="Times New Roman" w:cs="Times New Roman"/>
          <w:sz w:val="24"/>
        </w:rPr>
        <w:t>ue esta colisión de derechos muchas veces también involucra a derechos fundamentales de terceros, afectando de esta manera a personas ajenas e inocuas al conflicto, produciendo un desmedro irremediable si no se actúa con la debida celeridad en la resolució</w:t>
      </w:r>
      <w:r w:rsidRPr="00025406">
        <w:rPr>
          <w:rFonts w:ascii="Times New Roman" w:hAnsi="Times New Roman" w:cs="Times New Roman"/>
          <w:sz w:val="24"/>
        </w:rPr>
        <w:t>n de este.</w:t>
      </w:r>
    </w:p>
    <w:p w14:paraId="3F0AC1E1" w14:textId="77777777" w:rsidR="00025406" w:rsidRPr="00025406" w:rsidRDefault="00025406" w:rsidP="00686CB1">
      <w:pPr>
        <w:spacing w:after="0" w:line="276" w:lineRule="auto"/>
        <w:ind w:left="0" w:right="0"/>
        <w:rPr>
          <w:rFonts w:ascii="Times New Roman" w:hAnsi="Times New Roman" w:cs="Times New Roman"/>
          <w:sz w:val="24"/>
        </w:rPr>
      </w:pPr>
    </w:p>
    <w:p w14:paraId="5DFE0798" w14:textId="30AEBF85" w:rsidR="003763C0" w:rsidRDefault="00747E76" w:rsidP="00686CB1">
      <w:pPr>
        <w:spacing w:after="0" w:line="276" w:lineRule="auto"/>
        <w:ind w:left="0" w:right="0"/>
        <w:rPr>
          <w:rFonts w:ascii="Times New Roman" w:hAnsi="Times New Roman" w:cs="Times New Roman"/>
          <w:sz w:val="24"/>
        </w:rPr>
      </w:pPr>
      <w:r w:rsidRPr="00025406">
        <w:rPr>
          <w:rFonts w:ascii="Times New Roman" w:hAnsi="Times New Roman" w:cs="Times New Roman"/>
          <w:sz w:val="24"/>
        </w:rPr>
        <w:t>A modo de ejemplificar la situación referida anteriormente, cabe traer a colación la situación que podría producirse en una negociación colectiva fracasada en un establecimiento educacional, en donde se ejerciera el derecho a huelga y a raíz de</w:t>
      </w:r>
      <w:r w:rsidRPr="00025406">
        <w:rPr>
          <w:rFonts w:ascii="Times New Roman" w:hAnsi="Times New Roman" w:cs="Times New Roman"/>
          <w:sz w:val="24"/>
        </w:rPr>
        <w:t>l no consenso de las partes prolongado, se turbara el derecho a la educación de los estudiantes en el respectivo establecimiento. En los escenarios mencionados anteriormente, la pugna</w:t>
      </w:r>
      <w:r w:rsidR="00025406">
        <w:rPr>
          <w:rFonts w:ascii="Times New Roman" w:hAnsi="Times New Roman" w:cs="Times New Roman"/>
          <w:sz w:val="24"/>
        </w:rPr>
        <w:t xml:space="preserve"> </w:t>
      </w:r>
      <w:r w:rsidRPr="00025406">
        <w:rPr>
          <w:rFonts w:ascii="Times New Roman" w:hAnsi="Times New Roman" w:cs="Times New Roman"/>
          <w:sz w:val="24"/>
        </w:rPr>
        <w:t>de dos partes de un conflicto está afectando derechos fundamentales de t</w:t>
      </w:r>
      <w:r w:rsidRPr="00025406">
        <w:rPr>
          <w:rFonts w:ascii="Times New Roman" w:hAnsi="Times New Roman" w:cs="Times New Roman"/>
          <w:sz w:val="24"/>
        </w:rPr>
        <w:t xml:space="preserve">erceros de índole colectivo, los que son completamente ajenos a los intereses del conflicto. En ese sentido, es indispensable que el </w:t>
      </w:r>
      <w:r w:rsidRPr="00025406">
        <w:rPr>
          <w:rFonts w:ascii="Times New Roman" w:hAnsi="Times New Roman" w:cs="Times New Roman"/>
          <w:sz w:val="24"/>
        </w:rPr>
        <w:lastRenderedPageBreak/>
        <w:t>sentenciador que está conociendo el asunto sometido a su sede jurisdiccional, actúe de la manera más breve y eficaz, con el</w:t>
      </w:r>
      <w:r w:rsidRPr="00025406">
        <w:rPr>
          <w:rFonts w:ascii="Times New Roman" w:hAnsi="Times New Roman" w:cs="Times New Roman"/>
          <w:sz w:val="24"/>
        </w:rPr>
        <w:t xml:space="preserve"> fin de poder repeler la situación en el menor tiempo posible, resolviendo la contienda con preferencia de todas las demás que están siendo sometidas a su conocimiento y resolución. </w:t>
      </w:r>
    </w:p>
    <w:p w14:paraId="01192B16" w14:textId="77777777" w:rsidR="00025406" w:rsidRDefault="00025406" w:rsidP="00686CB1">
      <w:pPr>
        <w:spacing w:after="0" w:line="276" w:lineRule="auto"/>
        <w:ind w:left="0" w:right="0"/>
        <w:rPr>
          <w:rFonts w:ascii="Times New Roman" w:hAnsi="Times New Roman" w:cs="Times New Roman"/>
          <w:sz w:val="24"/>
        </w:rPr>
      </w:pPr>
    </w:p>
    <w:p w14:paraId="75762E74" w14:textId="3D96A536" w:rsidR="003763C0" w:rsidRDefault="00747E76" w:rsidP="00686CB1">
      <w:pPr>
        <w:spacing w:after="0" w:line="276" w:lineRule="auto"/>
        <w:ind w:left="0" w:right="0"/>
        <w:rPr>
          <w:rFonts w:ascii="Times New Roman" w:hAnsi="Times New Roman" w:cs="Times New Roman"/>
          <w:sz w:val="24"/>
        </w:rPr>
      </w:pPr>
      <w:r w:rsidRPr="00025406">
        <w:rPr>
          <w:rFonts w:ascii="Times New Roman" w:hAnsi="Times New Roman" w:cs="Times New Roman"/>
          <w:sz w:val="24"/>
        </w:rPr>
        <w:t>Aun cuando resulta algunas veces fácil para el juzgador ponderar entre l</w:t>
      </w:r>
      <w:r w:rsidRPr="00025406">
        <w:rPr>
          <w:rFonts w:ascii="Times New Roman" w:hAnsi="Times New Roman" w:cs="Times New Roman"/>
          <w:sz w:val="24"/>
        </w:rPr>
        <w:t>os derechos laborales de los trabajadores y los del empleador, son algunos derechos de terceros que se ven afectados, los que muchas veces no entran en el ejercicio de ponderación del juzgador. En este sentido, creemos necesario introducir de alguna manera</w:t>
      </w:r>
      <w:r w:rsidRPr="00025406">
        <w:rPr>
          <w:rFonts w:ascii="Times New Roman" w:hAnsi="Times New Roman" w:cs="Times New Roman"/>
          <w:sz w:val="24"/>
        </w:rPr>
        <w:t xml:space="preserve"> está situación por tratarse de derechos particularmente sensibles y de los cuales de no resolverse con la debida celeridad y preferencia podrían traer consecuencias irremediables de afectación de derechos fundamentales de índole colectivo.</w:t>
      </w:r>
    </w:p>
    <w:p w14:paraId="574CE7A0" w14:textId="77777777" w:rsidR="00025406" w:rsidRPr="00025406" w:rsidRDefault="00025406" w:rsidP="00686CB1">
      <w:pPr>
        <w:spacing w:after="0" w:line="276" w:lineRule="auto"/>
        <w:ind w:left="0" w:right="0"/>
        <w:rPr>
          <w:rFonts w:ascii="Times New Roman" w:hAnsi="Times New Roman" w:cs="Times New Roman"/>
          <w:sz w:val="24"/>
        </w:rPr>
      </w:pPr>
    </w:p>
    <w:p w14:paraId="51E108FB" w14:textId="3C5ED6B8" w:rsidR="003763C0" w:rsidRDefault="00747E76" w:rsidP="00686CB1">
      <w:pPr>
        <w:pStyle w:val="Ttulo1"/>
        <w:spacing w:after="0" w:line="276" w:lineRule="auto"/>
        <w:ind w:left="0" w:firstLine="0"/>
        <w:rPr>
          <w:rFonts w:ascii="Times New Roman" w:hAnsi="Times New Roman" w:cs="Times New Roman"/>
          <w:sz w:val="24"/>
        </w:rPr>
      </w:pPr>
      <w:r w:rsidRPr="00025406">
        <w:rPr>
          <w:rFonts w:ascii="Times New Roman" w:hAnsi="Times New Roman" w:cs="Times New Roman"/>
          <w:sz w:val="24"/>
        </w:rPr>
        <w:t xml:space="preserve">El </w:t>
      </w:r>
      <w:r w:rsidRPr="00025406">
        <w:rPr>
          <w:rFonts w:ascii="Times New Roman" w:hAnsi="Times New Roman" w:cs="Times New Roman"/>
          <w:sz w:val="24"/>
        </w:rPr>
        <w:t>derecho a la educación</w:t>
      </w:r>
    </w:p>
    <w:p w14:paraId="1D601269" w14:textId="77777777" w:rsidR="00025406" w:rsidRPr="00025406" w:rsidRDefault="00025406" w:rsidP="00686CB1">
      <w:pPr>
        <w:spacing w:after="0" w:line="276" w:lineRule="auto"/>
        <w:ind w:left="0" w:right="0"/>
      </w:pPr>
    </w:p>
    <w:p w14:paraId="4122744D" w14:textId="32AF200B" w:rsidR="003763C0" w:rsidRDefault="00747E76" w:rsidP="00686CB1">
      <w:pPr>
        <w:spacing w:after="0" w:line="276" w:lineRule="auto"/>
        <w:ind w:left="0" w:right="0"/>
        <w:rPr>
          <w:rFonts w:ascii="Times New Roman" w:hAnsi="Times New Roman" w:cs="Times New Roman"/>
          <w:sz w:val="24"/>
        </w:rPr>
      </w:pPr>
      <w:r w:rsidRPr="00025406">
        <w:rPr>
          <w:rFonts w:ascii="Times New Roman" w:hAnsi="Times New Roman" w:cs="Times New Roman"/>
          <w:sz w:val="24"/>
        </w:rPr>
        <w:t>El derecho a la educación está consagrado tanto a nivel constitucional como de tratados internacionales. Así, nuestra constitución política en su artículo 19 N</w:t>
      </w:r>
      <w:r w:rsidR="00025406">
        <w:rPr>
          <w:rFonts w:ascii="Times New Roman" w:hAnsi="Times New Roman" w:cs="Times New Roman"/>
          <w:sz w:val="24"/>
        </w:rPr>
        <w:t>º</w:t>
      </w:r>
      <w:r w:rsidRPr="00025406">
        <w:rPr>
          <w:rFonts w:ascii="Times New Roman" w:hAnsi="Times New Roman" w:cs="Times New Roman"/>
          <w:sz w:val="24"/>
          <w:vertAlign w:val="superscript"/>
        </w:rPr>
        <w:t xml:space="preserve"> </w:t>
      </w:r>
      <w:r w:rsidRPr="00025406">
        <w:rPr>
          <w:rFonts w:ascii="Times New Roman" w:hAnsi="Times New Roman" w:cs="Times New Roman"/>
          <w:sz w:val="24"/>
        </w:rPr>
        <w:t>10 garantiza el derecho a la educación, que su objeto es el pleno desar</w:t>
      </w:r>
      <w:r w:rsidRPr="00025406">
        <w:rPr>
          <w:rFonts w:ascii="Times New Roman" w:hAnsi="Times New Roman" w:cs="Times New Roman"/>
          <w:sz w:val="24"/>
        </w:rPr>
        <w:t xml:space="preserve">rollo de la persona en las distintas etapas de su vida y establece que es deber del Estado financiar la educación básica y media, así como promover un sistema de educación </w:t>
      </w:r>
      <w:proofErr w:type="spellStart"/>
      <w:r w:rsidRPr="00025406">
        <w:rPr>
          <w:rFonts w:ascii="Times New Roman" w:hAnsi="Times New Roman" w:cs="Times New Roman"/>
          <w:sz w:val="24"/>
        </w:rPr>
        <w:t>parvularia</w:t>
      </w:r>
      <w:proofErr w:type="spellEnd"/>
      <w:r w:rsidRPr="00025406">
        <w:rPr>
          <w:rFonts w:ascii="Times New Roman" w:hAnsi="Times New Roman" w:cs="Times New Roman"/>
          <w:sz w:val="24"/>
        </w:rPr>
        <w:t>. Esta garantía debe entonces ir aparejada de esfuerzos positivos por part</w:t>
      </w:r>
      <w:r w:rsidRPr="00025406">
        <w:rPr>
          <w:rFonts w:ascii="Times New Roman" w:hAnsi="Times New Roman" w:cs="Times New Roman"/>
          <w:sz w:val="24"/>
        </w:rPr>
        <w:t>e del Estado para que dichas libertades y derechos puedan ser ejercidos. Es en este sentido que el Estado tiene un deber en cuanto a asegurar el acceso a este derecho</w:t>
      </w:r>
    </w:p>
    <w:p w14:paraId="184C3EB4" w14:textId="77777777" w:rsidR="00025406" w:rsidRPr="00025406" w:rsidRDefault="00025406" w:rsidP="00686CB1">
      <w:pPr>
        <w:spacing w:after="0" w:line="276" w:lineRule="auto"/>
        <w:ind w:left="0" w:right="0"/>
        <w:rPr>
          <w:rFonts w:ascii="Times New Roman" w:hAnsi="Times New Roman" w:cs="Times New Roman"/>
          <w:sz w:val="24"/>
        </w:rPr>
      </w:pPr>
    </w:p>
    <w:p w14:paraId="61D4961F" w14:textId="400E4752" w:rsidR="003763C0" w:rsidRDefault="00747E76" w:rsidP="00686CB1">
      <w:pPr>
        <w:pStyle w:val="Ttulo1"/>
        <w:spacing w:after="0" w:line="276" w:lineRule="auto"/>
        <w:ind w:left="0" w:firstLine="0"/>
        <w:rPr>
          <w:rFonts w:ascii="Times New Roman" w:hAnsi="Times New Roman" w:cs="Times New Roman"/>
          <w:sz w:val="24"/>
        </w:rPr>
      </w:pPr>
      <w:r w:rsidRPr="00025406">
        <w:rPr>
          <w:rFonts w:ascii="Times New Roman" w:hAnsi="Times New Roman" w:cs="Times New Roman"/>
          <w:sz w:val="24"/>
        </w:rPr>
        <w:t>El derecho a negociar colectivamente</w:t>
      </w:r>
    </w:p>
    <w:p w14:paraId="7ED2FD03" w14:textId="77777777" w:rsidR="00025406" w:rsidRPr="00025406" w:rsidRDefault="00025406" w:rsidP="00686CB1">
      <w:pPr>
        <w:spacing w:after="0" w:line="276" w:lineRule="auto"/>
        <w:ind w:left="0" w:right="0"/>
      </w:pPr>
    </w:p>
    <w:p w14:paraId="33900F89" w14:textId="7F414F53" w:rsidR="003763C0" w:rsidRDefault="00747E76" w:rsidP="00686CB1">
      <w:pPr>
        <w:spacing w:after="0" w:line="276" w:lineRule="auto"/>
        <w:ind w:left="0" w:right="0"/>
        <w:rPr>
          <w:rFonts w:ascii="Times New Roman" w:hAnsi="Times New Roman" w:cs="Times New Roman"/>
          <w:sz w:val="24"/>
        </w:rPr>
      </w:pPr>
      <w:r w:rsidRPr="00025406">
        <w:rPr>
          <w:rFonts w:ascii="Times New Roman" w:hAnsi="Times New Roman" w:cs="Times New Roman"/>
          <w:sz w:val="24"/>
        </w:rPr>
        <w:t xml:space="preserve">La libertad sindical es un derecho fundamental de </w:t>
      </w:r>
      <w:r w:rsidRPr="00025406">
        <w:rPr>
          <w:rFonts w:ascii="Times New Roman" w:hAnsi="Times New Roman" w:cs="Times New Roman"/>
          <w:sz w:val="24"/>
        </w:rPr>
        <w:t>los trabajadores y es también una expresión de la libertad de asociación, reconocido en nuestra constitución política en el numeral 15 de su artículo 19. El derecho de los trabajadores a negociar colectivamente con los empleadores es un elemento esencial d</w:t>
      </w:r>
      <w:r w:rsidRPr="00025406">
        <w:rPr>
          <w:rFonts w:ascii="Times New Roman" w:hAnsi="Times New Roman" w:cs="Times New Roman"/>
          <w:sz w:val="24"/>
        </w:rPr>
        <w:t>e la libertad sindical y su carácter es consagrado a su vez en la misma Constitución Política en el numeral 16 del artículo 19</w:t>
      </w:r>
    </w:p>
    <w:p w14:paraId="078D3172" w14:textId="77777777" w:rsidR="00025406" w:rsidRPr="00025406" w:rsidRDefault="00025406" w:rsidP="00686CB1">
      <w:pPr>
        <w:spacing w:after="0" w:line="276" w:lineRule="auto"/>
        <w:ind w:left="0" w:right="0"/>
        <w:rPr>
          <w:rFonts w:ascii="Times New Roman" w:hAnsi="Times New Roman" w:cs="Times New Roman"/>
          <w:sz w:val="24"/>
        </w:rPr>
      </w:pPr>
    </w:p>
    <w:p w14:paraId="38B0C04E" w14:textId="4EAE937E" w:rsidR="003763C0" w:rsidRDefault="00747E76" w:rsidP="00686CB1">
      <w:pPr>
        <w:spacing w:after="0" w:line="276" w:lineRule="auto"/>
        <w:ind w:left="0" w:right="0"/>
        <w:jc w:val="left"/>
        <w:rPr>
          <w:rFonts w:ascii="Times New Roman" w:eastAsia="Times New Roman" w:hAnsi="Times New Roman" w:cs="Times New Roman"/>
          <w:sz w:val="24"/>
        </w:rPr>
      </w:pPr>
      <w:r w:rsidRPr="00025406">
        <w:rPr>
          <w:rFonts w:ascii="Times New Roman" w:eastAsia="Times New Roman" w:hAnsi="Times New Roman" w:cs="Times New Roman"/>
          <w:sz w:val="24"/>
        </w:rPr>
        <w:t>La negociación colectiva con la empresa en que laboren es un derecho de los trabajadores, salvo los casos en que la ley expresam</w:t>
      </w:r>
      <w:r w:rsidRPr="00025406">
        <w:rPr>
          <w:rFonts w:ascii="Times New Roman" w:eastAsia="Times New Roman" w:hAnsi="Times New Roman" w:cs="Times New Roman"/>
          <w:sz w:val="24"/>
        </w:rPr>
        <w:t>ente no permita negociar(...)</w:t>
      </w:r>
    </w:p>
    <w:p w14:paraId="1A5D21A4" w14:textId="77777777" w:rsidR="00025406" w:rsidRPr="00025406" w:rsidRDefault="00025406" w:rsidP="00686CB1">
      <w:pPr>
        <w:spacing w:after="0" w:line="276" w:lineRule="auto"/>
        <w:ind w:left="0" w:right="0"/>
        <w:jc w:val="left"/>
        <w:rPr>
          <w:rFonts w:ascii="Times New Roman" w:hAnsi="Times New Roman" w:cs="Times New Roman"/>
          <w:sz w:val="24"/>
        </w:rPr>
      </w:pPr>
    </w:p>
    <w:p w14:paraId="6FCE3963" w14:textId="01E05464" w:rsidR="003763C0" w:rsidRDefault="00747E76" w:rsidP="00686CB1">
      <w:pPr>
        <w:pStyle w:val="Ttulo1"/>
        <w:spacing w:after="0" w:line="276" w:lineRule="auto"/>
        <w:ind w:left="0" w:firstLine="0"/>
        <w:rPr>
          <w:rFonts w:ascii="Times New Roman" w:hAnsi="Times New Roman" w:cs="Times New Roman"/>
          <w:sz w:val="24"/>
        </w:rPr>
      </w:pPr>
      <w:r w:rsidRPr="00025406">
        <w:rPr>
          <w:rFonts w:ascii="Times New Roman" w:hAnsi="Times New Roman" w:cs="Times New Roman"/>
          <w:sz w:val="24"/>
        </w:rPr>
        <w:t>El derecho a huelga</w:t>
      </w:r>
    </w:p>
    <w:p w14:paraId="16124291" w14:textId="77777777" w:rsidR="00025406" w:rsidRPr="00025406" w:rsidRDefault="00025406" w:rsidP="00686CB1">
      <w:pPr>
        <w:spacing w:after="0" w:line="276" w:lineRule="auto"/>
        <w:ind w:left="0" w:right="0"/>
      </w:pPr>
    </w:p>
    <w:p w14:paraId="557C8EFD" w14:textId="55907E08" w:rsidR="003763C0" w:rsidRDefault="00747E76" w:rsidP="00686CB1">
      <w:pPr>
        <w:spacing w:after="0" w:line="276" w:lineRule="auto"/>
        <w:ind w:left="0" w:right="0"/>
        <w:rPr>
          <w:rFonts w:ascii="Times New Roman" w:hAnsi="Times New Roman" w:cs="Times New Roman"/>
          <w:sz w:val="24"/>
        </w:rPr>
      </w:pPr>
      <w:r w:rsidRPr="00025406">
        <w:rPr>
          <w:rFonts w:ascii="Times New Roman" w:hAnsi="Times New Roman" w:cs="Times New Roman"/>
          <w:sz w:val="24"/>
        </w:rPr>
        <w:t>El derecho a huelga está consagrado en diversos instrumentos internacionales ratificados por nuestro país, así como también por el ordenamiento nacional. En este sentido, La Constitución Política de la Re</w:t>
      </w:r>
      <w:r w:rsidRPr="00025406">
        <w:rPr>
          <w:rFonts w:ascii="Times New Roman" w:hAnsi="Times New Roman" w:cs="Times New Roman"/>
          <w:sz w:val="24"/>
        </w:rPr>
        <w:t>publica lo reconoce expresamente en el numeral 16 de su artículo 19</w:t>
      </w:r>
    </w:p>
    <w:p w14:paraId="233FE315" w14:textId="1A0390FD" w:rsidR="00025406" w:rsidRDefault="00025406" w:rsidP="00686CB1">
      <w:pPr>
        <w:spacing w:after="0" w:line="276" w:lineRule="auto"/>
        <w:ind w:left="0" w:right="0"/>
        <w:rPr>
          <w:rFonts w:ascii="Times New Roman" w:hAnsi="Times New Roman" w:cs="Times New Roman"/>
          <w:sz w:val="24"/>
        </w:rPr>
      </w:pPr>
    </w:p>
    <w:p w14:paraId="15DDF10F" w14:textId="7E759A4C" w:rsidR="00686CB1" w:rsidRDefault="00686CB1" w:rsidP="00686CB1">
      <w:pPr>
        <w:spacing w:after="0" w:line="276" w:lineRule="auto"/>
        <w:ind w:left="0" w:right="0"/>
        <w:rPr>
          <w:rFonts w:ascii="Times New Roman" w:hAnsi="Times New Roman" w:cs="Times New Roman"/>
          <w:sz w:val="24"/>
        </w:rPr>
      </w:pPr>
    </w:p>
    <w:p w14:paraId="00AD4B40" w14:textId="77777777" w:rsidR="00686CB1" w:rsidRPr="00025406" w:rsidRDefault="00686CB1" w:rsidP="00686CB1">
      <w:pPr>
        <w:spacing w:after="0" w:line="276" w:lineRule="auto"/>
        <w:ind w:left="0" w:right="0"/>
        <w:rPr>
          <w:rFonts w:ascii="Times New Roman" w:hAnsi="Times New Roman" w:cs="Times New Roman"/>
          <w:sz w:val="24"/>
        </w:rPr>
      </w:pPr>
    </w:p>
    <w:p w14:paraId="26865BD9" w14:textId="64F75EDD" w:rsidR="003763C0" w:rsidRDefault="00747E76" w:rsidP="00686CB1">
      <w:pPr>
        <w:spacing w:after="0" w:line="276" w:lineRule="auto"/>
        <w:ind w:left="0" w:right="0"/>
        <w:rPr>
          <w:rFonts w:ascii="Times New Roman" w:eastAsia="Times New Roman" w:hAnsi="Times New Roman" w:cs="Times New Roman"/>
          <w:sz w:val="24"/>
        </w:rPr>
      </w:pPr>
      <w:r w:rsidRPr="00025406">
        <w:rPr>
          <w:rFonts w:ascii="Times New Roman" w:eastAsia="Times New Roman" w:hAnsi="Times New Roman" w:cs="Times New Roman"/>
          <w:sz w:val="24"/>
        </w:rPr>
        <w:lastRenderedPageBreak/>
        <w:t xml:space="preserve">La huelga es un derecho que debe ser ejercido colectivamente por los trabajadores. Se prohíbe el reemplazo de los trabajadores en huelga. La huelga no afectará la libertad de </w:t>
      </w:r>
      <w:r w:rsidRPr="00025406">
        <w:rPr>
          <w:rFonts w:ascii="Times New Roman" w:eastAsia="Times New Roman" w:hAnsi="Times New Roman" w:cs="Times New Roman"/>
          <w:sz w:val="24"/>
        </w:rPr>
        <w:t>trabajo de los trabajadores no involucrados en ella, ni la ejecución de las funciones convenidas en sus contratos de trabajo.</w:t>
      </w:r>
    </w:p>
    <w:p w14:paraId="00FF3402" w14:textId="77777777" w:rsidR="00025406" w:rsidRPr="00025406" w:rsidRDefault="00025406" w:rsidP="00686CB1">
      <w:pPr>
        <w:spacing w:after="0" w:line="276" w:lineRule="auto"/>
        <w:ind w:left="0" w:right="0"/>
        <w:rPr>
          <w:rFonts w:ascii="Times New Roman" w:hAnsi="Times New Roman" w:cs="Times New Roman"/>
          <w:sz w:val="24"/>
        </w:rPr>
      </w:pPr>
    </w:p>
    <w:p w14:paraId="7AE83AC8" w14:textId="77777777" w:rsidR="00025406" w:rsidRDefault="00747E76" w:rsidP="00686CB1">
      <w:pPr>
        <w:tabs>
          <w:tab w:val="center" w:pos="6324"/>
        </w:tabs>
        <w:spacing w:after="0" w:line="276" w:lineRule="auto"/>
        <w:ind w:left="0" w:right="0"/>
        <w:jc w:val="left"/>
        <w:rPr>
          <w:rFonts w:ascii="Times New Roman" w:hAnsi="Times New Roman" w:cs="Times New Roman"/>
          <w:sz w:val="24"/>
        </w:rPr>
      </w:pPr>
      <w:r w:rsidRPr="00025406">
        <w:rPr>
          <w:rFonts w:ascii="Times New Roman" w:hAnsi="Times New Roman" w:cs="Times New Roman"/>
          <w:sz w:val="24"/>
        </w:rPr>
        <w:t>Asimismo, el artículo 345 del código del trabajo establece</w:t>
      </w:r>
      <w:r w:rsidRPr="00025406">
        <w:rPr>
          <w:rFonts w:ascii="Times New Roman" w:hAnsi="Times New Roman" w:cs="Times New Roman"/>
          <w:sz w:val="24"/>
        </w:rPr>
        <w:tab/>
      </w:r>
    </w:p>
    <w:p w14:paraId="0B7E68CE" w14:textId="421D58E6" w:rsidR="003763C0" w:rsidRPr="00025406" w:rsidRDefault="00747E76" w:rsidP="00686CB1">
      <w:pPr>
        <w:tabs>
          <w:tab w:val="center" w:pos="6324"/>
        </w:tabs>
        <w:spacing w:after="0" w:line="276" w:lineRule="auto"/>
        <w:ind w:left="0" w:right="0"/>
        <w:jc w:val="left"/>
        <w:rPr>
          <w:rFonts w:ascii="Times New Roman" w:hAnsi="Times New Roman" w:cs="Times New Roman"/>
          <w:sz w:val="24"/>
        </w:rPr>
      </w:pPr>
      <w:r w:rsidRPr="00025406">
        <w:rPr>
          <w:rFonts w:ascii="Times New Roman" w:hAnsi="Times New Roman" w:cs="Times New Roman"/>
          <w:noProof/>
          <w:sz w:val="24"/>
        </w:rPr>
        <w:drawing>
          <wp:inline distT="0" distB="0" distL="0" distR="0" wp14:anchorId="65B1A4FD" wp14:editId="6B137CB0">
            <wp:extent cx="13275" cy="13278"/>
            <wp:effectExtent l="0" t="0" r="0" b="0"/>
            <wp:docPr id="8122" name="Picture 8122"/>
            <wp:cNvGraphicFramePr/>
            <a:graphic xmlns:a="http://schemas.openxmlformats.org/drawingml/2006/main">
              <a:graphicData uri="http://schemas.openxmlformats.org/drawingml/2006/picture">
                <pic:pic xmlns:pic="http://schemas.openxmlformats.org/drawingml/2006/picture">
                  <pic:nvPicPr>
                    <pic:cNvPr id="8122" name="Picture 8122"/>
                    <pic:cNvPicPr/>
                  </pic:nvPicPr>
                  <pic:blipFill>
                    <a:blip r:embed="rId7"/>
                    <a:stretch>
                      <a:fillRect/>
                    </a:stretch>
                  </pic:blipFill>
                  <pic:spPr>
                    <a:xfrm>
                      <a:off x="0" y="0"/>
                      <a:ext cx="13275" cy="13278"/>
                    </a:xfrm>
                    <a:prstGeom prst="rect">
                      <a:avLst/>
                    </a:prstGeom>
                  </pic:spPr>
                </pic:pic>
              </a:graphicData>
            </a:graphic>
          </wp:inline>
        </w:drawing>
      </w:r>
    </w:p>
    <w:p w14:paraId="0B875991" w14:textId="597ADD88" w:rsidR="003763C0" w:rsidRDefault="00747E76" w:rsidP="00686CB1">
      <w:pPr>
        <w:spacing w:after="0" w:line="276" w:lineRule="auto"/>
        <w:ind w:left="0" w:right="0"/>
        <w:rPr>
          <w:rFonts w:ascii="Times New Roman" w:eastAsia="Times New Roman" w:hAnsi="Times New Roman" w:cs="Times New Roman"/>
          <w:sz w:val="24"/>
        </w:rPr>
      </w:pPr>
      <w:r w:rsidRPr="00025406">
        <w:rPr>
          <w:rFonts w:ascii="Times New Roman" w:eastAsia="Times New Roman" w:hAnsi="Times New Roman" w:cs="Times New Roman"/>
          <w:sz w:val="24"/>
        </w:rPr>
        <w:t xml:space="preserve">"La huelga es un derecho que debe ser ejercido </w:t>
      </w:r>
      <w:r w:rsidRPr="00025406">
        <w:rPr>
          <w:rFonts w:ascii="Times New Roman" w:eastAsia="Times New Roman" w:hAnsi="Times New Roman" w:cs="Times New Roman"/>
          <w:sz w:val="24"/>
        </w:rPr>
        <w:t>colectivamente por los trabajadores. Se prohíbe el reemplazo de los trabajadores en huelga.</w:t>
      </w:r>
    </w:p>
    <w:p w14:paraId="59919C13" w14:textId="77777777" w:rsidR="00025406" w:rsidRPr="00025406" w:rsidRDefault="00025406" w:rsidP="00686CB1">
      <w:pPr>
        <w:spacing w:after="0" w:line="276" w:lineRule="auto"/>
        <w:ind w:left="0" w:right="0"/>
        <w:rPr>
          <w:rFonts w:ascii="Times New Roman" w:hAnsi="Times New Roman" w:cs="Times New Roman"/>
          <w:sz w:val="24"/>
        </w:rPr>
      </w:pPr>
    </w:p>
    <w:p w14:paraId="6283C207" w14:textId="24521B1A" w:rsidR="003763C0" w:rsidRDefault="00747E76" w:rsidP="00686CB1">
      <w:pPr>
        <w:spacing w:after="0" w:line="276" w:lineRule="auto"/>
        <w:ind w:left="0" w:right="0"/>
        <w:rPr>
          <w:rFonts w:ascii="Times New Roman" w:eastAsia="Times New Roman" w:hAnsi="Times New Roman" w:cs="Times New Roman"/>
          <w:sz w:val="24"/>
        </w:rPr>
      </w:pPr>
      <w:r w:rsidRPr="00025406">
        <w:rPr>
          <w:rFonts w:ascii="Times New Roman" w:eastAsia="Times New Roman" w:hAnsi="Times New Roman" w:cs="Times New Roman"/>
          <w:sz w:val="24"/>
        </w:rPr>
        <w:t>La huelga no afectará la libertad de trabajo de los trabajadores no involucrados en ella, ni la ejecución de las funciones convenidas en sus contratos de traba</w:t>
      </w:r>
      <w:r w:rsidR="00025406">
        <w:rPr>
          <w:rFonts w:ascii="Times New Roman" w:eastAsia="Times New Roman" w:hAnsi="Times New Roman" w:cs="Times New Roman"/>
          <w:sz w:val="24"/>
        </w:rPr>
        <w:t>jo (…)”</w:t>
      </w:r>
    </w:p>
    <w:p w14:paraId="101E1593" w14:textId="77777777" w:rsidR="00025406" w:rsidRPr="00025406" w:rsidRDefault="00025406" w:rsidP="00686CB1">
      <w:pPr>
        <w:spacing w:after="0" w:line="276" w:lineRule="auto"/>
        <w:ind w:left="0" w:right="0"/>
        <w:rPr>
          <w:rFonts w:ascii="Times New Roman" w:hAnsi="Times New Roman" w:cs="Times New Roman"/>
          <w:sz w:val="24"/>
        </w:rPr>
      </w:pPr>
    </w:p>
    <w:p w14:paraId="73B762C7" w14:textId="6D2E5AE7" w:rsidR="003763C0" w:rsidRDefault="00747E76" w:rsidP="00686CB1">
      <w:pPr>
        <w:spacing w:after="0" w:line="276" w:lineRule="auto"/>
        <w:ind w:left="0" w:right="0"/>
        <w:rPr>
          <w:rFonts w:ascii="Times New Roman" w:hAnsi="Times New Roman" w:cs="Times New Roman"/>
          <w:sz w:val="24"/>
        </w:rPr>
      </w:pPr>
      <w:r w:rsidRPr="00025406">
        <w:rPr>
          <w:rFonts w:ascii="Times New Roman" w:hAnsi="Times New Roman" w:cs="Times New Roman"/>
          <w:sz w:val="24"/>
        </w:rPr>
        <w:t>Sin embargo, el Estado también reconoce que el método de presión de ultima ratio que tienen los trabajadores para lograr su objetivo en la negociación colectiva, como lo es la huelga, tiene limitantes. Así, se establece que los funcionarios del Estado</w:t>
      </w:r>
      <w:r w:rsidRPr="00025406">
        <w:rPr>
          <w:rFonts w:ascii="Times New Roman" w:hAnsi="Times New Roman" w:cs="Times New Roman"/>
          <w:sz w:val="24"/>
        </w:rPr>
        <w:t xml:space="preserve"> y Municipales están excluidos, así como también aquellos trabajadores que trabajen en empresas o corporaciones que atiendan servicios de utilidad pública o cuya paralización cause grave daño a la salud, a la economía del país, al abastecimiento de la pobl</w:t>
      </w:r>
      <w:r w:rsidRPr="00025406">
        <w:rPr>
          <w:rFonts w:ascii="Times New Roman" w:hAnsi="Times New Roman" w:cs="Times New Roman"/>
          <w:sz w:val="24"/>
        </w:rPr>
        <w:t>ación o a la seguridad nacional.</w:t>
      </w:r>
    </w:p>
    <w:p w14:paraId="26623A18" w14:textId="77777777" w:rsidR="00025406" w:rsidRPr="00025406" w:rsidRDefault="00025406" w:rsidP="00686CB1">
      <w:pPr>
        <w:spacing w:after="0" w:line="276" w:lineRule="auto"/>
        <w:ind w:left="0" w:right="0"/>
        <w:rPr>
          <w:rFonts w:ascii="Times New Roman" w:hAnsi="Times New Roman" w:cs="Times New Roman"/>
          <w:sz w:val="24"/>
        </w:rPr>
      </w:pPr>
    </w:p>
    <w:p w14:paraId="5D555D22" w14:textId="215B6D08" w:rsidR="003763C0" w:rsidRDefault="00747E76" w:rsidP="00686CB1">
      <w:pPr>
        <w:spacing w:after="0" w:line="276" w:lineRule="auto"/>
        <w:ind w:left="0" w:right="0"/>
        <w:rPr>
          <w:rFonts w:ascii="Times New Roman" w:hAnsi="Times New Roman" w:cs="Times New Roman"/>
          <w:sz w:val="24"/>
        </w:rPr>
      </w:pPr>
      <w:r w:rsidRPr="00025406">
        <w:rPr>
          <w:rFonts w:ascii="Times New Roman" w:hAnsi="Times New Roman" w:cs="Times New Roman"/>
          <w:sz w:val="24"/>
        </w:rPr>
        <w:t>Así las cosas, el derecho a huelga no se ve limitado constitucionalmente cuando colisiona con derechos de terceros sino solo en casos estrictamente definidos por la carta magna. El sentido de este proyecto de ley no es lim</w:t>
      </w:r>
      <w:r w:rsidRPr="00025406">
        <w:rPr>
          <w:rFonts w:ascii="Times New Roman" w:hAnsi="Times New Roman" w:cs="Times New Roman"/>
          <w:sz w:val="24"/>
        </w:rPr>
        <w:t>itar el derecho de los trabajadores para el ejercicio de sus derechos, al contrario, es otorgarles a los derechos de los profesores una preferencia pues, en el legítimo ejercicio de sus derechos laborales pueden afectar gravemente la educación de niñas, ni</w:t>
      </w:r>
      <w:r w:rsidRPr="00025406">
        <w:rPr>
          <w:rFonts w:ascii="Times New Roman" w:hAnsi="Times New Roman" w:cs="Times New Roman"/>
          <w:sz w:val="24"/>
        </w:rPr>
        <w:t>ños y adolescentes que hoy, de no contar con la adecuada asistencia legal, pueden ver en serio riesgo su año escolar. Por esto, se propone que sea el Tribunal de oficio el que le otorgue una tramitación más rápida, eficiente y eficaz, mediante la preferenc</w:t>
      </w:r>
      <w:r w:rsidRPr="00025406">
        <w:rPr>
          <w:rFonts w:ascii="Times New Roman" w:hAnsi="Times New Roman" w:cs="Times New Roman"/>
          <w:sz w:val="24"/>
        </w:rPr>
        <w:t>ia, a aquellas acciones judiciales que derivan de la negociación colectiva de trabajadores de empresas o corporaciones que prestan servicios educacionales y cuya huelga imponga una afectación grave al ejercicio del derecho a la educación.</w:t>
      </w:r>
    </w:p>
    <w:p w14:paraId="4B729C3B" w14:textId="77777777" w:rsidR="00025406" w:rsidRPr="00025406" w:rsidRDefault="00025406" w:rsidP="00686CB1">
      <w:pPr>
        <w:spacing w:after="0" w:line="276" w:lineRule="auto"/>
        <w:ind w:left="0" w:right="0"/>
        <w:rPr>
          <w:rFonts w:ascii="Times New Roman" w:hAnsi="Times New Roman" w:cs="Times New Roman"/>
          <w:sz w:val="24"/>
        </w:rPr>
      </w:pPr>
    </w:p>
    <w:p w14:paraId="2EE2D079" w14:textId="0FCC8C81" w:rsidR="003763C0" w:rsidRPr="005822C5" w:rsidRDefault="005822C5" w:rsidP="00686CB1">
      <w:pPr>
        <w:spacing w:after="0" w:line="276" w:lineRule="auto"/>
        <w:ind w:left="0" w:right="0"/>
        <w:rPr>
          <w:rFonts w:ascii="Times New Roman" w:hAnsi="Times New Roman" w:cs="Times New Roman"/>
          <w:b/>
          <w:bCs/>
          <w:sz w:val="24"/>
        </w:rPr>
      </w:pPr>
      <w:r>
        <w:rPr>
          <w:rFonts w:ascii="Times New Roman" w:hAnsi="Times New Roman" w:cs="Times New Roman"/>
          <w:b/>
          <w:bCs/>
          <w:sz w:val="24"/>
        </w:rPr>
        <w:t>II</w:t>
      </w:r>
      <w:r w:rsidR="00747E76" w:rsidRPr="005822C5">
        <w:rPr>
          <w:rFonts w:ascii="Times New Roman" w:hAnsi="Times New Roman" w:cs="Times New Roman"/>
          <w:b/>
          <w:bCs/>
          <w:sz w:val="24"/>
        </w:rPr>
        <w:t xml:space="preserve">.- Objetivo y </w:t>
      </w:r>
      <w:r w:rsidR="00747E76" w:rsidRPr="005822C5">
        <w:rPr>
          <w:rFonts w:ascii="Times New Roman" w:hAnsi="Times New Roman" w:cs="Times New Roman"/>
          <w:b/>
          <w:bCs/>
          <w:sz w:val="24"/>
        </w:rPr>
        <w:t>contenido del proyecto de ley</w:t>
      </w:r>
    </w:p>
    <w:p w14:paraId="66C92AB9" w14:textId="77777777" w:rsidR="00025406" w:rsidRPr="00025406" w:rsidRDefault="00025406" w:rsidP="00686CB1">
      <w:pPr>
        <w:spacing w:after="0" w:line="276" w:lineRule="auto"/>
        <w:ind w:left="0" w:right="0"/>
        <w:rPr>
          <w:rFonts w:ascii="Times New Roman" w:hAnsi="Times New Roman" w:cs="Times New Roman"/>
          <w:sz w:val="24"/>
        </w:rPr>
      </w:pPr>
    </w:p>
    <w:p w14:paraId="4E6473BE" w14:textId="4E78E694" w:rsidR="003763C0" w:rsidRDefault="00747E76" w:rsidP="00686CB1">
      <w:pPr>
        <w:spacing w:after="0" w:line="276" w:lineRule="auto"/>
        <w:ind w:left="0" w:right="0"/>
        <w:rPr>
          <w:rFonts w:ascii="Times New Roman" w:hAnsi="Times New Roman" w:cs="Times New Roman"/>
          <w:sz w:val="24"/>
        </w:rPr>
      </w:pPr>
      <w:r w:rsidRPr="00025406">
        <w:rPr>
          <w:rFonts w:ascii="Times New Roman" w:hAnsi="Times New Roman" w:cs="Times New Roman"/>
          <w:sz w:val="24"/>
        </w:rPr>
        <w:t>El presente proyecto de ley tiene por objetivo modificar el DFL 1, fija texto refundido, coordinado y sistematizado del Código del Trabajo, Ministerio del Trabajo y Previsión Social. Lo anterior, mediante agreg</w:t>
      </w:r>
      <w:r w:rsidRPr="00025406">
        <w:rPr>
          <w:rFonts w:ascii="Times New Roman" w:hAnsi="Times New Roman" w:cs="Times New Roman"/>
          <w:sz w:val="24"/>
        </w:rPr>
        <w:t xml:space="preserve">ar un nuevo artículo en el Título VIII de los Procedimientos Judiciales en la Negociación Colectiva, en el cual se establece como exclusiva preferencia la tramitación de causas ante los Juzgados del Trabajo en las que existan asuntos en que los sindicatos </w:t>
      </w:r>
      <w:r w:rsidRPr="00025406">
        <w:rPr>
          <w:rFonts w:ascii="Times New Roman" w:hAnsi="Times New Roman" w:cs="Times New Roman"/>
          <w:sz w:val="24"/>
        </w:rPr>
        <w:t>que negocian colectivamente pertenezcan a una empresa o servicio de aquellos que prestan servicios educacionales y que su huelga imponga una afectación a la entrega de este servicio a la comunidad</w:t>
      </w:r>
    </w:p>
    <w:p w14:paraId="0F32A0C6" w14:textId="03EFB3E8" w:rsidR="00025406" w:rsidRDefault="00025406" w:rsidP="00686CB1">
      <w:pPr>
        <w:spacing w:after="0" w:line="276" w:lineRule="auto"/>
        <w:ind w:left="0" w:right="0"/>
        <w:rPr>
          <w:rFonts w:ascii="Times New Roman" w:hAnsi="Times New Roman" w:cs="Times New Roman"/>
          <w:sz w:val="24"/>
        </w:rPr>
      </w:pPr>
    </w:p>
    <w:p w14:paraId="1DD56E6D" w14:textId="77777777" w:rsidR="00777364" w:rsidRPr="00025406" w:rsidRDefault="00777364" w:rsidP="00686CB1">
      <w:pPr>
        <w:spacing w:after="0" w:line="276" w:lineRule="auto"/>
        <w:ind w:left="0" w:right="0"/>
        <w:rPr>
          <w:rFonts w:ascii="Times New Roman" w:hAnsi="Times New Roman" w:cs="Times New Roman"/>
          <w:sz w:val="24"/>
        </w:rPr>
      </w:pPr>
    </w:p>
    <w:p w14:paraId="7EB92C4B" w14:textId="244E79B7" w:rsidR="003763C0" w:rsidRPr="005822C5" w:rsidRDefault="00747E76" w:rsidP="00686CB1">
      <w:pPr>
        <w:spacing w:after="0" w:line="276" w:lineRule="auto"/>
        <w:ind w:left="0" w:right="0"/>
        <w:rPr>
          <w:rFonts w:ascii="Times New Roman" w:hAnsi="Times New Roman" w:cs="Times New Roman"/>
          <w:b/>
          <w:bCs/>
          <w:sz w:val="24"/>
        </w:rPr>
      </w:pPr>
      <w:r w:rsidRPr="005822C5">
        <w:rPr>
          <w:rFonts w:ascii="Times New Roman" w:hAnsi="Times New Roman" w:cs="Times New Roman"/>
          <w:b/>
          <w:bCs/>
          <w:sz w:val="24"/>
        </w:rPr>
        <w:lastRenderedPageBreak/>
        <w:t>PROYECTO DE LEY</w:t>
      </w:r>
    </w:p>
    <w:p w14:paraId="71A01447" w14:textId="77777777" w:rsidR="00025406" w:rsidRPr="00025406" w:rsidRDefault="00025406" w:rsidP="00686CB1">
      <w:pPr>
        <w:spacing w:after="0" w:line="276" w:lineRule="auto"/>
        <w:ind w:left="0" w:right="0"/>
        <w:rPr>
          <w:rFonts w:ascii="Times New Roman" w:hAnsi="Times New Roman" w:cs="Times New Roman"/>
          <w:sz w:val="24"/>
        </w:rPr>
      </w:pPr>
    </w:p>
    <w:p w14:paraId="20E52525" w14:textId="2536EDD7" w:rsidR="003763C0" w:rsidRDefault="00747E76" w:rsidP="00686CB1">
      <w:pPr>
        <w:spacing w:after="0" w:line="276" w:lineRule="auto"/>
        <w:ind w:left="0" w:right="0"/>
        <w:rPr>
          <w:rFonts w:ascii="Times New Roman" w:hAnsi="Times New Roman" w:cs="Times New Roman"/>
          <w:sz w:val="24"/>
        </w:rPr>
      </w:pPr>
      <w:r w:rsidRPr="00025406">
        <w:rPr>
          <w:rFonts w:ascii="Times New Roman" w:hAnsi="Times New Roman" w:cs="Times New Roman"/>
          <w:sz w:val="24"/>
        </w:rPr>
        <w:t>Articulo único, se modifica el DFL 1, fi</w:t>
      </w:r>
      <w:r w:rsidRPr="00025406">
        <w:rPr>
          <w:rFonts w:ascii="Times New Roman" w:hAnsi="Times New Roman" w:cs="Times New Roman"/>
          <w:sz w:val="24"/>
        </w:rPr>
        <w:t>ja texto refundido, coordinado y sistematizado del Código del Trabajo, Ministerio del Trabajo y Previsión Social, agregando un nuevo artículo en el título VIII de los Procedimientos Judiciales en la Negociación Colectiva;</w:t>
      </w:r>
    </w:p>
    <w:p w14:paraId="474F294C" w14:textId="77777777" w:rsidR="00025406" w:rsidRPr="00025406" w:rsidRDefault="00025406" w:rsidP="00686CB1">
      <w:pPr>
        <w:spacing w:after="0" w:line="276" w:lineRule="auto"/>
        <w:ind w:left="0" w:right="0"/>
        <w:rPr>
          <w:rFonts w:ascii="Times New Roman" w:hAnsi="Times New Roman" w:cs="Times New Roman"/>
          <w:sz w:val="24"/>
        </w:rPr>
      </w:pPr>
    </w:p>
    <w:p w14:paraId="11CEC580" w14:textId="42F01A6E" w:rsidR="003763C0" w:rsidRDefault="00747E76" w:rsidP="00686CB1">
      <w:pPr>
        <w:spacing w:after="0" w:line="276" w:lineRule="auto"/>
        <w:ind w:left="0" w:right="0"/>
        <w:rPr>
          <w:rFonts w:ascii="Times New Roman" w:hAnsi="Times New Roman" w:cs="Times New Roman"/>
          <w:sz w:val="24"/>
        </w:rPr>
      </w:pPr>
      <w:r w:rsidRPr="00025406">
        <w:rPr>
          <w:rFonts w:ascii="Times New Roman" w:hAnsi="Times New Roman" w:cs="Times New Roman"/>
          <w:sz w:val="24"/>
        </w:rPr>
        <w:t xml:space="preserve">Agréguese un nuevo art. 399 bis, </w:t>
      </w:r>
      <w:r w:rsidRPr="00025406">
        <w:rPr>
          <w:rFonts w:ascii="Times New Roman" w:hAnsi="Times New Roman" w:cs="Times New Roman"/>
          <w:sz w:val="24"/>
        </w:rPr>
        <w:t>en el siguiente tenor:</w:t>
      </w:r>
    </w:p>
    <w:p w14:paraId="1032D54A" w14:textId="77777777" w:rsidR="00025406" w:rsidRPr="00025406" w:rsidRDefault="00025406" w:rsidP="00686CB1">
      <w:pPr>
        <w:spacing w:after="0" w:line="276" w:lineRule="auto"/>
        <w:ind w:left="0" w:right="0"/>
        <w:rPr>
          <w:rFonts w:ascii="Times New Roman" w:hAnsi="Times New Roman" w:cs="Times New Roman"/>
          <w:sz w:val="24"/>
        </w:rPr>
      </w:pPr>
    </w:p>
    <w:p w14:paraId="447B76CC" w14:textId="0778BCCE" w:rsidR="003763C0" w:rsidRPr="00025406" w:rsidRDefault="00747E76" w:rsidP="00686CB1">
      <w:pPr>
        <w:spacing w:after="0" w:line="276" w:lineRule="auto"/>
        <w:ind w:left="0" w:right="0"/>
        <w:rPr>
          <w:rFonts w:ascii="Times New Roman" w:hAnsi="Times New Roman" w:cs="Times New Roman"/>
          <w:sz w:val="24"/>
        </w:rPr>
      </w:pPr>
      <w:r w:rsidRPr="00025406">
        <w:rPr>
          <w:rFonts w:ascii="Times New Roman" w:hAnsi="Times New Roman" w:cs="Times New Roman"/>
          <w:sz w:val="24"/>
        </w:rPr>
        <w:t>Artículo 399</w:t>
      </w:r>
      <w:r w:rsidR="00686CB1">
        <w:rPr>
          <w:rFonts w:ascii="Times New Roman" w:hAnsi="Times New Roman" w:cs="Times New Roman"/>
          <w:sz w:val="24"/>
        </w:rPr>
        <w:t xml:space="preserve"> </w:t>
      </w:r>
      <w:r w:rsidRPr="00025406">
        <w:rPr>
          <w:rFonts w:ascii="Times New Roman" w:hAnsi="Times New Roman" w:cs="Times New Roman"/>
          <w:sz w:val="24"/>
        </w:rPr>
        <w:t xml:space="preserve">bis: En aquellos asuntos en que los sindicatos o agrupaciones de trabajadores que negocian colectivamente pertenezcan a una empresa o servicio de aquellos que prestan servicios educacionales y que su huelga imponga una </w:t>
      </w:r>
      <w:r w:rsidRPr="00025406">
        <w:rPr>
          <w:rFonts w:ascii="Times New Roman" w:hAnsi="Times New Roman" w:cs="Times New Roman"/>
          <w:sz w:val="24"/>
        </w:rPr>
        <w:t>afectación a la entrega de este servicio a la comunidad, la tramitación de estos procesos gozará de exclusiva preferencia respecto de todas las demás causas que se tramiten ante los juzgados del trabajo.</w:t>
      </w:r>
    </w:p>
    <w:p w14:paraId="4F894BE5" w14:textId="0195E86E" w:rsidR="003763C0" w:rsidRPr="00025406" w:rsidRDefault="003763C0" w:rsidP="00686CB1">
      <w:pPr>
        <w:spacing w:after="0" w:line="276" w:lineRule="auto"/>
        <w:ind w:left="0" w:right="0"/>
        <w:jc w:val="left"/>
        <w:rPr>
          <w:rFonts w:ascii="Times New Roman" w:hAnsi="Times New Roman" w:cs="Times New Roman"/>
          <w:sz w:val="24"/>
        </w:rPr>
      </w:pPr>
    </w:p>
    <w:p w14:paraId="61317D96" w14:textId="603D486A" w:rsidR="003763C0" w:rsidRPr="00025406" w:rsidRDefault="003763C0" w:rsidP="00686CB1">
      <w:pPr>
        <w:pStyle w:val="Ttulo1"/>
        <w:spacing w:after="0" w:line="276" w:lineRule="auto"/>
        <w:ind w:left="3669" w:firstLine="0"/>
        <w:jc w:val="center"/>
        <w:rPr>
          <w:rFonts w:ascii="Times New Roman" w:hAnsi="Times New Roman" w:cs="Times New Roman"/>
          <w:sz w:val="24"/>
        </w:rPr>
      </w:pPr>
    </w:p>
    <w:sectPr w:rsidR="003763C0" w:rsidRPr="00025406" w:rsidSect="00686CB1">
      <w:pgSz w:w="12240" w:h="18720"/>
      <w:pgMar w:top="2358" w:right="1563" w:bottom="2316" w:left="166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F9C330" w14:textId="77777777" w:rsidR="00747E76" w:rsidRDefault="00747E76" w:rsidP="00025406">
      <w:pPr>
        <w:spacing w:after="0" w:line="240" w:lineRule="auto"/>
      </w:pPr>
      <w:r>
        <w:separator/>
      </w:r>
    </w:p>
  </w:endnote>
  <w:endnote w:type="continuationSeparator" w:id="0">
    <w:p w14:paraId="08931019" w14:textId="77777777" w:rsidR="00747E76" w:rsidRDefault="00747E76" w:rsidP="000254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auto"/>
    <w:pitch w:val="variable"/>
    <w:sig w:usb0="E00002FF" w:usb1="5000205A"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0C9D8A" w14:textId="77777777" w:rsidR="00747E76" w:rsidRDefault="00747E76" w:rsidP="00025406">
      <w:pPr>
        <w:spacing w:after="0" w:line="240" w:lineRule="auto"/>
      </w:pPr>
      <w:r>
        <w:separator/>
      </w:r>
    </w:p>
  </w:footnote>
  <w:footnote w:type="continuationSeparator" w:id="0">
    <w:p w14:paraId="2B9BD6B7" w14:textId="77777777" w:rsidR="00747E76" w:rsidRDefault="00747E76" w:rsidP="00025406">
      <w:pPr>
        <w:spacing w:after="0" w:line="240" w:lineRule="auto"/>
      </w:pPr>
      <w:r>
        <w:continuationSeparator/>
      </w:r>
    </w:p>
  </w:footnote>
  <w:footnote w:id="1">
    <w:p w14:paraId="6594F23D" w14:textId="4E337A69" w:rsidR="00025406" w:rsidRPr="00025406" w:rsidRDefault="00025406">
      <w:pPr>
        <w:pStyle w:val="Textonotapie"/>
        <w:rPr>
          <w:lang w:val="es-ES"/>
        </w:rPr>
      </w:pPr>
      <w:r>
        <w:rPr>
          <w:rStyle w:val="Refdenotaalpie"/>
        </w:rPr>
        <w:footnoteRef/>
      </w:r>
      <w:r>
        <w:t xml:space="preserve"> </w:t>
      </w:r>
      <w:r w:rsidRPr="00025406">
        <w:rPr>
          <w:rFonts w:ascii="Times New Roman" w:hAnsi="Times New Roman" w:cs="Times New Roman"/>
          <w:sz w:val="24"/>
          <w:szCs w:val="24"/>
        </w:rPr>
        <w:t xml:space="preserve">Derechos fundamentales, ponderación y racionalidad* Robert Alexy </w:t>
      </w:r>
      <w:proofErr w:type="spellStart"/>
      <w:r w:rsidRPr="00025406">
        <w:rPr>
          <w:rFonts w:ascii="Times New Roman" w:hAnsi="Times New Roman" w:cs="Times New Roman"/>
          <w:sz w:val="24"/>
          <w:szCs w:val="24"/>
        </w:rPr>
        <w:t>p.l</w:t>
      </w:r>
      <w:proofErr w:type="spellEnd"/>
    </w:p>
  </w:footnote>
  <w:footnote w:id="2">
    <w:p w14:paraId="4240531C" w14:textId="0AE795B8" w:rsidR="00025406" w:rsidRPr="00025406" w:rsidRDefault="00025406">
      <w:pPr>
        <w:pStyle w:val="Textonotapie"/>
        <w:rPr>
          <w:lang w:val="es-ES"/>
        </w:rPr>
      </w:pPr>
      <w:r>
        <w:rPr>
          <w:rStyle w:val="Refdenotaalpie"/>
        </w:rPr>
        <w:footnoteRef/>
      </w:r>
      <w:r>
        <w:t xml:space="preserve"> </w:t>
      </w:r>
      <w:r w:rsidRPr="00025406">
        <w:rPr>
          <w:rFonts w:ascii="Times New Roman" w:hAnsi="Times New Roman" w:cs="Times New Roman"/>
          <w:sz w:val="24"/>
          <w:szCs w:val="24"/>
        </w:rPr>
        <w:t xml:space="preserve">Cfr. ALEXY, </w:t>
      </w:r>
      <w:proofErr w:type="spellStart"/>
      <w:r w:rsidRPr="00025406">
        <w:rPr>
          <w:rFonts w:ascii="Times New Roman" w:hAnsi="Times New Roman" w:cs="Times New Roman"/>
          <w:sz w:val="24"/>
          <w:szCs w:val="24"/>
        </w:rPr>
        <w:t>op</w:t>
      </w:r>
      <w:proofErr w:type="spellEnd"/>
      <w:r w:rsidRPr="00025406">
        <w:rPr>
          <w:rFonts w:ascii="Times New Roman" w:hAnsi="Times New Roman" w:cs="Times New Roman"/>
          <w:sz w:val="24"/>
          <w:szCs w:val="24"/>
        </w:rPr>
        <w:t>. cit., nota 8, p. 75.</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63C0"/>
    <w:rsid w:val="00025406"/>
    <w:rsid w:val="003763C0"/>
    <w:rsid w:val="005822C5"/>
    <w:rsid w:val="00606827"/>
    <w:rsid w:val="00686CB1"/>
    <w:rsid w:val="00747E76"/>
    <w:rsid w:val="00777364"/>
    <w:rsid w:val="00F05B82"/>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FA3ECF"/>
  <w15:docId w15:val="{00DAA980-F666-D346-A41D-D537BDEA1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s-CL" w:eastAsia="es-ES_trad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83" w:line="259" w:lineRule="auto"/>
      <w:ind w:left="73" w:right="31"/>
      <w:jc w:val="both"/>
    </w:pPr>
    <w:rPr>
      <w:rFonts w:ascii="Calibri" w:eastAsia="Calibri" w:hAnsi="Calibri" w:cs="Calibri"/>
      <w:color w:val="000000"/>
      <w:sz w:val="22"/>
    </w:rPr>
  </w:style>
  <w:style w:type="paragraph" w:styleId="Ttulo1">
    <w:name w:val="heading 1"/>
    <w:next w:val="Normal"/>
    <w:link w:val="Ttulo1Car"/>
    <w:uiPriority w:val="9"/>
    <w:qFormat/>
    <w:pPr>
      <w:keepNext/>
      <w:keepLines/>
      <w:spacing w:after="161" w:line="259" w:lineRule="auto"/>
      <w:ind w:left="73" w:hanging="10"/>
      <w:outlineLvl w:val="0"/>
    </w:pPr>
    <w:rPr>
      <w:rFonts w:ascii="Calibri" w:eastAsia="Calibri" w:hAnsi="Calibri" w:cs="Calibri"/>
      <w:color w:val="000000"/>
      <w:sz w:val="22"/>
      <w:u w:val="single" w:color="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Pr>
      <w:rFonts w:ascii="Calibri" w:eastAsia="Calibri" w:hAnsi="Calibri" w:cs="Calibri"/>
      <w:color w:val="000000"/>
      <w:sz w:val="22"/>
      <w:u w:val="single" w:color="000000"/>
    </w:rPr>
  </w:style>
  <w:style w:type="paragraph" w:styleId="Textonotapie">
    <w:name w:val="footnote text"/>
    <w:basedOn w:val="Normal"/>
    <w:link w:val="TextonotapieCar"/>
    <w:uiPriority w:val="99"/>
    <w:semiHidden/>
    <w:unhideWhenUsed/>
    <w:rsid w:val="00025406"/>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025406"/>
    <w:rPr>
      <w:rFonts w:ascii="Calibri" w:eastAsia="Calibri" w:hAnsi="Calibri" w:cs="Calibri"/>
      <w:color w:val="000000"/>
      <w:sz w:val="20"/>
      <w:szCs w:val="20"/>
    </w:rPr>
  </w:style>
  <w:style w:type="character" w:styleId="Refdenotaalpie">
    <w:name w:val="footnote reference"/>
    <w:basedOn w:val="Fuentedeprrafopredeter"/>
    <w:uiPriority w:val="99"/>
    <w:semiHidden/>
    <w:unhideWhenUsed/>
    <w:rsid w:val="0002540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64197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E58D29-AFA6-664C-8A3F-B42701E6ED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1360</Words>
  <Characters>7484</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cp:lastModifiedBy>AVILLARROEL</cp:lastModifiedBy>
  <cp:revision>2</cp:revision>
  <dcterms:created xsi:type="dcterms:W3CDTF">2021-11-03T18:54:00Z</dcterms:created>
  <dcterms:modified xsi:type="dcterms:W3CDTF">2021-11-03T18:54:00Z</dcterms:modified>
</cp:coreProperties>
</file>