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F0F0" w14:textId="21DA7EB1" w:rsidR="00974CB5" w:rsidRDefault="00974CB5" w:rsidP="00A65ED2">
      <w:pPr>
        <w:spacing w:after="0" w:line="276" w:lineRule="auto"/>
        <w:ind w:left="0" w:right="0"/>
        <w:jc w:val="right"/>
        <w:rPr>
          <w:rFonts w:ascii="Times New Roman" w:hAnsi="Times New Roman" w:cs="Times New Roman"/>
          <w:b/>
          <w:bCs/>
          <w:sz w:val="24"/>
        </w:rPr>
      </w:pPr>
      <w:r w:rsidRPr="00974CB5">
        <w:rPr>
          <w:rFonts w:ascii="Times New Roman" w:hAnsi="Times New Roman" w:cs="Times New Roman"/>
          <w:b/>
          <w:bCs/>
          <w:sz w:val="24"/>
        </w:rPr>
        <w:t>Boletín N° 14.764-03</w:t>
      </w:r>
    </w:p>
    <w:p w14:paraId="563B174E" w14:textId="77777777" w:rsidR="00EE10A2" w:rsidRPr="00974CB5" w:rsidRDefault="00EE10A2" w:rsidP="00A65ED2">
      <w:pPr>
        <w:spacing w:after="0" w:line="276" w:lineRule="auto"/>
        <w:ind w:left="0" w:right="0"/>
        <w:jc w:val="right"/>
        <w:rPr>
          <w:rFonts w:ascii="Times New Roman" w:hAnsi="Times New Roman" w:cs="Times New Roman"/>
          <w:b/>
          <w:bCs/>
          <w:sz w:val="24"/>
          <w:u w:val="single" w:color="000000"/>
        </w:rPr>
      </w:pPr>
    </w:p>
    <w:p w14:paraId="3C593B68" w14:textId="147B1D55" w:rsidR="00974CB5" w:rsidRDefault="00974CB5" w:rsidP="00A65ED2">
      <w:pPr>
        <w:spacing w:after="0" w:line="276" w:lineRule="auto"/>
        <w:ind w:left="0" w:right="0"/>
        <w:rPr>
          <w:rFonts w:ascii="Times New Roman" w:hAnsi="Times New Roman" w:cs="Times New Roman"/>
          <w:b/>
          <w:bCs/>
          <w:sz w:val="24"/>
        </w:rPr>
      </w:pPr>
      <w:r>
        <w:rPr>
          <w:rFonts w:ascii="Times New Roman" w:hAnsi="Times New Roman" w:cs="Times New Roman"/>
          <w:b/>
          <w:bCs/>
          <w:sz w:val="24"/>
        </w:rPr>
        <w:t>P</w:t>
      </w:r>
      <w:r w:rsidRPr="00974CB5">
        <w:rPr>
          <w:rFonts w:ascii="Times New Roman" w:hAnsi="Times New Roman" w:cs="Times New Roman"/>
          <w:b/>
          <w:bCs/>
          <w:sz w:val="24"/>
        </w:rPr>
        <w:t>royecto de ley</w:t>
      </w:r>
      <w:r>
        <w:rPr>
          <w:rFonts w:ascii="Times New Roman" w:hAnsi="Times New Roman" w:cs="Times New Roman"/>
          <w:b/>
          <w:bCs/>
          <w:sz w:val="24"/>
        </w:rPr>
        <w:t xml:space="preserve">, iniciado en moción de </w:t>
      </w:r>
      <w:r w:rsidRPr="00974CB5">
        <w:rPr>
          <w:rFonts w:ascii="Times New Roman" w:hAnsi="Times New Roman" w:cs="Times New Roman"/>
          <w:b/>
          <w:bCs/>
          <w:sz w:val="24"/>
        </w:rPr>
        <w:t>los Honorables Senadores señoras Provoste y Allende</w:t>
      </w:r>
      <w:r>
        <w:rPr>
          <w:rFonts w:ascii="Times New Roman" w:hAnsi="Times New Roman" w:cs="Times New Roman"/>
          <w:b/>
          <w:bCs/>
          <w:sz w:val="24"/>
        </w:rPr>
        <w:t>,</w:t>
      </w:r>
      <w:r w:rsidRPr="00974CB5">
        <w:rPr>
          <w:rFonts w:ascii="Times New Roman" w:hAnsi="Times New Roman" w:cs="Times New Roman"/>
          <w:b/>
          <w:bCs/>
          <w:sz w:val="24"/>
        </w:rPr>
        <w:t xml:space="preserve"> y señores Elizalde, Girardi y Pizarro, que faculta al </w:t>
      </w:r>
      <w:proofErr w:type="gramStart"/>
      <w:r w:rsidRPr="00974CB5">
        <w:rPr>
          <w:rFonts w:ascii="Times New Roman" w:hAnsi="Times New Roman" w:cs="Times New Roman"/>
          <w:b/>
          <w:bCs/>
          <w:sz w:val="24"/>
        </w:rPr>
        <w:t>Presidente</w:t>
      </w:r>
      <w:proofErr w:type="gramEnd"/>
      <w:r w:rsidRPr="00974CB5">
        <w:rPr>
          <w:rFonts w:ascii="Times New Roman" w:hAnsi="Times New Roman" w:cs="Times New Roman"/>
          <w:b/>
          <w:bCs/>
          <w:sz w:val="24"/>
        </w:rPr>
        <w:t xml:space="preserve"> de la República para crear un mecanismo de ayuda a las familias deudoras de cuentas de servicios básicos, producto de la pandemia.</w:t>
      </w:r>
    </w:p>
    <w:p w14:paraId="5220F0D0" w14:textId="77777777" w:rsidR="00EE10A2" w:rsidRPr="00974CB5" w:rsidRDefault="00EE10A2" w:rsidP="00A65ED2">
      <w:pPr>
        <w:spacing w:after="0" w:line="276" w:lineRule="auto"/>
        <w:ind w:left="0" w:right="0"/>
        <w:rPr>
          <w:rFonts w:ascii="Times New Roman" w:hAnsi="Times New Roman" w:cs="Times New Roman"/>
          <w:b/>
          <w:bCs/>
          <w:sz w:val="24"/>
        </w:rPr>
      </w:pPr>
    </w:p>
    <w:p w14:paraId="24C16C63" w14:textId="77777777" w:rsidR="00974CB5" w:rsidRPr="00974CB5" w:rsidRDefault="00974CB5" w:rsidP="00A65ED2">
      <w:pPr>
        <w:spacing w:after="0" w:line="276" w:lineRule="auto"/>
        <w:ind w:left="0" w:right="0"/>
        <w:rPr>
          <w:rFonts w:ascii="Times New Roman" w:hAnsi="Times New Roman" w:cs="Times New Roman"/>
          <w:sz w:val="24"/>
          <w:u w:val="single" w:color="000000"/>
        </w:rPr>
      </w:pPr>
    </w:p>
    <w:p w14:paraId="15E75A43" w14:textId="33F9DE5C" w:rsidR="005E3928" w:rsidRDefault="00A65ED2" w:rsidP="00A65ED2">
      <w:pPr>
        <w:spacing w:after="0" w:line="276" w:lineRule="auto"/>
        <w:ind w:left="0" w:right="0"/>
        <w:rPr>
          <w:rFonts w:ascii="Times New Roman" w:hAnsi="Times New Roman" w:cs="Times New Roman"/>
          <w:sz w:val="24"/>
        </w:rPr>
      </w:pPr>
      <w:r w:rsidRPr="00974CB5">
        <w:rPr>
          <w:rFonts w:ascii="Times New Roman" w:hAnsi="Times New Roman" w:cs="Times New Roman"/>
          <w:sz w:val="24"/>
        </w:rPr>
        <w:t>Desde el mes de mayo, quienes suscribimos el presente proyecto de ley, le hemos insistido al Gobierno que debe crearse un mecanismo de solución para atender el alto nivel de morosidad en los servicios básicos como agua y electricidad acentuados por la pandemia.</w:t>
      </w:r>
    </w:p>
    <w:p w14:paraId="13D42CCB" w14:textId="77777777" w:rsidR="00EE10A2" w:rsidRPr="00974CB5" w:rsidRDefault="00EE10A2" w:rsidP="00A65ED2">
      <w:pPr>
        <w:spacing w:after="0" w:line="276" w:lineRule="auto"/>
        <w:ind w:left="0" w:right="0"/>
        <w:rPr>
          <w:rFonts w:ascii="Times New Roman" w:hAnsi="Times New Roman" w:cs="Times New Roman"/>
          <w:sz w:val="24"/>
        </w:rPr>
      </w:pPr>
    </w:p>
    <w:p w14:paraId="677E8984" w14:textId="4DC71228" w:rsidR="005E3928" w:rsidRDefault="00A65ED2" w:rsidP="00A65ED2">
      <w:pPr>
        <w:spacing w:after="0" w:line="276" w:lineRule="auto"/>
        <w:ind w:left="0" w:right="0"/>
        <w:rPr>
          <w:rFonts w:ascii="Times New Roman" w:hAnsi="Times New Roman" w:cs="Times New Roman"/>
          <w:sz w:val="24"/>
        </w:rPr>
      </w:pPr>
      <w:r w:rsidRPr="00974CB5">
        <w:rPr>
          <w:rFonts w:ascii="Times New Roman" w:hAnsi="Times New Roman" w:cs="Times New Roman"/>
          <w:sz w:val="24"/>
        </w:rPr>
        <w:t>Esta morosidad no se resuelve con nuevamente prorrogar las leyes que suspendieron los cortes de los servicios básicos y da más plazos para pagar esa alta deuda.</w:t>
      </w:r>
    </w:p>
    <w:p w14:paraId="69105B06" w14:textId="77777777" w:rsidR="00EE10A2" w:rsidRPr="00974CB5" w:rsidRDefault="00EE10A2" w:rsidP="00A65ED2">
      <w:pPr>
        <w:spacing w:after="0" w:line="276" w:lineRule="auto"/>
        <w:ind w:left="0" w:right="0"/>
        <w:rPr>
          <w:rFonts w:ascii="Times New Roman" w:hAnsi="Times New Roman" w:cs="Times New Roman"/>
          <w:sz w:val="24"/>
        </w:rPr>
      </w:pPr>
    </w:p>
    <w:p w14:paraId="7C6E6A3C" w14:textId="3380F4DC" w:rsidR="005E3928" w:rsidRDefault="00A65ED2" w:rsidP="00A65ED2">
      <w:pPr>
        <w:spacing w:after="0" w:line="276" w:lineRule="auto"/>
        <w:ind w:left="0" w:right="0"/>
        <w:rPr>
          <w:rFonts w:ascii="Times New Roman" w:hAnsi="Times New Roman" w:cs="Times New Roman"/>
          <w:sz w:val="24"/>
        </w:rPr>
      </w:pPr>
      <w:r w:rsidRPr="00974CB5">
        <w:rPr>
          <w:rFonts w:ascii="Times New Roman" w:hAnsi="Times New Roman" w:cs="Times New Roman"/>
          <w:sz w:val="24"/>
        </w:rPr>
        <w:t>En el caso del sector sanitario los deudores producto de la pandemia con morosidad mayor de 60 días alcanzan a 609.000 clientes, los cuales no reciben los actuales subsidios fiscales del sector; en el caso de energía los deudores alcanzan a más de 700.000 familias.</w:t>
      </w:r>
    </w:p>
    <w:p w14:paraId="753E632D" w14:textId="77777777" w:rsidR="00EE10A2" w:rsidRPr="00974CB5" w:rsidRDefault="00EE10A2" w:rsidP="00A65ED2">
      <w:pPr>
        <w:spacing w:after="0" w:line="276" w:lineRule="auto"/>
        <w:ind w:left="0" w:right="0"/>
        <w:rPr>
          <w:rFonts w:ascii="Times New Roman" w:hAnsi="Times New Roman" w:cs="Times New Roman"/>
          <w:sz w:val="24"/>
        </w:rPr>
      </w:pPr>
    </w:p>
    <w:p w14:paraId="32EE8578" w14:textId="756FAB95" w:rsidR="005E3928" w:rsidRDefault="00A65ED2" w:rsidP="00A65ED2">
      <w:pPr>
        <w:spacing w:after="0" w:line="276" w:lineRule="auto"/>
        <w:ind w:left="0" w:right="0"/>
        <w:rPr>
          <w:rFonts w:ascii="Times New Roman" w:hAnsi="Times New Roman" w:cs="Times New Roman"/>
          <w:sz w:val="24"/>
        </w:rPr>
      </w:pPr>
      <w:r w:rsidRPr="00974CB5">
        <w:rPr>
          <w:rFonts w:ascii="Times New Roman" w:hAnsi="Times New Roman" w:cs="Times New Roman"/>
          <w:sz w:val="24"/>
        </w:rPr>
        <w:t>Los efectos sociales y económicos de la pandemia se prolongarán en el tiempo más allá de la Pandemia misma, que aún no tenemos claridad cuando terminará. Por ello no resulta lógico esperar que terminada la crisis sanitaria las familias recuperen de inmediato su situación socioeconómica pre crisis. Aun si logran recuperar trabajos y aumentar sus ingresos, las deudas acumuladas durante la crisis les impondrán una doble carga a las que muchas familias difícilmente podrán responder sin ayuda del Estado.</w:t>
      </w:r>
    </w:p>
    <w:p w14:paraId="5816653E" w14:textId="77777777" w:rsidR="00EE10A2" w:rsidRPr="00974CB5" w:rsidRDefault="00EE10A2" w:rsidP="00A65ED2">
      <w:pPr>
        <w:spacing w:after="0" w:line="276" w:lineRule="auto"/>
        <w:ind w:left="0" w:right="0"/>
        <w:rPr>
          <w:rFonts w:ascii="Times New Roman" w:hAnsi="Times New Roman" w:cs="Times New Roman"/>
          <w:sz w:val="24"/>
        </w:rPr>
      </w:pPr>
    </w:p>
    <w:p w14:paraId="0383283C" w14:textId="6E36EDF0" w:rsidR="005E3928" w:rsidRDefault="00A65ED2" w:rsidP="00A65ED2">
      <w:pPr>
        <w:spacing w:after="0" w:line="276" w:lineRule="auto"/>
        <w:ind w:left="0" w:right="0"/>
        <w:rPr>
          <w:rFonts w:ascii="Times New Roman" w:hAnsi="Times New Roman" w:cs="Times New Roman"/>
          <w:sz w:val="24"/>
        </w:rPr>
      </w:pPr>
      <w:r w:rsidRPr="00974CB5">
        <w:rPr>
          <w:rFonts w:ascii="Times New Roman" w:hAnsi="Times New Roman" w:cs="Times New Roman"/>
          <w:sz w:val="24"/>
        </w:rPr>
        <w:t>La deuda acumulada hasta la fecha en el sector energía alcanza a $206.000 millones y en el sector sanitario la pandemia elevó las deudas en casi $</w:t>
      </w:r>
      <w:r w:rsidR="00974CB5">
        <w:rPr>
          <w:rFonts w:ascii="Times New Roman" w:hAnsi="Times New Roman" w:cs="Times New Roman"/>
          <w:sz w:val="24"/>
        </w:rPr>
        <w:t>100.000</w:t>
      </w:r>
      <w:r w:rsidRPr="00974CB5">
        <w:rPr>
          <w:rFonts w:ascii="Times New Roman" w:hAnsi="Times New Roman" w:cs="Times New Roman"/>
          <w:sz w:val="24"/>
        </w:rPr>
        <w:t xml:space="preserve"> millones, lo que implica montos adicionales importantes a las cuentas que normalmente pagan las familias y los clientes no residenciales que han visto sus negocios cerrados o interrumpidas sus actividades productivas.</w:t>
      </w:r>
    </w:p>
    <w:p w14:paraId="4C52F80A" w14:textId="77777777" w:rsidR="00EE10A2" w:rsidRPr="00974CB5" w:rsidRDefault="00EE10A2" w:rsidP="00A65ED2">
      <w:pPr>
        <w:spacing w:after="0" w:line="276" w:lineRule="auto"/>
        <w:ind w:left="0" w:right="0"/>
        <w:rPr>
          <w:rFonts w:ascii="Times New Roman" w:hAnsi="Times New Roman" w:cs="Times New Roman"/>
          <w:sz w:val="24"/>
        </w:rPr>
      </w:pPr>
    </w:p>
    <w:p w14:paraId="59AB3EE4" w14:textId="2602682F" w:rsidR="005E3928" w:rsidRDefault="00A65ED2" w:rsidP="00A65ED2">
      <w:pPr>
        <w:spacing w:after="0" w:line="276" w:lineRule="auto"/>
        <w:ind w:left="0" w:right="0"/>
        <w:rPr>
          <w:rFonts w:ascii="Times New Roman" w:hAnsi="Times New Roman" w:cs="Times New Roman"/>
          <w:sz w:val="24"/>
        </w:rPr>
      </w:pPr>
      <w:r w:rsidRPr="00974CB5">
        <w:rPr>
          <w:rFonts w:ascii="Times New Roman" w:hAnsi="Times New Roman" w:cs="Times New Roman"/>
          <w:sz w:val="24"/>
        </w:rPr>
        <w:t>El retraso y mora en el pago de cuentas de servicios básicos originadas en la pandemia no puede ser considerada como una deuda comercial cualquiera. A diferencia de estas, los servicios básicos, constituyen en sí mismo servicios que condicionan la vida y supervivencia de las personas. Se trata de servicios indispensables, por lo que tal como algunos lo han señalado, se trata más bien de deudas humanitarias, agudizadas por una situación extraordinaria como es la pandemia.</w:t>
      </w:r>
    </w:p>
    <w:p w14:paraId="456390AA" w14:textId="77777777" w:rsidR="00EE10A2" w:rsidRPr="00974CB5" w:rsidRDefault="00EE10A2" w:rsidP="00A65ED2">
      <w:pPr>
        <w:spacing w:after="0" w:line="276" w:lineRule="auto"/>
        <w:ind w:left="0" w:right="0"/>
        <w:rPr>
          <w:rFonts w:ascii="Times New Roman" w:hAnsi="Times New Roman" w:cs="Times New Roman"/>
          <w:sz w:val="24"/>
        </w:rPr>
      </w:pPr>
    </w:p>
    <w:p w14:paraId="0E6838A3" w14:textId="17B1AF70" w:rsidR="005E3928" w:rsidRDefault="00A65ED2" w:rsidP="00A65ED2">
      <w:pPr>
        <w:spacing w:after="0" w:line="276" w:lineRule="auto"/>
        <w:ind w:left="0" w:right="0"/>
        <w:rPr>
          <w:rFonts w:ascii="Times New Roman" w:hAnsi="Times New Roman" w:cs="Times New Roman"/>
          <w:sz w:val="24"/>
        </w:rPr>
      </w:pPr>
      <w:r w:rsidRPr="00974CB5">
        <w:rPr>
          <w:rFonts w:ascii="Times New Roman" w:hAnsi="Times New Roman" w:cs="Times New Roman"/>
          <w:sz w:val="24"/>
        </w:rPr>
        <w:t>Durante estos 20 meses ya de Pandemia hemos señalado como un principio, la necesidad de colaborar entre todos para superar esta crisis. Por lo mismo no parece sostenible que sectores de la industria con importantes utilidades en plena pandemia se resten del esfuerzo, como tampoco resulta posible q</w:t>
      </w:r>
      <w:r w:rsidR="00EE10A2">
        <w:rPr>
          <w:rFonts w:ascii="Times New Roman" w:hAnsi="Times New Roman" w:cs="Times New Roman"/>
          <w:sz w:val="24"/>
        </w:rPr>
        <w:t>ue</w:t>
      </w:r>
      <w:r w:rsidRPr="00974CB5">
        <w:rPr>
          <w:rFonts w:ascii="Times New Roman" w:hAnsi="Times New Roman" w:cs="Times New Roman"/>
          <w:sz w:val="24"/>
        </w:rPr>
        <w:t xml:space="preserve"> </w:t>
      </w:r>
      <w:r w:rsidR="00EE10A2">
        <w:rPr>
          <w:rFonts w:ascii="Times New Roman" w:hAnsi="Times New Roman" w:cs="Times New Roman"/>
          <w:sz w:val="24"/>
        </w:rPr>
        <w:t>el Esta</w:t>
      </w:r>
      <w:r w:rsidRPr="00974CB5">
        <w:rPr>
          <w:rFonts w:ascii="Times New Roman" w:hAnsi="Times New Roman" w:cs="Times New Roman"/>
          <w:sz w:val="24"/>
        </w:rPr>
        <w:t>do no</w:t>
      </w:r>
      <w:r w:rsidR="00EE10A2">
        <w:rPr>
          <w:rFonts w:ascii="Times New Roman" w:hAnsi="Times New Roman" w:cs="Times New Roman"/>
          <w:sz w:val="24"/>
        </w:rPr>
        <w:t xml:space="preserve"> </w:t>
      </w:r>
      <w:r w:rsidRPr="00974CB5">
        <w:rPr>
          <w:rFonts w:ascii="Times New Roman" w:hAnsi="Times New Roman" w:cs="Times New Roman"/>
          <w:sz w:val="24"/>
        </w:rPr>
        <w:t xml:space="preserve">concurra con un </w:t>
      </w:r>
      <w:r w:rsidRPr="00974CB5">
        <w:rPr>
          <w:rFonts w:ascii="Times New Roman" w:hAnsi="Times New Roman" w:cs="Times New Roman"/>
          <w:sz w:val="24"/>
        </w:rPr>
        <w:lastRenderedPageBreak/>
        <w:t>compromiso más explícito, especialmente cuando este año destinó importantes recursos en el IFE universal.</w:t>
      </w:r>
    </w:p>
    <w:p w14:paraId="51F8DA3B" w14:textId="77777777" w:rsidR="00A65ED2" w:rsidRPr="00974CB5" w:rsidRDefault="00A65ED2" w:rsidP="00A65ED2">
      <w:pPr>
        <w:spacing w:after="0" w:line="276" w:lineRule="auto"/>
        <w:ind w:left="0" w:right="0"/>
        <w:rPr>
          <w:rFonts w:ascii="Times New Roman" w:hAnsi="Times New Roman" w:cs="Times New Roman"/>
          <w:sz w:val="24"/>
        </w:rPr>
      </w:pPr>
    </w:p>
    <w:p w14:paraId="4F51892D" w14:textId="201259E9" w:rsidR="005E3928" w:rsidRDefault="00A65ED2" w:rsidP="00A65ED2">
      <w:pPr>
        <w:spacing w:after="0" w:line="276" w:lineRule="auto"/>
        <w:ind w:left="0" w:right="0"/>
        <w:rPr>
          <w:rFonts w:ascii="Times New Roman" w:hAnsi="Times New Roman" w:cs="Times New Roman"/>
          <w:sz w:val="24"/>
        </w:rPr>
      </w:pPr>
      <w:r w:rsidRPr="00974CB5">
        <w:rPr>
          <w:rFonts w:ascii="Times New Roman" w:hAnsi="Times New Roman" w:cs="Times New Roman"/>
          <w:sz w:val="24"/>
        </w:rPr>
        <w:t>En el mismo sentido, creemos que se debe hacer frente a esta tragedia con un modelo solidario de pago al que efectivamente concurran todos (Estado, Empresas proveedoras y Clientes).</w:t>
      </w:r>
    </w:p>
    <w:p w14:paraId="7B1010DD" w14:textId="77777777" w:rsidR="00EE10A2" w:rsidRPr="00974CB5" w:rsidRDefault="00EE10A2" w:rsidP="00A65ED2">
      <w:pPr>
        <w:spacing w:after="0" w:line="276" w:lineRule="auto"/>
        <w:ind w:left="0" w:right="0"/>
        <w:rPr>
          <w:rFonts w:ascii="Times New Roman" w:hAnsi="Times New Roman" w:cs="Times New Roman"/>
          <w:sz w:val="24"/>
        </w:rPr>
      </w:pPr>
    </w:p>
    <w:p w14:paraId="06085386" w14:textId="3263EA98" w:rsidR="005E3928" w:rsidRDefault="00A65ED2" w:rsidP="00A65ED2">
      <w:pPr>
        <w:spacing w:after="0" w:line="276" w:lineRule="auto"/>
        <w:ind w:left="0" w:right="0"/>
        <w:rPr>
          <w:rFonts w:ascii="Times New Roman" w:hAnsi="Times New Roman" w:cs="Times New Roman"/>
          <w:sz w:val="24"/>
        </w:rPr>
      </w:pPr>
      <w:r w:rsidRPr="00974CB5">
        <w:rPr>
          <w:rFonts w:ascii="Times New Roman" w:hAnsi="Times New Roman" w:cs="Times New Roman"/>
          <w:sz w:val="24"/>
        </w:rPr>
        <w:t>La solidaridad que proponemos debe partir ya con el Estado generando subsidios fiscales para las familias con morosidad en la pandemia, también las empresas proveedoras deben cooperar (con exclusión de pequeñas empresas proveedoras como cooperativas eléctricas y Comités de Agua Potable Rural). Igualmente, la ayuda debe ser temporal, acotada y sostenible. Los mecanismos, en lo posible automáticos, de tal manera que la ayuda a las familias sea simple y se centre en los morosos vulnerables y de clase media.</w:t>
      </w:r>
    </w:p>
    <w:p w14:paraId="3E2B89E2" w14:textId="77777777" w:rsidR="00EE10A2" w:rsidRPr="00974CB5" w:rsidRDefault="00EE10A2" w:rsidP="00A65ED2">
      <w:pPr>
        <w:spacing w:after="0" w:line="276" w:lineRule="auto"/>
        <w:ind w:left="0" w:right="0"/>
        <w:rPr>
          <w:rFonts w:ascii="Times New Roman" w:hAnsi="Times New Roman" w:cs="Times New Roman"/>
          <w:sz w:val="24"/>
        </w:rPr>
      </w:pPr>
    </w:p>
    <w:p w14:paraId="0878FCCC" w14:textId="27557394" w:rsidR="005E3928" w:rsidRDefault="00A65ED2" w:rsidP="00A65ED2">
      <w:pPr>
        <w:spacing w:after="0" w:line="276" w:lineRule="auto"/>
        <w:ind w:left="0" w:right="0"/>
        <w:rPr>
          <w:rFonts w:ascii="Times New Roman" w:hAnsi="Times New Roman" w:cs="Times New Roman"/>
          <w:sz w:val="24"/>
        </w:rPr>
      </w:pPr>
      <w:r w:rsidRPr="00974CB5">
        <w:rPr>
          <w:rFonts w:ascii="Times New Roman" w:hAnsi="Times New Roman" w:cs="Times New Roman"/>
          <w:sz w:val="24"/>
        </w:rPr>
        <w:t>Debe incorporar al total de los morosos -exceptuando a los morosos de altos ingresos y de altos consumos- porque ellos han sufrido el desempleo, la caída de ingresos y deben ser el foco de una ayuda que permita bajar en los próximos 48 meses bajar esta mochila que es la deuda acumulada por pandemia.</w:t>
      </w:r>
    </w:p>
    <w:p w14:paraId="143FAB64" w14:textId="77777777" w:rsidR="00EE10A2" w:rsidRPr="00974CB5" w:rsidRDefault="00EE10A2" w:rsidP="00A65ED2">
      <w:pPr>
        <w:spacing w:after="0" w:line="276" w:lineRule="auto"/>
        <w:ind w:left="0" w:right="0"/>
        <w:rPr>
          <w:rFonts w:ascii="Times New Roman" w:hAnsi="Times New Roman" w:cs="Times New Roman"/>
          <w:sz w:val="24"/>
        </w:rPr>
      </w:pPr>
    </w:p>
    <w:p w14:paraId="2486CBAB" w14:textId="77777777" w:rsidR="005E3928" w:rsidRPr="00974CB5" w:rsidRDefault="00A65ED2" w:rsidP="00A65ED2">
      <w:pPr>
        <w:spacing w:after="0" w:line="276" w:lineRule="auto"/>
        <w:ind w:left="0" w:right="0"/>
        <w:rPr>
          <w:rFonts w:ascii="Times New Roman" w:hAnsi="Times New Roman" w:cs="Times New Roman"/>
          <w:sz w:val="24"/>
        </w:rPr>
      </w:pPr>
      <w:r w:rsidRPr="00974CB5">
        <w:rPr>
          <w:rFonts w:ascii="Times New Roman" w:hAnsi="Times New Roman" w:cs="Times New Roman"/>
          <w:sz w:val="24"/>
        </w:rPr>
        <w:t>Por estos fundamentos venimos en proponer al Senado de la República la siguiente moción parlamentaria:</w:t>
      </w:r>
      <w:r w:rsidRPr="00974CB5">
        <w:rPr>
          <w:rFonts w:ascii="Times New Roman" w:hAnsi="Times New Roman" w:cs="Times New Roman"/>
          <w:sz w:val="24"/>
        </w:rPr>
        <w:br w:type="page"/>
      </w:r>
    </w:p>
    <w:p w14:paraId="62402361" w14:textId="699EDEC3" w:rsidR="005E3928" w:rsidRDefault="00A65ED2" w:rsidP="00EE10A2">
      <w:pPr>
        <w:pStyle w:val="Ttulo1"/>
        <w:spacing w:line="240" w:lineRule="auto"/>
        <w:ind w:left="0"/>
        <w:jc w:val="both"/>
        <w:rPr>
          <w:rFonts w:ascii="Times New Roman" w:hAnsi="Times New Roman" w:cs="Times New Roman"/>
          <w:b/>
          <w:bCs/>
          <w:sz w:val="24"/>
        </w:rPr>
      </w:pPr>
      <w:r w:rsidRPr="00EE10A2">
        <w:rPr>
          <w:rFonts w:ascii="Times New Roman" w:hAnsi="Times New Roman" w:cs="Times New Roman"/>
          <w:b/>
          <w:bCs/>
          <w:sz w:val="24"/>
        </w:rPr>
        <w:lastRenderedPageBreak/>
        <w:t>PROYECTO DE LEY</w:t>
      </w:r>
    </w:p>
    <w:p w14:paraId="0ED4CAF7" w14:textId="77777777" w:rsidR="00EE10A2" w:rsidRPr="00EE10A2" w:rsidRDefault="00EE10A2" w:rsidP="00EE10A2">
      <w:pPr>
        <w:rPr>
          <w:sz w:val="24"/>
          <w:szCs w:val="22"/>
        </w:rPr>
      </w:pPr>
    </w:p>
    <w:p w14:paraId="519A2C49" w14:textId="77777777" w:rsidR="005E3928" w:rsidRPr="00974CB5" w:rsidRDefault="00A65ED2" w:rsidP="00EE10A2">
      <w:pPr>
        <w:spacing w:after="0" w:line="276" w:lineRule="auto"/>
        <w:ind w:left="0" w:right="0"/>
        <w:rPr>
          <w:rFonts w:ascii="Times New Roman" w:hAnsi="Times New Roman" w:cs="Times New Roman"/>
          <w:sz w:val="24"/>
        </w:rPr>
      </w:pPr>
      <w:r w:rsidRPr="00EE10A2">
        <w:rPr>
          <w:rFonts w:ascii="Times New Roman" w:hAnsi="Times New Roman" w:cs="Times New Roman"/>
          <w:b/>
          <w:bCs/>
          <w:sz w:val="24"/>
        </w:rPr>
        <w:t>Artículo Único</w:t>
      </w:r>
      <w:r w:rsidRPr="00974CB5">
        <w:rPr>
          <w:rFonts w:ascii="Times New Roman" w:hAnsi="Times New Roman" w:cs="Times New Roman"/>
          <w:sz w:val="24"/>
        </w:rPr>
        <w:t xml:space="preserve">: El </w:t>
      </w:r>
      <w:proofErr w:type="gramStart"/>
      <w:r w:rsidRPr="00974CB5">
        <w:rPr>
          <w:rFonts w:ascii="Times New Roman" w:hAnsi="Times New Roman" w:cs="Times New Roman"/>
          <w:sz w:val="24"/>
        </w:rPr>
        <w:t>Presidente</w:t>
      </w:r>
      <w:proofErr w:type="gramEnd"/>
      <w:r w:rsidRPr="00974CB5">
        <w:rPr>
          <w:rFonts w:ascii="Times New Roman" w:hAnsi="Times New Roman" w:cs="Times New Roman"/>
          <w:sz w:val="24"/>
        </w:rPr>
        <w:t xml:space="preserve"> de la República, podrá someter a la consideración del Congreso Nacional, la creación de un mecanismo solidario de ayuda a las familias endeudadas por servicios básicos generadas durante la pandemia sanitaria, entre los meses de marzo del año 2020 y diciembre del año 2021, al cual podrán concurrir el Estado, las empresas proveedoras del servicio y los clientes. La deuda de ese período será prorrateada en 48 meses y será atendida mediante este mecanismo solidario.</w:t>
      </w:r>
    </w:p>
    <w:p w14:paraId="22A1C383" w14:textId="33720832" w:rsidR="005E3928" w:rsidRPr="00974CB5" w:rsidRDefault="005E3928" w:rsidP="00EE10A2">
      <w:pPr>
        <w:spacing w:after="0" w:line="240" w:lineRule="auto"/>
        <w:ind w:left="0" w:right="0"/>
        <w:jc w:val="left"/>
        <w:rPr>
          <w:rFonts w:ascii="Times New Roman" w:hAnsi="Times New Roman" w:cs="Times New Roman"/>
          <w:sz w:val="24"/>
        </w:rPr>
      </w:pPr>
    </w:p>
    <w:sectPr w:rsidR="005E3928" w:rsidRPr="00974CB5" w:rsidSect="00A65ED2">
      <w:pgSz w:w="11900" w:h="18700"/>
      <w:pgMar w:top="2438" w:right="1692" w:bottom="1685" w:left="198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28"/>
    <w:rsid w:val="005E3928"/>
    <w:rsid w:val="00974CB5"/>
    <w:rsid w:val="00A65ED2"/>
    <w:rsid w:val="00EE10A2"/>
    <w:rsid w:val="00FE5F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EAC8"/>
  <w15:docId w15:val="{0990CF6D-1013-D645-9B8E-09991707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16" w:lineRule="auto"/>
      <w:ind w:left="24" w:right="29"/>
      <w:jc w:val="both"/>
    </w:pPr>
    <w:rPr>
      <w:rFonts w:ascii="Calibri" w:eastAsia="Calibri" w:hAnsi="Calibri" w:cs="Calibri"/>
      <w:color w:val="000000"/>
      <w:sz w:val="28"/>
    </w:rPr>
  </w:style>
  <w:style w:type="paragraph" w:styleId="Ttulo1">
    <w:name w:val="heading 1"/>
    <w:next w:val="Normal"/>
    <w:link w:val="Ttulo1Car"/>
    <w:uiPriority w:val="9"/>
    <w:qFormat/>
    <w:pPr>
      <w:keepNext/>
      <w:keepLines/>
      <w:spacing w:line="259" w:lineRule="auto"/>
      <w:ind w:left="34"/>
      <w:jc w:val="center"/>
      <w:outlineLvl w:val="0"/>
    </w:pPr>
    <w:rPr>
      <w:rFonts w:ascii="Calibri" w:eastAsia="Calibri" w:hAnsi="Calibri" w:cs="Calibri"/>
      <w:color w:val="000000"/>
      <w:sz w:val="32"/>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3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3734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AVILLARROEL</cp:lastModifiedBy>
  <cp:revision>2</cp:revision>
  <dcterms:created xsi:type="dcterms:W3CDTF">2021-12-21T23:36:00Z</dcterms:created>
  <dcterms:modified xsi:type="dcterms:W3CDTF">2021-12-21T23:36:00Z</dcterms:modified>
</cp:coreProperties>
</file>