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F4" w:rsidRDefault="003173F4">
      <w:pPr>
        <w:pStyle w:val="Textoindependiente"/>
        <w:spacing w:before="8"/>
        <w:rPr>
          <w:sz w:val="20"/>
        </w:rPr>
      </w:pPr>
      <w:bookmarkStart w:id="0" w:name="_GoBack"/>
      <w:bookmarkEnd w:id="0"/>
    </w:p>
    <w:p w:rsidR="003173F4" w:rsidRDefault="00702D4B">
      <w:pPr>
        <w:pStyle w:val="Textoindependiente"/>
        <w:ind w:left="3624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1015745" cy="10157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745" cy="10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3F4" w:rsidRDefault="003173F4">
      <w:pPr>
        <w:pStyle w:val="Textoindependiente"/>
        <w:rPr>
          <w:sz w:val="20"/>
        </w:rPr>
      </w:pPr>
    </w:p>
    <w:p w:rsidR="003173F4" w:rsidRDefault="003173F4">
      <w:pPr>
        <w:pStyle w:val="Textoindependiente"/>
        <w:rPr>
          <w:sz w:val="20"/>
        </w:rPr>
      </w:pPr>
    </w:p>
    <w:p w:rsidR="003173F4" w:rsidRDefault="003173F4">
      <w:pPr>
        <w:pStyle w:val="Textoindependiente"/>
        <w:rPr>
          <w:sz w:val="20"/>
        </w:rPr>
      </w:pPr>
    </w:p>
    <w:p w:rsidR="003173F4" w:rsidRDefault="003173F4">
      <w:pPr>
        <w:pStyle w:val="Textoindependiente"/>
        <w:spacing w:before="9"/>
        <w:rPr>
          <w:sz w:val="23"/>
        </w:rPr>
      </w:pPr>
    </w:p>
    <w:p w:rsidR="003173F4" w:rsidRDefault="00702D4B">
      <w:pPr>
        <w:spacing w:line="367" w:lineRule="auto"/>
        <w:ind w:left="118" w:right="120"/>
        <w:jc w:val="both"/>
        <w:rPr>
          <w:b/>
          <w:sz w:val="21"/>
        </w:rPr>
      </w:pPr>
      <w:r>
        <w:rPr>
          <w:b/>
          <w:sz w:val="21"/>
        </w:rPr>
        <w:t>PROYECTO DE LEY QUE RESTRINGE LOS REQUISITOS NECESARIOS PARA ACCEDER AL BENEFICIO DE LIBERTAD CONDICIONAL A QUIENES HAYAN SIDO CONDENADOS COMO AUTORES DE HOMICIDIO A MIEMBROS DE LAS POLICÍAS</w:t>
      </w:r>
      <w:r>
        <w:rPr>
          <w:b/>
          <w:spacing w:val="80"/>
          <w:sz w:val="21"/>
        </w:rPr>
        <w:t xml:space="preserve"> </w:t>
      </w:r>
      <w:r>
        <w:rPr>
          <w:b/>
          <w:sz w:val="21"/>
        </w:rPr>
        <w:t>EN EJERCICIO DE SUS FUNCIONES Y DE LOS DELITOS QUE INDICA.</w:t>
      </w:r>
    </w:p>
    <w:p w:rsidR="003173F4" w:rsidRDefault="003173F4">
      <w:pPr>
        <w:pStyle w:val="Textoindependiente"/>
        <w:rPr>
          <w:b/>
          <w:sz w:val="24"/>
        </w:rPr>
      </w:pPr>
    </w:p>
    <w:p w:rsidR="003173F4" w:rsidRDefault="003173F4">
      <w:pPr>
        <w:pStyle w:val="Textoindependiente"/>
        <w:rPr>
          <w:b/>
          <w:sz w:val="24"/>
        </w:rPr>
      </w:pPr>
    </w:p>
    <w:p w:rsidR="003173F4" w:rsidRDefault="003173F4">
      <w:pPr>
        <w:pStyle w:val="Textoindependiente"/>
        <w:spacing w:before="6"/>
        <w:rPr>
          <w:b/>
          <w:sz w:val="26"/>
        </w:rPr>
      </w:pPr>
    </w:p>
    <w:p w:rsidR="003173F4" w:rsidRDefault="00702D4B">
      <w:pPr>
        <w:pStyle w:val="Prrafodelista"/>
        <w:numPr>
          <w:ilvl w:val="0"/>
          <w:numId w:val="1"/>
        </w:numPr>
        <w:tabs>
          <w:tab w:val="left" w:pos="1169"/>
          <w:tab w:val="left" w:pos="1170"/>
        </w:tabs>
        <w:spacing w:before="1"/>
        <w:ind w:hanging="702"/>
        <w:rPr>
          <w:b/>
          <w:sz w:val="21"/>
        </w:rPr>
      </w:pPr>
      <w:r>
        <w:rPr>
          <w:b/>
          <w:sz w:val="21"/>
        </w:rPr>
        <w:t xml:space="preserve">Ideas </w:t>
      </w:r>
      <w:r>
        <w:rPr>
          <w:b/>
          <w:spacing w:val="-2"/>
          <w:sz w:val="21"/>
        </w:rPr>
        <w:t>Generales</w:t>
      </w:r>
    </w:p>
    <w:p w:rsidR="003173F4" w:rsidRDefault="003173F4">
      <w:pPr>
        <w:pStyle w:val="Textoindependiente"/>
        <w:rPr>
          <w:b/>
          <w:sz w:val="24"/>
        </w:rPr>
      </w:pPr>
    </w:p>
    <w:p w:rsidR="003173F4" w:rsidRDefault="003173F4">
      <w:pPr>
        <w:pStyle w:val="Textoindependiente"/>
        <w:spacing w:before="2"/>
        <w:rPr>
          <w:b/>
          <w:sz w:val="28"/>
        </w:rPr>
      </w:pPr>
    </w:p>
    <w:p w:rsidR="003173F4" w:rsidRDefault="00702D4B">
      <w:pPr>
        <w:pStyle w:val="Prrafodelista"/>
        <w:numPr>
          <w:ilvl w:val="1"/>
          <w:numId w:val="1"/>
        </w:numPr>
        <w:tabs>
          <w:tab w:val="left" w:pos="820"/>
        </w:tabs>
        <w:spacing w:before="1"/>
        <w:ind w:hanging="352"/>
        <w:rPr>
          <w:b/>
          <w:sz w:val="21"/>
        </w:rPr>
      </w:pPr>
      <w:r>
        <w:rPr>
          <w:b/>
          <w:sz w:val="21"/>
        </w:rPr>
        <w:t>Antecedentes</w:t>
      </w:r>
      <w:r>
        <w:rPr>
          <w:b/>
          <w:spacing w:val="7"/>
          <w:sz w:val="21"/>
        </w:rPr>
        <w:t xml:space="preserve"> </w:t>
      </w:r>
      <w:r>
        <w:rPr>
          <w:b/>
          <w:spacing w:val="-2"/>
          <w:sz w:val="21"/>
        </w:rPr>
        <w:t>generales</w:t>
      </w:r>
    </w:p>
    <w:p w:rsidR="003173F4" w:rsidRDefault="003173F4">
      <w:pPr>
        <w:pStyle w:val="Textoindependiente"/>
        <w:rPr>
          <w:b/>
          <w:sz w:val="24"/>
        </w:rPr>
      </w:pPr>
    </w:p>
    <w:p w:rsidR="003173F4" w:rsidRDefault="00702D4B">
      <w:pPr>
        <w:spacing w:before="171" w:line="264" w:lineRule="auto"/>
        <w:ind w:left="118" w:right="117"/>
        <w:jc w:val="both"/>
        <w:rPr>
          <w:i/>
          <w:sz w:val="21"/>
        </w:rPr>
      </w:pPr>
      <w:r>
        <w:rPr>
          <w:sz w:val="21"/>
        </w:rPr>
        <w:t>De un tiempo a esta parte, nuestro país ha sufrido una escalada en la comisión de delitos violentos</w:t>
      </w:r>
      <w:r>
        <w:rPr>
          <w:spacing w:val="40"/>
          <w:sz w:val="21"/>
        </w:rPr>
        <w:t xml:space="preserve"> </w:t>
      </w:r>
      <w:r>
        <w:rPr>
          <w:sz w:val="21"/>
        </w:rPr>
        <w:t>que, lamentablemente, ha atemorizado a cientos de fa</w:t>
      </w:r>
      <w:r>
        <w:rPr>
          <w:sz w:val="21"/>
        </w:rPr>
        <w:t>milias. En particular, el aumento en los homicidios, desde un 4,2 a 5,7 por cada 100 mil habitantes</w:t>
      </w:r>
      <w:r>
        <w:rPr>
          <w:position w:val="7"/>
          <w:sz w:val="13"/>
        </w:rPr>
        <w:t>1</w:t>
      </w:r>
      <w:r>
        <w:rPr>
          <w:sz w:val="21"/>
        </w:rPr>
        <w:t>, parece ser el mejor ejemplo de aquello, aunque no</w:t>
      </w:r>
      <w:r>
        <w:rPr>
          <w:spacing w:val="-2"/>
          <w:sz w:val="21"/>
        </w:rPr>
        <w:t xml:space="preserve"> </w:t>
      </w:r>
      <w:r>
        <w:rPr>
          <w:sz w:val="21"/>
        </w:rPr>
        <w:t>es el único crimen que se ha</w:t>
      </w:r>
      <w:r>
        <w:rPr>
          <w:spacing w:val="-1"/>
          <w:sz w:val="21"/>
        </w:rPr>
        <w:t xml:space="preserve"> </w:t>
      </w:r>
      <w:r>
        <w:rPr>
          <w:sz w:val="21"/>
        </w:rPr>
        <w:t>elevado. Así, también destaca que, en tan solo un mes, ya han fallecido tre</w:t>
      </w:r>
      <w:r>
        <w:rPr>
          <w:sz w:val="21"/>
        </w:rPr>
        <w:t>s carabineros en ejercicio de sus funciones</w:t>
      </w:r>
      <w:r>
        <w:rPr>
          <w:position w:val="7"/>
          <w:sz w:val="13"/>
        </w:rPr>
        <w:t>2</w:t>
      </w:r>
      <w:r>
        <w:rPr>
          <w:sz w:val="21"/>
        </w:rPr>
        <w:t xml:space="preserve">. El primero de ellos, fue asesinado </w:t>
      </w:r>
      <w:r>
        <w:rPr>
          <w:i/>
          <w:sz w:val="21"/>
        </w:rPr>
        <w:t xml:space="preserve">“el 5 de mayo, en Chillán, cuando </w:t>
      </w:r>
      <w:proofErr w:type="spellStart"/>
      <w:r>
        <w:rPr>
          <w:i/>
          <w:sz w:val="21"/>
        </w:rPr>
        <w:t>Breant</w:t>
      </w:r>
      <w:proofErr w:type="spellEnd"/>
      <w:r>
        <w:rPr>
          <w:i/>
          <w:sz w:val="21"/>
        </w:rPr>
        <w:t xml:space="preserve"> Rivas Manríquez [falleció] tras recibir un balazo por la espalda, </w:t>
      </w:r>
      <w:proofErr w:type="gramStart"/>
      <w:r>
        <w:rPr>
          <w:i/>
          <w:sz w:val="21"/>
        </w:rPr>
        <w:t>luego</w:t>
      </w:r>
      <w:proofErr w:type="gramEnd"/>
      <w:r>
        <w:rPr>
          <w:i/>
          <w:sz w:val="21"/>
        </w:rPr>
        <w:t xml:space="preserve"> de acudir a un control policial en un procedimiento antidrogas</w:t>
      </w:r>
      <w:r>
        <w:rPr>
          <w:i/>
          <w:sz w:val="21"/>
        </w:rPr>
        <w:t>”</w:t>
      </w:r>
      <w:r>
        <w:rPr>
          <w:i/>
          <w:position w:val="7"/>
          <w:sz w:val="13"/>
        </w:rPr>
        <w:t>3</w:t>
      </w:r>
      <w:r>
        <w:rPr>
          <w:i/>
          <w:sz w:val="21"/>
        </w:rPr>
        <w:t>.</w:t>
      </w:r>
    </w:p>
    <w:p w:rsidR="003173F4" w:rsidRDefault="00702D4B">
      <w:pPr>
        <w:pStyle w:val="Textoindependiente"/>
        <w:spacing w:before="154" w:line="264" w:lineRule="auto"/>
        <w:ind w:left="118" w:right="119"/>
        <w:jc w:val="both"/>
      </w:pPr>
      <w:r>
        <w:t>Con base</w:t>
      </w:r>
      <w:r>
        <w:rPr>
          <w:spacing w:val="-3"/>
        </w:rPr>
        <w:t xml:space="preserve"> </w:t>
      </w:r>
      <w:r>
        <w:t>en lo anterior, es necesario analizar las herramientas preventivas</w:t>
      </w:r>
      <w:r>
        <w:rPr>
          <w:spacing w:val="-2"/>
        </w:rPr>
        <w:t xml:space="preserve"> </w:t>
      </w:r>
      <w:r>
        <w:t>y punitivas que el Derecho Penal otorga, puesto que, parece ser indiscutible que nuestro actual proceso penal no está cumpliendo con los fines para los que ha sido creado.</w:t>
      </w:r>
    </w:p>
    <w:p w:rsidR="003173F4" w:rsidRDefault="00702D4B">
      <w:pPr>
        <w:pStyle w:val="Textoindependiente"/>
        <w:spacing w:before="156" w:line="264" w:lineRule="auto"/>
        <w:ind w:left="118" w:right="121"/>
        <w:jc w:val="both"/>
      </w:pPr>
      <w:r>
        <w:t>Las</w:t>
      </w:r>
      <w:r>
        <w:rPr>
          <w:spacing w:val="19"/>
        </w:rPr>
        <w:t xml:space="preserve"> </w:t>
      </w:r>
      <w:r>
        <w:t>dificultades</w:t>
      </w:r>
      <w:r>
        <w:rPr>
          <w:spacing w:val="19"/>
        </w:rPr>
        <w:t xml:space="preserve"> </w:t>
      </w:r>
      <w:r>
        <w:t>que explican esta situación son variadas, y generalmente se traducen en un análisis</w:t>
      </w:r>
      <w:r>
        <w:rPr>
          <w:spacing w:val="40"/>
        </w:rPr>
        <w:t xml:space="preserve"> </w:t>
      </w:r>
      <w:r>
        <w:t xml:space="preserve">de carácter criminológico, donde los esfuerzos parecen estar enfocados en la rehabilitación social de los condenados, sin embargo, ante el más reciente </w:t>
      </w:r>
      <w:r>
        <w:rPr>
          <w:b/>
        </w:rPr>
        <w:t>asesinato del cabo David Florido</w:t>
      </w:r>
      <w:r>
        <w:t>, presumiblemente a manos de un hombre que se encuentra con beneficio de libertad condicional, a pesar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había</w:t>
      </w:r>
      <w:r>
        <w:rPr>
          <w:spacing w:val="24"/>
        </w:rPr>
        <w:t xml:space="preserve"> </w:t>
      </w:r>
      <w:r>
        <w:t>rechazado</w:t>
      </w:r>
      <w:r>
        <w:rPr>
          <w:spacing w:val="23"/>
        </w:rPr>
        <w:t xml:space="preserve"> </w:t>
      </w:r>
      <w:r>
        <w:t>otorgar</w:t>
      </w:r>
      <w:r>
        <w:rPr>
          <w:spacing w:val="24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beneficio,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vuelve</w:t>
      </w:r>
      <w:r>
        <w:rPr>
          <w:spacing w:val="19"/>
        </w:rPr>
        <w:t xml:space="preserve"> </w:t>
      </w:r>
      <w:r>
        <w:t>evidente</w:t>
      </w:r>
      <w:r>
        <w:rPr>
          <w:spacing w:val="24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b/>
        </w:rPr>
        <w:t>la</w:t>
      </w:r>
      <w:r>
        <w:rPr>
          <w:b/>
          <w:spacing w:val="19"/>
        </w:rPr>
        <w:t xml:space="preserve"> </w:t>
      </w:r>
      <w:r>
        <w:rPr>
          <w:b/>
        </w:rPr>
        <w:t>reinserción</w:t>
      </w:r>
      <w:r>
        <w:rPr>
          <w:b/>
          <w:spacing w:val="23"/>
        </w:rPr>
        <w:t xml:space="preserve"> </w:t>
      </w:r>
      <w:r>
        <w:rPr>
          <w:b/>
        </w:rPr>
        <w:t>social no es posible en todos los c</w:t>
      </w:r>
      <w:r>
        <w:rPr>
          <w:b/>
        </w:rPr>
        <w:t>asos</w:t>
      </w:r>
      <w:r>
        <w:t>, y</w:t>
      </w:r>
      <w:r>
        <w:rPr>
          <w:spacing w:val="15"/>
        </w:rPr>
        <w:t xml:space="preserve"> </w:t>
      </w:r>
      <w:r>
        <w:t>que la libertad de ciertos</w:t>
      </w:r>
      <w:r>
        <w:rPr>
          <w:spacing w:val="15"/>
        </w:rPr>
        <w:t xml:space="preserve"> </w:t>
      </w:r>
      <w:r>
        <w:t>condenados</w:t>
      </w:r>
      <w:r>
        <w:rPr>
          <w:spacing w:val="15"/>
        </w:rPr>
        <w:t xml:space="preserve"> </w:t>
      </w:r>
      <w:r>
        <w:t>constituye un peligro para</w:t>
      </w:r>
    </w:p>
    <w:p w:rsidR="003173F4" w:rsidRDefault="00702D4B">
      <w:pPr>
        <w:pStyle w:val="Textoindependiente"/>
        <w:spacing w:before="3"/>
        <w:rPr>
          <w:sz w:val="22"/>
        </w:rPr>
      </w:pPr>
      <w:r>
        <w:pict>
          <v:shape id="docshape1" o:spid="_x0000_s1027" style="position:absolute;margin-left:82.8pt;margin-top:14pt;width:139.7pt;height:.1pt;z-index:-15728640;mso-wrap-distance-left:0;mso-wrap-distance-right:0;mso-position-horizontal-relative:page" coordorigin="1656,280" coordsize="2794,0" path="m1656,280r2794,e" filled="f" strokeweight=".96pt">
            <v:path arrowok="t"/>
            <w10:wrap type="topAndBottom" anchorx="page"/>
          </v:shape>
        </w:pict>
      </w:r>
    </w:p>
    <w:p w:rsidR="003173F4" w:rsidRDefault="00702D4B">
      <w:pPr>
        <w:spacing w:before="73"/>
        <w:ind w:left="118"/>
        <w:rPr>
          <w:rFonts w:ascii="Calibri"/>
          <w:sz w:val="19"/>
        </w:rPr>
      </w:pPr>
      <w:r>
        <w:rPr>
          <w:rFonts w:ascii="Calibri"/>
          <w:spacing w:val="-2"/>
          <w:w w:val="105"/>
          <w:position w:val="6"/>
          <w:sz w:val="12"/>
        </w:rPr>
        <w:t>1</w:t>
      </w:r>
      <w:r>
        <w:rPr>
          <w:rFonts w:ascii="Calibri"/>
          <w:spacing w:val="8"/>
          <w:w w:val="105"/>
          <w:position w:val="6"/>
          <w:sz w:val="12"/>
        </w:rPr>
        <w:t xml:space="preserve"> </w:t>
      </w:r>
      <w:r>
        <w:rPr>
          <w:rFonts w:ascii="Calibri"/>
          <w:spacing w:val="-2"/>
          <w:w w:val="105"/>
          <w:sz w:val="19"/>
        </w:rPr>
        <w:t>Disponible</w:t>
      </w:r>
      <w:r>
        <w:rPr>
          <w:rFonts w:ascii="Calibri"/>
          <w:spacing w:val="-7"/>
          <w:w w:val="105"/>
          <w:sz w:val="19"/>
        </w:rPr>
        <w:t xml:space="preserve"> </w:t>
      </w:r>
      <w:r>
        <w:rPr>
          <w:rFonts w:ascii="Calibri"/>
          <w:spacing w:val="-2"/>
          <w:w w:val="105"/>
          <w:sz w:val="19"/>
        </w:rPr>
        <w:t>en:</w:t>
      </w:r>
      <w:r>
        <w:rPr>
          <w:rFonts w:ascii="Calibri"/>
          <w:spacing w:val="-8"/>
          <w:w w:val="105"/>
          <w:sz w:val="19"/>
        </w:rPr>
        <w:t xml:space="preserve"> </w:t>
      </w:r>
      <w:hyperlink r:id="rId6">
        <w:r>
          <w:rPr>
            <w:rFonts w:ascii="Calibri"/>
            <w:color w:val="0362C1"/>
            <w:spacing w:val="-2"/>
            <w:w w:val="105"/>
            <w:sz w:val="19"/>
            <w:u w:val="single" w:color="0362C1"/>
          </w:rPr>
          <w:t>http://www.fiscaliadechile.cl/Fiscalia/sala_prensa/noticias_de</w:t>
        </w:r>
        <w:r>
          <w:rPr>
            <w:rFonts w:ascii="Calibri"/>
            <w:color w:val="0362C1"/>
            <w:spacing w:val="-2"/>
            <w:w w:val="105"/>
            <w:sz w:val="19"/>
            <w:u w:val="single" w:color="0362C1"/>
          </w:rPr>
          <w:t>t.do?noticiaId=20166</w:t>
        </w:r>
      </w:hyperlink>
    </w:p>
    <w:p w:rsidR="003173F4" w:rsidRDefault="00702D4B">
      <w:pPr>
        <w:spacing w:before="6" w:line="247" w:lineRule="auto"/>
        <w:ind w:left="118" w:right="376" w:hanging="1"/>
        <w:rPr>
          <w:rFonts w:ascii="Calibri"/>
          <w:sz w:val="19"/>
        </w:rPr>
      </w:pPr>
      <w:r>
        <w:rPr>
          <w:rFonts w:ascii="Calibri"/>
          <w:position w:val="6"/>
          <w:sz w:val="12"/>
        </w:rPr>
        <w:t>2</w:t>
      </w:r>
      <w:r>
        <w:rPr>
          <w:rFonts w:ascii="Calibri"/>
          <w:spacing w:val="40"/>
          <w:position w:val="6"/>
          <w:sz w:val="12"/>
        </w:rPr>
        <w:t xml:space="preserve"> </w:t>
      </w:r>
      <w:r>
        <w:rPr>
          <w:rFonts w:ascii="Calibri"/>
          <w:sz w:val="19"/>
        </w:rPr>
        <w:t>Disponible</w:t>
      </w:r>
      <w:r>
        <w:rPr>
          <w:rFonts w:ascii="Calibri"/>
          <w:spacing w:val="40"/>
          <w:sz w:val="19"/>
        </w:rPr>
        <w:t xml:space="preserve"> </w:t>
      </w:r>
      <w:r>
        <w:rPr>
          <w:rFonts w:ascii="Calibri"/>
          <w:sz w:val="19"/>
        </w:rPr>
        <w:t>en:</w:t>
      </w:r>
      <w:r>
        <w:rPr>
          <w:rFonts w:ascii="Calibri"/>
          <w:spacing w:val="40"/>
          <w:sz w:val="19"/>
        </w:rPr>
        <w:t xml:space="preserve"> </w:t>
      </w:r>
      <w:r>
        <w:rPr>
          <w:rFonts w:ascii="Calibri"/>
          <w:color w:val="0362C1"/>
          <w:sz w:val="19"/>
          <w:u w:val="single" w:color="0362C1"/>
        </w:rPr>
        <w:t>https://</w:t>
      </w:r>
      <w:hyperlink r:id="rId7">
        <w:r>
          <w:rPr>
            <w:rFonts w:ascii="Calibri"/>
            <w:color w:val="0362C1"/>
            <w:sz w:val="19"/>
            <w:u w:val="single" w:color="0362C1"/>
          </w:rPr>
          <w:t>www.latercera.com/la-tercera-pm/noticia/tercer-carabinero-muerto-en-un-mes-</w:t>
        </w:r>
      </w:hyperlink>
      <w:r>
        <w:rPr>
          <w:rFonts w:ascii="Calibri"/>
          <w:color w:val="0362C1"/>
          <w:sz w:val="19"/>
        </w:rPr>
        <w:t xml:space="preserve"> </w:t>
      </w:r>
      <w:r>
        <w:rPr>
          <w:rFonts w:ascii="Calibri"/>
          <w:color w:val="0362C1"/>
          <w:spacing w:val="-2"/>
          <w:sz w:val="19"/>
          <w:u w:val="single" w:color="0362C1"/>
        </w:rPr>
        <w:t>boric-analiza-otorgar-ayuda-a-viudas-e-hijos-de-martires-policiales/7Q2NEFVG2NFTNMLWARTFUKNLOU/</w:t>
      </w:r>
    </w:p>
    <w:p w:rsidR="003173F4" w:rsidRDefault="00702D4B">
      <w:pPr>
        <w:spacing w:line="242" w:lineRule="auto"/>
        <w:ind w:left="118" w:right="376" w:hanging="1"/>
        <w:rPr>
          <w:rFonts w:ascii="Calibri"/>
          <w:sz w:val="19"/>
        </w:rPr>
      </w:pPr>
      <w:r>
        <w:rPr>
          <w:rFonts w:ascii="Calibri"/>
          <w:position w:val="6"/>
          <w:sz w:val="12"/>
        </w:rPr>
        <w:t>3</w:t>
      </w:r>
      <w:r>
        <w:rPr>
          <w:rFonts w:ascii="Calibri"/>
          <w:spacing w:val="40"/>
          <w:position w:val="6"/>
          <w:sz w:val="12"/>
        </w:rPr>
        <w:t xml:space="preserve"> </w:t>
      </w:r>
      <w:r>
        <w:rPr>
          <w:rFonts w:ascii="Calibri"/>
          <w:sz w:val="19"/>
        </w:rPr>
        <w:t>Disponible</w:t>
      </w:r>
      <w:r>
        <w:rPr>
          <w:rFonts w:ascii="Calibri"/>
          <w:spacing w:val="40"/>
          <w:sz w:val="19"/>
        </w:rPr>
        <w:t xml:space="preserve"> </w:t>
      </w:r>
      <w:r>
        <w:rPr>
          <w:rFonts w:ascii="Calibri"/>
          <w:sz w:val="19"/>
        </w:rPr>
        <w:t>en:</w:t>
      </w:r>
      <w:r>
        <w:rPr>
          <w:rFonts w:ascii="Calibri"/>
          <w:spacing w:val="40"/>
          <w:sz w:val="19"/>
        </w:rPr>
        <w:t xml:space="preserve"> </w:t>
      </w:r>
      <w:r>
        <w:rPr>
          <w:rFonts w:ascii="Calibri"/>
          <w:color w:val="0362C1"/>
          <w:sz w:val="19"/>
          <w:u w:val="single" w:color="0362C1"/>
        </w:rPr>
        <w:t>https://</w:t>
      </w:r>
      <w:hyperlink r:id="rId8">
        <w:r>
          <w:rPr>
            <w:rFonts w:ascii="Calibri"/>
            <w:color w:val="0362C1"/>
            <w:sz w:val="19"/>
            <w:u w:val="single" w:color="0362C1"/>
          </w:rPr>
          <w:t>www.latercera.com/la-tercera-pm/n</w:t>
        </w:r>
        <w:r>
          <w:rPr>
            <w:rFonts w:ascii="Calibri"/>
            <w:color w:val="0362C1"/>
            <w:sz w:val="19"/>
            <w:u w:val="single" w:color="0362C1"/>
          </w:rPr>
          <w:t>oticia/tercer-carabinero-muerto-en-un-mes-</w:t>
        </w:r>
      </w:hyperlink>
      <w:r>
        <w:rPr>
          <w:rFonts w:ascii="Calibri"/>
          <w:color w:val="0362C1"/>
          <w:sz w:val="19"/>
        </w:rPr>
        <w:t xml:space="preserve"> </w:t>
      </w:r>
      <w:r>
        <w:rPr>
          <w:rFonts w:ascii="Calibri"/>
          <w:color w:val="0362C1"/>
          <w:spacing w:val="-2"/>
          <w:sz w:val="19"/>
          <w:u w:val="single" w:color="0362C1"/>
        </w:rPr>
        <w:t>boric-analiza-otorgar-ayuda-a-viudas-e-hijos-de-martires-policiales/7Q2NEFVG2NFTNMLWARTFUKNLOU/</w:t>
      </w:r>
    </w:p>
    <w:p w:rsidR="003173F4" w:rsidRDefault="003173F4">
      <w:pPr>
        <w:spacing w:line="242" w:lineRule="auto"/>
        <w:rPr>
          <w:rFonts w:ascii="Calibri"/>
          <w:sz w:val="19"/>
        </w:rPr>
        <w:sectPr w:rsidR="003173F4">
          <w:type w:val="continuous"/>
          <w:pgSz w:w="11910" w:h="16840"/>
          <w:pgMar w:top="1920" w:right="1520" w:bottom="280" w:left="1540" w:header="720" w:footer="720" w:gutter="0"/>
          <w:cols w:space="720"/>
        </w:sectPr>
      </w:pPr>
    </w:p>
    <w:p w:rsidR="003173F4" w:rsidRDefault="00702D4B">
      <w:pPr>
        <w:pStyle w:val="Textoindependiente"/>
        <w:spacing w:before="160" w:line="264" w:lineRule="auto"/>
        <w:ind w:left="116" w:right="123"/>
        <w:jc w:val="both"/>
      </w:pPr>
      <w:proofErr w:type="gramStart"/>
      <w:r>
        <w:lastRenderedPageBreak/>
        <w:t>la</w:t>
      </w:r>
      <w:proofErr w:type="gramEnd"/>
      <w:r>
        <w:t xml:space="preserve"> sociedad toda, aún más para nuestras fuerzas policiales. Lo mismo acontece con los miembros de Gen</w:t>
      </w:r>
      <w:r>
        <w:t>darmería de Chile y nuestras fuerzas armadas.</w:t>
      </w:r>
    </w:p>
    <w:p w:rsidR="003173F4" w:rsidRDefault="00702D4B">
      <w:pPr>
        <w:pStyle w:val="Textoindependiente"/>
        <w:spacing w:before="155" w:line="264" w:lineRule="auto"/>
        <w:ind w:left="116" w:right="121"/>
        <w:jc w:val="both"/>
      </w:pPr>
      <w:r>
        <w:t>En</w:t>
      </w:r>
      <w:r>
        <w:rPr>
          <w:spacing w:val="12"/>
        </w:rPr>
        <w:t xml:space="preserve"> </w:t>
      </w:r>
      <w:r>
        <w:t>tal</w:t>
      </w:r>
      <w:r>
        <w:rPr>
          <w:spacing w:val="14"/>
        </w:rPr>
        <w:t xml:space="preserve"> </w:t>
      </w:r>
      <w:r>
        <w:t>orden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ideas,</w:t>
      </w:r>
      <w:r>
        <w:rPr>
          <w:spacing w:val="12"/>
        </w:rPr>
        <w:t xml:space="preserve"> </w:t>
      </w:r>
      <w:r>
        <w:t>quienes</w:t>
      </w:r>
      <w:r>
        <w:rPr>
          <w:spacing w:val="12"/>
        </w:rPr>
        <w:t xml:space="preserve"> </w:t>
      </w:r>
      <w:r>
        <w:t>tienen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misión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garantizar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orden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seguridad</w:t>
      </w:r>
      <w:r>
        <w:rPr>
          <w:spacing w:val="12"/>
        </w:rPr>
        <w:t xml:space="preserve"> </w:t>
      </w:r>
      <w:r>
        <w:t>pública</w:t>
      </w:r>
      <w:r>
        <w:rPr>
          <w:spacing w:val="10"/>
        </w:rPr>
        <w:t xml:space="preserve"> </w:t>
      </w:r>
      <w:r>
        <w:t>interior y nacional se encuentran continuamente expuestos a ser víctimas de agresiones en ejercicio de sus funciones. Nuestro ordenamiento jurídico también debe considerarlos y fundar su normativa en atención a las especiales circunstancias que importan la</w:t>
      </w:r>
      <w:r>
        <w:t xml:space="preserve">s consecuencias de asesinar a una de estas </w:t>
      </w:r>
      <w:r>
        <w:rPr>
          <w:spacing w:val="-2"/>
        </w:rPr>
        <w:t>autoridades.</w:t>
      </w:r>
    </w:p>
    <w:p w:rsidR="003173F4" w:rsidRDefault="00702D4B">
      <w:pPr>
        <w:pStyle w:val="Textoindependiente"/>
        <w:spacing w:before="155" w:line="264" w:lineRule="auto"/>
        <w:ind w:left="116" w:right="119"/>
        <w:jc w:val="both"/>
      </w:pPr>
      <w:r>
        <w:t xml:space="preserve">Ahora bien, como se señaló, encontrándonos tanto en las hipótesis ya dispuestas en el artículo tercero del Decreto Ley N° 321, como aquellas que parecen haber sido olvidadas, consisten en crímenes en </w:t>
      </w:r>
      <w:r>
        <w:t>extremo gravosos, para los cuáles las penas asignadas, dentro del más alto grado, tienen una función ejemplificadora, que de la</w:t>
      </w:r>
      <w:r>
        <w:rPr>
          <w:spacing w:val="-1"/>
        </w:rPr>
        <w:t xml:space="preserve"> </w:t>
      </w:r>
      <w:r>
        <w:t>mano con las teorías de la prevención general y especial, buscan evitar que tanto el condenado como la sociedad toda vuelvan a c</w:t>
      </w:r>
      <w:r>
        <w:t>ometer el delito</w:t>
      </w:r>
      <w:r>
        <w:rPr>
          <w:spacing w:val="-1"/>
        </w:rPr>
        <w:t xml:space="preserve"> </w:t>
      </w:r>
      <w:r>
        <w:t xml:space="preserve">por el </w:t>
      </w:r>
      <w:proofErr w:type="spellStart"/>
      <w:r>
        <w:t>cuál</w:t>
      </w:r>
      <w:proofErr w:type="spellEnd"/>
      <w:r>
        <w:t xml:space="preserve"> se le ha sancionado. Sin embargo, es preciso comprender que la aplicación efectiva de la pena no sólo encuentra su fundamento en este punto.</w:t>
      </w:r>
    </w:p>
    <w:p w:rsidR="003173F4" w:rsidRDefault="00702D4B">
      <w:pPr>
        <w:pStyle w:val="Textoindependiente"/>
        <w:spacing w:before="154" w:line="264" w:lineRule="auto"/>
        <w:ind w:left="116" w:right="120"/>
        <w:jc w:val="both"/>
      </w:pPr>
      <w:r>
        <w:t>El análisis se vuelve aún más brutal si consideramos que, de estar cumpliendo efectiva</w:t>
      </w:r>
      <w:r>
        <w:t>mente su pena privativa de libertad, se habría salvado a más de una víctima.</w:t>
      </w:r>
    </w:p>
    <w:p w:rsidR="003173F4" w:rsidRDefault="00702D4B">
      <w:pPr>
        <w:pStyle w:val="Textoindependiente"/>
        <w:spacing w:before="155" w:line="264" w:lineRule="auto"/>
        <w:ind w:left="116" w:right="120"/>
        <w:jc w:val="both"/>
        <w:rPr>
          <w:b/>
        </w:rPr>
      </w:pPr>
      <w:r>
        <w:t>Lo anterior, nos lleva a realizar un profundo análisis, en el que, considerando, por un lado, que la libertad condicional constituye un derecho de todo condenado, mientras que, por otro, la reinserción social no es</w:t>
      </w:r>
      <w:r>
        <w:rPr>
          <w:spacing w:val="-1"/>
        </w:rPr>
        <w:t xml:space="preserve"> </w:t>
      </w:r>
      <w:r>
        <w:t>efectiva en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 casos, sólo</w:t>
      </w:r>
      <w:r>
        <w:rPr>
          <w:spacing w:val="-1"/>
        </w:rPr>
        <w:t xml:space="preserve"> </w:t>
      </w:r>
      <w:r>
        <w:t>es posi</w:t>
      </w:r>
      <w:r>
        <w:t>ble concluir que</w:t>
      </w:r>
      <w:r>
        <w:rPr>
          <w:spacing w:val="-1"/>
        </w:rPr>
        <w:t xml:space="preserve"> </w:t>
      </w:r>
      <w:r>
        <w:t xml:space="preserve">se deben efectuar modificaciones en la materia. Así, si bien algunos defienden que la reinserción puede estar por sobre finalidades preventivas generales y especiales, </w:t>
      </w:r>
      <w:r>
        <w:rPr>
          <w:b/>
        </w:rPr>
        <w:t>lo cierto es que esta no puede importar peligrosidad para la sociedad n</w:t>
      </w:r>
      <w:r>
        <w:rPr>
          <w:b/>
        </w:rPr>
        <w:t>i para las víctimas.</w:t>
      </w:r>
    </w:p>
    <w:p w:rsidR="003173F4" w:rsidRDefault="00702D4B">
      <w:pPr>
        <w:pStyle w:val="Textoindependiente"/>
        <w:spacing w:before="156" w:line="264" w:lineRule="auto"/>
        <w:ind w:left="116" w:right="120"/>
        <w:jc w:val="both"/>
      </w:pPr>
      <w:r>
        <w:t>Ante ello, sólo es posible concluir que nuestro sistema,</w:t>
      </w:r>
      <w:r>
        <w:rPr>
          <w:spacing w:val="-2"/>
        </w:rPr>
        <w:t xml:space="preserve"> </w:t>
      </w:r>
      <w:r>
        <w:t>no puede seguir desprotegiendo a la sociedad, y</w:t>
      </w:r>
      <w:r>
        <w:rPr>
          <w:spacing w:val="-6"/>
        </w:rPr>
        <w:t xml:space="preserve"> </w:t>
      </w:r>
      <w:r>
        <w:t>dejando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desprotección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personas,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parece</w:t>
      </w:r>
      <w:r>
        <w:rPr>
          <w:spacing w:val="-5"/>
        </w:rPr>
        <w:t xml:space="preserve"> </w:t>
      </w:r>
      <w:r>
        <w:t>considerar</w:t>
      </w:r>
      <w:r>
        <w:rPr>
          <w:spacing w:val="-4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relevante que los beneficios de los c</w:t>
      </w:r>
      <w:r>
        <w:t>ondenados.</w:t>
      </w:r>
    </w:p>
    <w:p w:rsidR="003173F4" w:rsidRDefault="00702D4B">
      <w:pPr>
        <w:pStyle w:val="Textoindependiente"/>
        <w:spacing w:before="156" w:line="264" w:lineRule="auto"/>
        <w:ind w:left="116" w:right="121"/>
        <w:jc w:val="both"/>
      </w:pPr>
      <w:r>
        <w:t>Por supuesto, y en atención a que nos encontramos ante un derecho penal de actos y no de personas, parece ser que la única forma de tratar justamente la materia es atender a los delitos en particular, los que,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gravedad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comisión,</w:t>
      </w:r>
      <w:r>
        <w:rPr>
          <w:spacing w:val="-2"/>
        </w:rPr>
        <w:t xml:space="preserve"> </w:t>
      </w:r>
      <w:r>
        <w:t>llevarán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concluir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 xml:space="preserve">inevitable </w:t>
      </w:r>
      <w:r>
        <w:rPr>
          <w:spacing w:val="-2"/>
        </w:rPr>
        <w:t>reincidencia.</w:t>
      </w:r>
    </w:p>
    <w:p w:rsidR="003173F4" w:rsidRDefault="00702D4B">
      <w:pPr>
        <w:pStyle w:val="Textoindependiente"/>
        <w:spacing w:before="157" w:line="264" w:lineRule="auto"/>
        <w:ind w:left="116" w:right="121"/>
        <w:jc w:val="both"/>
      </w:pPr>
      <w:r>
        <w:t>En el caso en particular, pese a las advertencias, y luego de la interposición de un recurso de amparo, se otorgó el beneficio de la libertad vigilada. Así las cosas, de haber m</w:t>
      </w:r>
      <w:r>
        <w:t>antenido la pena privativa de libertad, en virtud del más evidente análisis del principio del sine qua non, el asesinato del cabo Florido, así descrito, no se habría producido.</w:t>
      </w:r>
    </w:p>
    <w:p w:rsidR="003173F4" w:rsidRDefault="00702D4B">
      <w:pPr>
        <w:pStyle w:val="Textoindependiente"/>
        <w:spacing w:before="156" w:line="264" w:lineRule="auto"/>
        <w:ind w:left="116" w:right="122"/>
        <w:jc w:val="both"/>
      </w:pPr>
      <w:r>
        <w:t>Así, es innegable que dentro del porcentaje de libertades condicionales otorgad</w:t>
      </w:r>
      <w:r>
        <w:t>as, existe un número</w:t>
      </w:r>
      <w:r>
        <w:rPr>
          <w:spacing w:val="40"/>
        </w:rPr>
        <w:t xml:space="preserve"> </w:t>
      </w:r>
      <w:r>
        <w:t xml:space="preserve">no menor de reincidencias que deben ser consideradas para mejorar el tratamiento de la libertad condicional, entendiendo que este no siempre es sinónimo de reinserción social, y que, estando bajo este beneficio, hay reincidencias, tal </w:t>
      </w:r>
      <w:r>
        <w:t>como se grafica en la siguiente tabla, otorgada mediante requerimiento por Ley de Transparencia a Gendarmería de Chile.</w:t>
      </w:r>
    </w:p>
    <w:p w:rsidR="003173F4" w:rsidRDefault="003173F4">
      <w:pPr>
        <w:spacing w:line="264" w:lineRule="auto"/>
        <w:jc w:val="both"/>
        <w:sectPr w:rsidR="003173F4">
          <w:pgSz w:w="11910" w:h="16840"/>
          <w:pgMar w:top="1920" w:right="1520" w:bottom="280" w:left="1540" w:header="720" w:footer="720" w:gutter="0"/>
          <w:cols w:space="720"/>
        </w:sectPr>
      </w:pPr>
    </w:p>
    <w:p w:rsidR="003173F4" w:rsidRDefault="003173F4">
      <w:pPr>
        <w:pStyle w:val="Textoindependiente"/>
        <w:rPr>
          <w:sz w:val="20"/>
        </w:rPr>
      </w:pPr>
    </w:p>
    <w:p w:rsidR="003173F4" w:rsidRDefault="003173F4">
      <w:pPr>
        <w:pStyle w:val="Textoindependiente"/>
        <w:rPr>
          <w:sz w:val="20"/>
        </w:rPr>
      </w:pPr>
    </w:p>
    <w:p w:rsidR="003173F4" w:rsidRDefault="003173F4">
      <w:pPr>
        <w:pStyle w:val="Textoindependiente"/>
        <w:rPr>
          <w:sz w:val="20"/>
        </w:rPr>
      </w:pPr>
    </w:p>
    <w:p w:rsidR="003173F4" w:rsidRDefault="003173F4">
      <w:pPr>
        <w:pStyle w:val="Textoindependiente"/>
        <w:rPr>
          <w:sz w:val="20"/>
        </w:rPr>
      </w:pPr>
    </w:p>
    <w:p w:rsidR="003173F4" w:rsidRDefault="003173F4">
      <w:pPr>
        <w:pStyle w:val="Textoindependiente"/>
        <w:rPr>
          <w:sz w:val="20"/>
        </w:rPr>
      </w:pPr>
    </w:p>
    <w:p w:rsidR="003173F4" w:rsidRDefault="003173F4">
      <w:pPr>
        <w:pStyle w:val="Textoindependiente"/>
        <w:rPr>
          <w:sz w:val="20"/>
        </w:rPr>
      </w:pPr>
    </w:p>
    <w:p w:rsidR="003173F4" w:rsidRDefault="003173F4">
      <w:pPr>
        <w:pStyle w:val="Textoindependiente"/>
        <w:rPr>
          <w:sz w:val="20"/>
        </w:rPr>
      </w:pPr>
    </w:p>
    <w:p w:rsidR="003173F4" w:rsidRDefault="003173F4">
      <w:pPr>
        <w:pStyle w:val="Textoindependiente"/>
        <w:rPr>
          <w:sz w:val="20"/>
        </w:rPr>
      </w:pPr>
    </w:p>
    <w:p w:rsidR="003173F4" w:rsidRDefault="003173F4">
      <w:pPr>
        <w:pStyle w:val="Textoindependiente"/>
        <w:rPr>
          <w:sz w:val="20"/>
        </w:rPr>
      </w:pPr>
    </w:p>
    <w:p w:rsidR="003173F4" w:rsidRDefault="003173F4">
      <w:pPr>
        <w:pStyle w:val="Textoindependiente"/>
        <w:rPr>
          <w:sz w:val="20"/>
        </w:rPr>
      </w:pPr>
    </w:p>
    <w:p w:rsidR="003173F4" w:rsidRDefault="003173F4">
      <w:pPr>
        <w:pStyle w:val="Textoindependiente"/>
        <w:rPr>
          <w:sz w:val="20"/>
        </w:rPr>
      </w:pPr>
    </w:p>
    <w:p w:rsidR="003173F4" w:rsidRDefault="003173F4">
      <w:pPr>
        <w:pStyle w:val="Textoindependiente"/>
        <w:rPr>
          <w:sz w:val="20"/>
        </w:rPr>
      </w:pPr>
    </w:p>
    <w:p w:rsidR="003173F4" w:rsidRDefault="003173F4">
      <w:pPr>
        <w:pStyle w:val="Textoindependiente"/>
        <w:rPr>
          <w:sz w:val="20"/>
        </w:rPr>
      </w:pPr>
    </w:p>
    <w:p w:rsidR="003173F4" w:rsidRDefault="003173F4">
      <w:pPr>
        <w:pStyle w:val="Textoindependiente"/>
        <w:rPr>
          <w:sz w:val="20"/>
        </w:rPr>
      </w:pPr>
    </w:p>
    <w:p w:rsidR="003173F4" w:rsidRDefault="003173F4">
      <w:pPr>
        <w:pStyle w:val="Textoindependiente"/>
        <w:rPr>
          <w:sz w:val="14"/>
        </w:rPr>
      </w:pPr>
    </w:p>
    <w:p w:rsidR="003173F4" w:rsidRDefault="00702D4B">
      <w:pPr>
        <w:spacing w:before="96"/>
        <w:ind w:right="2058"/>
        <w:jc w:val="right"/>
        <w:rPr>
          <w:sz w:val="13"/>
        </w:rPr>
      </w:pPr>
      <w:r>
        <w:rPr>
          <w:noProof/>
          <w:lang w:val="es-CL" w:eastAsia="es-C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1103375</wp:posOffset>
            </wp:positionH>
            <wp:positionV relativeFrom="paragraph">
              <wp:posOffset>-1995528</wp:posOffset>
            </wp:positionV>
            <wp:extent cx="4053840" cy="20894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2089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4"/>
          <w:sz w:val="13"/>
        </w:rPr>
        <w:t>4</w:t>
      </w:r>
    </w:p>
    <w:p w:rsidR="003173F4" w:rsidRDefault="00702D4B">
      <w:pPr>
        <w:pStyle w:val="Textoindependiente"/>
        <w:spacing w:before="6"/>
        <w:rPr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1173480</wp:posOffset>
            </wp:positionH>
            <wp:positionV relativeFrom="paragraph">
              <wp:posOffset>165226</wp:posOffset>
            </wp:positionV>
            <wp:extent cx="4918438" cy="222122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438" cy="222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73F4" w:rsidRDefault="003173F4">
      <w:pPr>
        <w:pStyle w:val="Textoindependiente"/>
        <w:spacing w:before="3"/>
        <w:rPr>
          <w:sz w:val="22"/>
        </w:rPr>
      </w:pPr>
    </w:p>
    <w:p w:rsidR="003173F4" w:rsidRDefault="00702D4B">
      <w:pPr>
        <w:pStyle w:val="Textoindependiente"/>
        <w:spacing w:before="96" w:line="264" w:lineRule="auto"/>
        <w:ind w:left="118" w:right="119"/>
        <w:jc w:val="both"/>
      </w:pPr>
      <w:r>
        <w:t>Entendiendo que la libertad condicional no sólo detenta un fin reeducador, sino que también, incluyendo diversas normas en su ejecución, ligadas “al control o vigilancia de la persona condenada</w:t>
      </w:r>
      <w:r>
        <w:rPr>
          <w:spacing w:val="40"/>
        </w:rPr>
        <w:t xml:space="preserve"> </w:t>
      </w:r>
      <w:r>
        <w:t>o a neutralizar el riesgo de que atente contra determinados bi</w:t>
      </w:r>
      <w:r>
        <w:t>enes jurídicos. Es decir, aquellas reglas</w:t>
      </w:r>
      <w:r>
        <w:rPr>
          <w:spacing w:val="40"/>
        </w:rPr>
        <w:t xml:space="preserve"> </w:t>
      </w:r>
      <w:r>
        <w:t>de conducta destinadas principalmente a proteger a las potenciales víctimas mientras se lleva a cabo</w:t>
      </w:r>
      <w:r>
        <w:rPr>
          <w:spacing w:val="80"/>
        </w:rPr>
        <w:t xml:space="preserve"> </w:t>
      </w:r>
      <w:r>
        <w:t>el proceso de reeducación”</w:t>
      </w:r>
      <w:r>
        <w:rPr>
          <w:position w:val="7"/>
          <w:sz w:val="13"/>
        </w:rPr>
        <w:t>5</w:t>
      </w:r>
      <w:r>
        <w:t>.</w:t>
      </w:r>
    </w:p>
    <w:p w:rsidR="003173F4" w:rsidRDefault="00702D4B">
      <w:pPr>
        <w:pStyle w:val="Textoindependiente"/>
        <w:spacing w:before="155" w:line="264" w:lineRule="auto"/>
        <w:ind w:left="118" w:right="119"/>
        <w:jc w:val="both"/>
      </w:pPr>
      <w:r>
        <w:t>De este</w:t>
      </w:r>
      <w:r>
        <w:rPr>
          <w:spacing w:val="-1"/>
        </w:rPr>
        <w:t xml:space="preserve"> </w:t>
      </w:r>
      <w:r>
        <w:t>modo,</w:t>
      </w:r>
      <w:r>
        <w:rPr>
          <w:spacing w:val="-2"/>
        </w:rPr>
        <w:t xml:space="preserve"> </w:t>
      </w:r>
      <w:r>
        <w:t>no debemos</w:t>
      </w:r>
      <w:r>
        <w:rPr>
          <w:spacing w:val="-5"/>
        </w:rPr>
        <w:t xml:space="preserve"> </w:t>
      </w:r>
      <w:r>
        <w:t>olvidar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delitos</w:t>
      </w:r>
      <w:r>
        <w:rPr>
          <w:spacing w:val="-5"/>
        </w:rPr>
        <w:t xml:space="preserve"> </w:t>
      </w:r>
      <w:r>
        <w:t>contemplados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artículo 3</w:t>
      </w:r>
      <w:r>
        <w:rPr>
          <w:spacing w:val="-2"/>
        </w:rPr>
        <w:t xml:space="preserve"> </w:t>
      </w:r>
      <w:r>
        <w:t>númer</w:t>
      </w:r>
      <w:r>
        <w:t xml:space="preserve">o 3 del Decreto Ley N° 321, (parricidio, </w:t>
      </w:r>
      <w:proofErr w:type="spellStart"/>
      <w:r>
        <w:t>femicidio</w:t>
      </w:r>
      <w:proofErr w:type="spellEnd"/>
      <w:r>
        <w:t>, homicidio calificado, robo con homicidio, violación con homicidio,</w:t>
      </w:r>
      <w:r>
        <w:rPr>
          <w:spacing w:val="-4"/>
        </w:rPr>
        <w:t xml:space="preserve"> </w:t>
      </w:r>
      <w:r>
        <w:t>violación,</w:t>
      </w:r>
      <w:r>
        <w:rPr>
          <w:spacing w:val="-4"/>
        </w:rPr>
        <w:t xml:space="preserve"> </w:t>
      </w:r>
      <w:r>
        <w:t>infanticidio,</w:t>
      </w:r>
      <w:r>
        <w:rPr>
          <w:spacing w:val="-2"/>
        </w:rPr>
        <w:t xml:space="preserve"> </w:t>
      </w:r>
      <w:r>
        <w:t>abuso</w:t>
      </w:r>
      <w:r>
        <w:rPr>
          <w:spacing w:val="-6"/>
        </w:rPr>
        <w:t xml:space="preserve"> </w:t>
      </w:r>
      <w:r>
        <w:t>sexual calificado por</w:t>
      </w:r>
      <w:r>
        <w:rPr>
          <w:spacing w:val="-3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objetos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animales,</w:t>
      </w:r>
      <w:r>
        <w:rPr>
          <w:spacing w:val="-2"/>
        </w:rPr>
        <w:t xml:space="preserve"> </w:t>
      </w:r>
      <w:r>
        <w:t>abuso</w:t>
      </w:r>
      <w:r>
        <w:rPr>
          <w:spacing w:val="-4"/>
        </w:rPr>
        <w:t xml:space="preserve"> </w:t>
      </w:r>
      <w:r>
        <w:t>sexual impropio, producción de material pornográfico, promoción o facilitación de la prostitución de menores, trata de personas y trata impropia, robo con violencia o intimidación, robo con fuerza en lugar habitado o destinado a la habitación, homicidio de</w:t>
      </w:r>
      <w:r>
        <w:t xml:space="preserve"> miembros de las policías, de integrantes del Cuerpo de Bomberos de Chile y de Gendarmería de Chile, en ejercicio de sus funciones, y el de elaboración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tráfico de estupefacientes), son delitos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extremo gravosos,</w:t>
      </w:r>
      <w:r>
        <w:rPr>
          <w:spacing w:val="-1"/>
        </w:rPr>
        <w:t xml:space="preserve"> </w:t>
      </w:r>
      <w:r>
        <w:t>y que es necesario</w:t>
      </w:r>
      <w:r>
        <w:rPr>
          <w:spacing w:val="-1"/>
        </w:rPr>
        <w:t xml:space="preserve"> </w:t>
      </w:r>
      <w:r>
        <w:t xml:space="preserve">efectuar reformas en </w:t>
      </w:r>
      <w:r>
        <w:t>nuestra legislación para que sus penas sean cumplidas en gran parte de modo efectivo, toda vez que, en la actualidad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otorgamiento</w:t>
      </w:r>
      <w:r>
        <w:rPr>
          <w:spacing w:val="18"/>
        </w:rPr>
        <w:t xml:space="preserve"> </w:t>
      </w:r>
      <w:r>
        <w:t>de la libertad condicional para estos</w:t>
      </w:r>
      <w:r>
        <w:rPr>
          <w:spacing w:val="16"/>
        </w:rPr>
        <w:t xml:space="preserve"> </w:t>
      </w:r>
      <w:r>
        <w:t>supuestos</w:t>
      </w:r>
      <w:r>
        <w:rPr>
          <w:spacing w:val="18"/>
        </w:rPr>
        <w:t xml:space="preserve"> </w:t>
      </w:r>
      <w:r>
        <w:t>queda</w:t>
      </w:r>
    </w:p>
    <w:p w:rsidR="003173F4" w:rsidRDefault="00702D4B">
      <w:pPr>
        <w:pStyle w:val="Textoindependiente"/>
        <w:spacing w:before="7"/>
        <w:rPr>
          <w:sz w:val="25"/>
        </w:rPr>
      </w:pPr>
      <w:r>
        <w:pict>
          <v:shape id="docshape2" o:spid="_x0000_s1026" style="position:absolute;margin-left:82.8pt;margin-top:15.95pt;width:139.7pt;height:.1pt;z-index:-15727616;mso-wrap-distance-left:0;mso-wrap-distance-right:0;mso-position-horizontal-relative:page" coordorigin="1656,319" coordsize="2794,0" path="m1656,319r2794,e" filled="f" strokeweight=".96pt">
            <v:path arrowok="t"/>
            <w10:wrap type="topAndBottom" anchorx="page"/>
          </v:shape>
        </w:pict>
      </w:r>
    </w:p>
    <w:p w:rsidR="003173F4" w:rsidRDefault="00702D4B">
      <w:pPr>
        <w:spacing w:before="73"/>
        <w:ind w:left="118"/>
        <w:jc w:val="both"/>
        <w:rPr>
          <w:rFonts w:ascii="Calibri" w:hAnsi="Calibri"/>
          <w:sz w:val="19"/>
        </w:rPr>
      </w:pPr>
      <w:r>
        <w:rPr>
          <w:rFonts w:ascii="Calibri" w:hAnsi="Calibri"/>
          <w:position w:val="6"/>
          <w:sz w:val="12"/>
        </w:rPr>
        <w:t>4</w:t>
      </w:r>
      <w:r>
        <w:rPr>
          <w:rFonts w:ascii="Calibri" w:hAnsi="Calibri"/>
          <w:spacing w:val="19"/>
          <w:position w:val="6"/>
          <w:sz w:val="12"/>
        </w:rPr>
        <w:t xml:space="preserve"> </w:t>
      </w:r>
      <w:r>
        <w:rPr>
          <w:rFonts w:ascii="Calibri" w:hAnsi="Calibri"/>
          <w:sz w:val="19"/>
        </w:rPr>
        <w:t>Datos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Gendarmería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3"/>
          <w:sz w:val="19"/>
        </w:rPr>
        <w:t xml:space="preserve"> </w:t>
      </w:r>
      <w:r>
        <w:rPr>
          <w:rFonts w:ascii="Calibri" w:hAnsi="Calibri"/>
          <w:sz w:val="19"/>
        </w:rPr>
        <w:t>Chile.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AK006T0023361,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4"/>
          <w:sz w:val="19"/>
        </w:rPr>
        <w:t xml:space="preserve"> </w:t>
      </w:r>
      <w:r>
        <w:rPr>
          <w:rFonts w:ascii="Calibri" w:hAnsi="Calibri"/>
          <w:sz w:val="19"/>
        </w:rPr>
        <w:t>fecha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19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mayo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pacing w:val="-4"/>
          <w:sz w:val="19"/>
        </w:rPr>
        <w:t>2022</w:t>
      </w:r>
    </w:p>
    <w:p w:rsidR="003173F4" w:rsidRDefault="00702D4B">
      <w:pPr>
        <w:spacing w:before="8"/>
        <w:ind w:left="118"/>
        <w:jc w:val="both"/>
        <w:rPr>
          <w:rFonts w:ascii="Calibri"/>
          <w:sz w:val="19"/>
        </w:rPr>
      </w:pPr>
      <w:r>
        <w:rPr>
          <w:rFonts w:ascii="Calibri"/>
          <w:w w:val="105"/>
          <w:position w:val="6"/>
          <w:sz w:val="12"/>
        </w:rPr>
        <w:t>5</w:t>
      </w:r>
      <w:r>
        <w:rPr>
          <w:rFonts w:ascii="Calibri"/>
          <w:spacing w:val="26"/>
          <w:w w:val="105"/>
          <w:position w:val="6"/>
          <w:sz w:val="12"/>
        </w:rPr>
        <w:t xml:space="preserve"> </w:t>
      </w:r>
      <w:r>
        <w:rPr>
          <w:rFonts w:ascii="Calibri"/>
          <w:color w:val="0362C1"/>
          <w:spacing w:val="-2"/>
          <w:sz w:val="19"/>
          <w:u w:val="single" w:color="0362C1"/>
        </w:rPr>
        <w:t>https://</w:t>
      </w:r>
      <w:hyperlink r:id="rId11">
        <w:r>
          <w:rPr>
            <w:rFonts w:ascii="Calibri"/>
            <w:color w:val="0362C1"/>
            <w:spacing w:val="-2"/>
            <w:sz w:val="19"/>
            <w:u w:val="single" w:color="0362C1"/>
          </w:rPr>
          <w:t>www.tdx.cat/bitstream/handle/10803/5079/btv1de1.pdf?sequence=1&amp;isAllowed=y</w:t>
        </w:r>
      </w:hyperlink>
    </w:p>
    <w:p w:rsidR="003173F4" w:rsidRDefault="003173F4">
      <w:pPr>
        <w:jc w:val="both"/>
        <w:rPr>
          <w:rFonts w:ascii="Calibri"/>
          <w:sz w:val="19"/>
        </w:rPr>
        <w:sectPr w:rsidR="003173F4">
          <w:pgSz w:w="11910" w:h="16840"/>
          <w:pgMar w:top="1920" w:right="1520" w:bottom="280" w:left="1540" w:header="720" w:footer="720" w:gutter="0"/>
          <w:cols w:space="720"/>
        </w:sectPr>
      </w:pPr>
    </w:p>
    <w:p w:rsidR="003173F4" w:rsidRDefault="00702D4B">
      <w:pPr>
        <w:pStyle w:val="Textoindependiente"/>
        <w:spacing w:before="160" w:line="264" w:lineRule="auto"/>
        <w:ind w:left="116" w:right="122"/>
        <w:jc w:val="both"/>
      </w:pPr>
      <w:proofErr w:type="gramStart"/>
      <w:r>
        <w:lastRenderedPageBreak/>
        <w:t>supeditada</w:t>
      </w:r>
      <w:proofErr w:type="gramEnd"/>
      <w:r>
        <w:t xml:space="preserve"> al cumplimiento de 2/3 de la pena, l</w:t>
      </w:r>
      <w:r>
        <w:t>o que es un rango mínimo en consideración a que la mayoría de estos delitos atentan contra la vida y la indemnidad sexual de sus víctimas.</w:t>
      </w:r>
    </w:p>
    <w:p w:rsidR="003173F4" w:rsidRDefault="003173F4">
      <w:pPr>
        <w:pStyle w:val="Textoindependiente"/>
        <w:rPr>
          <w:sz w:val="24"/>
        </w:rPr>
      </w:pPr>
    </w:p>
    <w:p w:rsidR="003173F4" w:rsidRDefault="003173F4">
      <w:pPr>
        <w:pStyle w:val="Textoindependiente"/>
        <w:rPr>
          <w:sz w:val="26"/>
        </w:rPr>
      </w:pPr>
    </w:p>
    <w:p w:rsidR="003173F4" w:rsidRDefault="00702D4B">
      <w:pPr>
        <w:pStyle w:val="Prrafodelista"/>
        <w:numPr>
          <w:ilvl w:val="1"/>
          <w:numId w:val="1"/>
        </w:numPr>
        <w:tabs>
          <w:tab w:val="left" w:pos="817"/>
        </w:tabs>
        <w:ind w:left="816"/>
        <w:rPr>
          <w:b/>
          <w:sz w:val="21"/>
        </w:rPr>
      </w:pPr>
      <w:r>
        <w:rPr>
          <w:b/>
          <w:sz w:val="21"/>
        </w:rPr>
        <w:t>Ideas</w:t>
      </w:r>
      <w:r>
        <w:rPr>
          <w:b/>
          <w:spacing w:val="6"/>
          <w:sz w:val="21"/>
        </w:rPr>
        <w:t xml:space="preserve"> </w:t>
      </w:r>
      <w:r>
        <w:rPr>
          <w:b/>
          <w:spacing w:val="-2"/>
          <w:sz w:val="21"/>
        </w:rPr>
        <w:t>matrices</w:t>
      </w:r>
    </w:p>
    <w:p w:rsidR="003173F4" w:rsidRDefault="003173F4">
      <w:pPr>
        <w:pStyle w:val="Textoindependiente"/>
        <w:rPr>
          <w:b/>
          <w:sz w:val="24"/>
        </w:rPr>
      </w:pPr>
    </w:p>
    <w:p w:rsidR="003173F4" w:rsidRDefault="00702D4B">
      <w:pPr>
        <w:pStyle w:val="Textoindependiente"/>
        <w:spacing w:before="152" w:line="264" w:lineRule="auto"/>
        <w:ind w:left="116" w:right="121"/>
        <w:jc w:val="both"/>
      </w:pPr>
      <w:r>
        <w:t>En este sentido, el presente proyecto de ley busca, en primer lugar, que quienes sean condenados</w:t>
      </w:r>
      <w:r>
        <w:rPr>
          <w:spacing w:val="40"/>
        </w:rPr>
        <w:t xml:space="preserve"> </w:t>
      </w:r>
      <w:r>
        <w:t xml:space="preserve">como autores de los delitos antes mencionados, cumplan por un mayor tiempo y de modo efectivo la sanción impuesta en su contra, es decir, que la libertad condicional sólo pueda ser otorgada una vez cumplidos ¾ de la pena. De esta forma, será necesario que </w:t>
      </w:r>
      <w:r>
        <w:t>se cumpla con un 75% de la pena, en vez del 66,6% actual.</w:t>
      </w:r>
    </w:p>
    <w:p w:rsidR="003173F4" w:rsidRDefault="00702D4B">
      <w:pPr>
        <w:pStyle w:val="Textoindependiente"/>
        <w:spacing w:before="155" w:line="264" w:lineRule="auto"/>
        <w:ind w:left="116" w:right="119"/>
        <w:jc w:val="both"/>
      </w:pPr>
      <w:r>
        <w:t>Asimismo,</w:t>
      </w:r>
      <w:r>
        <w:rPr>
          <w:spacing w:val="-4"/>
        </w:rPr>
        <w:t xml:space="preserve"> </w:t>
      </w:r>
      <w:r>
        <w:t>añade 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inciso tercero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 xml:space="preserve">la </w:t>
      </w:r>
      <w:proofErr w:type="spellStart"/>
      <w:r>
        <w:t>cuál</w:t>
      </w:r>
      <w:proofErr w:type="spellEnd"/>
      <w:r>
        <w:t xml:space="preserve"> dispone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agravante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restricción para obtener la libertad condicional el caso de homicidio de miembros de las policías, gendarme</w:t>
      </w:r>
      <w:r>
        <w:t>ría y las fuerzas armadas, toda vez que será necesario que se cumpla con 4/5 de la pena, esto es, un 80%.</w:t>
      </w:r>
    </w:p>
    <w:p w:rsidR="003173F4" w:rsidRDefault="00702D4B">
      <w:pPr>
        <w:pStyle w:val="Textoindependiente"/>
        <w:spacing w:before="156" w:line="264" w:lineRule="auto"/>
        <w:ind w:left="116" w:right="122"/>
        <w:jc w:val="both"/>
      </w:pPr>
      <w:r>
        <w:t>Finalmente, se añade como requisito para optar a la libertad condicional el que el condenado beneficiado no tenga antecedentes penales previos o que h</w:t>
      </w:r>
      <w:r>
        <w:t>aya delinquido por primera vez,</w:t>
      </w:r>
      <w:r>
        <w:rPr>
          <w:spacing w:val="40"/>
        </w:rPr>
        <w:t xml:space="preserve"> </w:t>
      </w:r>
      <w:r>
        <w:t>descartando delitos imprudentes, siguiendo los requisitos del Código Penal español de 1995.</w:t>
      </w:r>
    </w:p>
    <w:p w:rsidR="003173F4" w:rsidRDefault="003173F4">
      <w:pPr>
        <w:pStyle w:val="Textoindependiente"/>
        <w:spacing w:before="7"/>
        <w:rPr>
          <w:sz w:val="34"/>
        </w:rPr>
      </w:pPr>
    </w:p>
    <w:p w:rsidR="003173F4" w:rsidRDefault="00702D4B">
      <w:pPr>
        <w:pStyle w:val="Prrafodelista"/>
        <w:numPr>
          <w:ilvl w:val="1"/>
          <w:numId w:val="1"/>
        </w:numPr>
        <w:tabs>
          <w:tab w:val="left" w:pos="817"/>
        </w:tabs>
        <w:ind w:left="816"/>
        <w:rPr>
          <w:b/>
          <w:sz w:val="21"/>
        </w:rPr>
      </w:pPr>
      <w:r>
        <w:rPr>
          <w:b/>
          <w:sz w:val="21"/>
        </w:rPr>
        <w:t>Idea</w:t>
      </w:r>
      <w:r>
        <w:rPr>
          <w:b/>
          <w:spacing w:val="4"/>
          <w:sz w:val="21"/>
        </w:rPr>
        <w:t xml:space="preserve"> </w:t>
      </w:r>
      <w:r>
        <w:rPr>
          <w:b/>
          <w:spacing w:val="-2"/>
          <w:sz w:val="21"/>
        </w:rPr>
        <w:t>matriz</w:t>
      </w:r>
    </w:p>
    <w:p w:rsidR="003173F4" w:rsidRDefault="003173F4">
      <w:pPr>
        <w:pStyle w:val="Textoindependiente"/>
        <w:rPr>
          <w:b/>
          <w:sz w:val="24"/>
        </w:rPr>
      </w:pPr>
    </w:p>
    <w:p w:rsidR="003173F4" w:rsidRDefault="003173F4">
      <w:pPr>
        <w:pStyle w:val="Textoindependiente"/>
        <w:spacing w:before="2"/>
        <w:rPr>
          <w:b/>
        </w:rPr>
      </w:pPr>
    </w:p>
    <w:p w:rsidR="003173F4" w:rsidRDefault="00702D4B">
      <w:pPr>
        <w:ind w:left="1167"/>
        <w:rPr>
          <w:b/>
          <w:sz w:val="21"/>
        </w:rPr>
      </w:pPr>
      <w:r>
        <w:rPr>
          <w:b/>
          <w:sz w:val="21"/>
        </w:rPr>
        <w:t>PROYECTO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pacing w:val="-5"/>
          <w:sz w:val="21"/>
        </w:rPr>
        <w:t>LEY</w:t>
      </w:r>
    </w:p>
    <w:p w:rsidR="003173F4" w:rsidRDefault="003173F4">
      <w:pPr>
        <w:pStyle w:val="Textoindependiente"/>
        <w:rPr>
          <w:b/>
          <w:sz w:val="24"/>
        </w:rPr>
      </w:pPr>
    </w:p>
    <w:p w:rsidR="003173F4" w:rsidRDefault="003173F4">
      <w:pPr>
        <w:pStyle w:val="Textoindependiente"/>
        <w:spacing w:before="5"/>
        <w:rPr>
          <w:b/>
          <w:sz w:val="28"/>
        </w:rPr>
      </w:pPr>
    </w:p>
    <w:p w:rsidR="003173F4" w:rsidRDefault="00702D4B">
      <w:pPr>
        <w:pStyle w:val="Textoindependiente"/>
        <w:spacing w:before="1" w:line="261" w:lineRule="auto"/>
        <w:ind w:left="116" w:right="122"/>
        <w:jc w:val="both"/>
      </w:pPr>
      <w:r>
        <w:t>“</w:t>
      </w:r>
      <w:r>
        <w:rPr>
          <w:b/>
        </w:rPr>
        <w:t>Artículo 1</w:t>
      </w:r>
      <w:r>
        <w:t>.- Introdúcense las siguientes modificaciones al Decreto-</w:t>
      </w:r>
      <w:proofErr w:type="spellStart"/>
      <w:r>
        <w:t>lei</w:t>
      </w:r>
      <w:proofErr w:type="spellEnd"/>
      <w:r>
        <w:t xml:space="preserve"> N° 321, de 1925, del Minist</w:t>
      </w:r>
      <w:r>
        <w:t>erio de Justicia, que establece la libertad condicional para los penados:</w:t>
      </w:r>
    </w:p>
    <w:p w:rsidR="003173F4" w:rsidRDefault="003173F4">
      <w:pPr>
        <w:pStyle w:val="Textoindependiente"/>
        <w:rPr>
          <w:sz w:val="24"/>
        </w:rPr>
      </w:pPr>
    </w:p>
    <w:p w:rsidR="003173F4" w:rsidRDefault="003173F4">
      <w:pPr>
        <w:pStyle w:val="Textoindependiente"/>
        <w:spacing w:before="2"/>
        <w:rPr>
          <w:sz w:val="26"/>
        </w:rPr>
      </w:pPr>
    </w:p>
    <w:p w:rsidR="003173F4" w:rsidRDefault="00702D4B">
      <w:pPr>
        <w:pStyle w:val="Textoindependiente"/>
        <w:ind w:left="116"/>
      </w:pPr>
      <w:r>
        <w:t>1.-</w:t>
      </w:r>
      <w:r>
        <w:rPr>
          <w:spacing w:val="4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inciso tercero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artículo</w:t>
      </w:r>
      <w:r>
        <w:rPr>
          <w:spacing w:val="10"/>
        </w:rPr>
        <w:t xml:space="preserve"> </w:t>
      </w:r>
      <w:r>
        <w:rPr>
          <w:spacing w:val="-5"/>
        </w:rPr>
        <w:t>3:</w:t>
      </w:r>
    </w:p>
    <w:p w:rsidR="003173F4" w:rsidRDefault="00702D4B">
      <w:pPr>
        <w:pStyle w:val="Textoindependiente"/>
        <w:spacing w:before="181"/>
        <w:ind w:left="116"/>
      </w:pPr>
      <w:r>
        <w:t>Uno)</w:t>
      </w:r>
      <w:r>
        <w:rPr>
          <w:spacing w:val="3"/>
        </w:rPr>
        <w:t xml:space="preserve"> </w:t>
      </w:r>
      <w:r>
        <w:t>Reemplácese la</w:t>
      </w:r>
      <w:r>
        <w:rPr>
          <w:spacing w:val="3"/>
        </w:rPr>
        <w:t xml:space="preserve"> </w:t>
      </w:r>
      <w:r>
        <w:t>expresión</w:t>
      </w:r>
      <w:r>
        <w:rPr>
          <w:spacing w:val="3"/>
        </w:rPr>
        <w:t xml:space="preserve"> </w:t>
      </w:r>
      <w:r>
        <w:t>“dos</w:t>
      </w:r>
      <w:r>
        <w:rPr>
          <w:spacing w:val="3"/>
        </w:rPr>
        <w:t xml:space="preserve"> </w:t>
      </w:r>
      <w:r>
        <w:t>tercios”</w:t>
      </w:r>
      <w:r>
        <w:rPr>
          <w:spacing w:val="6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expresión</w:t>
      </w:r>
      <w:r>
        <w:rPr>
          <w:spacing w:val="4"/>
        </w:rPr>
        <w:t xml:space="preserve"> </w:t>
      </w:r>
      <w:r>
        <w:t>“tres</w:t>
      </w:r>
      <w:r>
        <w:rPr>
          <w:spacing w:val="-2"/>
        </w:rPr>
        <w:t xml:space="preserve"> cuartos”.</w:t>
      </w:r>
    </w:p>
    <w:p w:rsidR="003173F4" w:rsidRDefault="003173F4">
      <w:pPr>
        <w:pStyle w:val="Textoindependiente"/>
        <w:rPr>
          <w:sz w:val="24"/>
        </w:rPr>
      </w:pPr>
    </w:p>
    <w:p w:rsidR="003173F4" w:rsidRDefault="003173F4">
      <w:pPr>
        <w:pStyle w:val="Textoindependiente"/>
        <w:spacing w:before="5"/>
        <w:rPr>
          <w:sz w:val="28"/>
        </w:rPr>
      </w:pPr>
    </w:p>
    <w:p w:rsidR="003173F4" w:rsidRDefault="00702D4B">
      <w:pPr>
        <w:pStyle w:val="Textoindependiente"/>
        <w:spacing w:line="264" w:lineRule="auto"/>
        <w:ind w:left="116" w:right="121"/>
        <w:jc w:val="both"/>
      </w:pPr>
      <w:r>
        <w:t>Dos) Suprímase la expresión “homicidio de miembros de las policías, de integrantes del Cuerpo de Bomberos de Chile y de Gendarmería de Chile, en ejercicio de sus funciones”.</w:t>
      </w:r>
    </w:p>
    <w:p w:rsidR="003173F4" w:rsidRDefault="003173F4">
      <w:pPr>
        <w:pStyle w:val="Textoindependiente"/>
        <w:rPr>
          <w:sz w:val="24"/>
        </w:rPr>
      </w:pPr>
    </w:p>
    <w:p w:rsidR="003173F4" w:rsidRDefault="003173F4">
      <w:pPr>
        <w:pStyle w:val="Textoindependiente"/>
        <w:rPr>
          <w:sz w:val="26"/>
        </w:rPr>
      </w:pPr>
    </w:p>
    <w:p w:rsidR="003173F4" w:rsidRDefault="00702D4B">
      <w:pPr>
        <w:pStyle w:val="Textoindependiente"/>
        <w:spacing w:before="1"/>
        <w:ind w:left="116"/>
      </w:pPr>
      <w:r>
        <w:t>Tres)</w:t>
      </w:r>
      <w:r>
        <w:rPr>
          <w:spacing w:val="1"/>
        </w:rPr>
        <w:t xml:space="preserve"> </w:t>
      </w:r>
      <w:r>
        <w:t>Agréguese</w:t>
      </w:r>
      <w:r>
        <w:rPr>
          <w:spacing w:val="1"/>
        </w:rPr>
        <w:t xml:space="preserve"> </w:t>
      </w:r>
      <w:r>
        <w:t>después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expresión</w:t>
      </w:r>
      <w:r>
        <w:rPr>
          <w:spacing w:val="4"/>
        </w:rPr>
        <w:t xml:space="preserve"> </w:t>
      </w:r>
      <w:r>
        <w:t>“de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pena.”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expresión</w:t>
      </w:r>
      <w:r>
        <w:rPr>
          <w:spacing w:val="9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siguiente:</w:t>
      </w:r>
    </w:p>
    <w:p w:rsidR="003173F4" w:rsidRDefault="00702D4B">
      <w:pPr>
        <w:pStyle w:val="Textoindependiente"/>
        <w:spacing w:before="181" w:line="264" w:lineRule="auto"/>
        <w:ind w:left="116" w:right="119"/>
        <w:jc w:val="both"/>
      </w:pPr>
      <w:r>
        <w:t>Si las personas fueren condenadas por los delitos de homicidio de miembros de las policías, de integrantes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Cuerpo</w:t>
      </w:r>
      <w:r>
        <w:rPr>
          <w:spacing w:val="17"/>
        </w:rPr>
        <w:t xml:space="preserve"> </w:t>
      </w:r>
      <w:r>
        <w:t>de Bomberos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Chile,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Gendarmería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Chile</w:t>
      </w:r>
      <w:r>
        <w:rPr>
          <w:spacing w:val="20"/>
        </w:rPr>
        <w:t xml:space="preserve"> </w:t>
      </w:r>
      <w:r>
        <w:t>y de las</w:t>
      </w:r>
      <w:r>
        <w:rPr>
          <w:spacing w:val="18"/>
        </w:rPr>
        <w:t xml:space="preserve"> </w:t>
      </w:r>
      <w:r>
        <w:t>Fuerzas</w:t>
      </w:r>
      <w:r>
        <w:rPr>
          <w:spacing w:val="17"/>
        </w:rPr>
        <w:t xml:space="preserve"> </w:t>
      </w:r>
      <w:r>
        <w:t>Armadas, en ejercicio de sus funciones sólo podrán postular al beneficio de libertad condicional habiendo cumplido con cuatro quintos de la pena.</w:t>
      </w:r>
    </w:p>
    <w:p w:rsidR="003173F4" w:rsidRDefault="003173F4">
      <w:pPr>
        <w:spacing w:line="264" w:lineRule="auto"/>
        <w:jc w:val="both"/>
        <w:sectPr w:rsidR="003173F4">
          <w:pgSz w:w="11910" w:h="16840"/>
          <w:pgMar w:top="1920" w:right="1520" w:bottom="280" w:left="1540" w:header="720" w:footer="720" w:gutter="0"/>
          <w:cols w:space="720"/>
        </w:sectPr>
      </w:pPr>
    </w:p>
    <w:p w:rsidR="003173F4" w:rsidRDefault="00702D4B">
      <w:pPr>
        <w:pStyle w:val="Textoindependiente"/>
        <w:spacing w:before="157"/>
        <w:ind w:left="116"/>
      </w:pPr>
      <w:r>
        <w:lastRenderedPageBreak/>
        <w:t>2.-</w:t>
      </w:r>
      <w:r>
        <w:rPr>
          <w:spacing w:val="3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 artículo</w:t>
      </w:r>
      <w:r>
        <w:rPr>
          <w:spacing w:val="5"/>
        </w:rPr>
        <w:t xml:space="preserve"> </w:t>
      </w:r>
      <w:r>
        <w:rPr>
          <w:spacing w:val="-5"/>
        </w:rPr>
        <w:t>2:</w:t>
      </w:r>
    </w:p>
    <w:p w:rsidR="003173F4" w:rsidRDefault="00702D4B">
      <w:pPr>
        <w:pStyle w:val="Textoindependiente"/>
        <w:spacing w:before="181"/>
        <w:ind w:left="116"/>
      </w:pPr>
      <w:r>
        <w:t>Uno)</w:t>
      </w:r>
      <w:r>
        <w:rPr>
          <w:spacing w:val="5"/>
        </w:rPr>
        <w:t xml:space="preserve"> </w:t>
      </w:r>
      <w:r>
        <w:t>Agréguese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siguiente</w:t>
      </w:r>
      <w:r>
        <w:rPr>
          <w:spacing w:val="5"/>
        </w:rPr>
        <w:t xml:space="preserve"> </w:t>
      </w:r>
      <w:r>
        <w:t>numeral</w:t>
      </w:r>
      <w:r>
        <w:rPr>
          <w:spacing w:val="3"/>
        </w:rPr>
        <w:t xml:space="preserve"> </w:t>
      </w:r>
      <w:r>
        <w:t>4,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términos</w:t>
      </w:r>
      <w:r>
        <w:rPr>
          <w:spacing w:val="6"/>
        </w:rPr>
        <w:t xml:space="preserve"> </w:t>
      </w:r>
      <w:r>
        <w:rPr>
          <w:spacing w:val="-2"/>
        </w:rPr>
        <w:t>siguientes:</w:t>
      </w:r>
    </w:p>
    <w:p w:rsidR="003173F4" w:rsidRDefault="003173F4">
      <w:pPr>
        <w:pStyle w:val="Textoindependiente"/>
        <w:rPr>
          <w:sz w:val="24"/>
        </w:rPr>
      </w:pPr>
    </w:p>
    <w:p w:rsidR="003173F4" w:rsidRDefault="003173F4">
      <w:pPr>
        <w:pStyle w:val="Textoindependiente"/>
        <w:spacing w:before="5"/>
        <w:rPr>
          <w:sz w:val="28"/>
        </w:rPr>
      </w:pPr>
    </w:p>
    <w:p w:rsidR="003173F4" w:rsidRDefault="00702D4B">
      <w:pPr>
        <w:pStyle w:val="Textoindependiente"/>
        <w:spacing w:before="1" w:line="264" w:lineRule="auto"/>
        <w:ind w:left="116" w:right="151"/>
      </w:pPr>
      <w:r>
        <w:t>Haber</w:t>
      </w:r>
      <w:r>
        <w:t xml:space="preserve"> delinquido por primera vez o no haber sido condenado el culpable anteriormente por delito de la misma especie. Para estos efectos, no se considerarán los cuasidelitos.</w:t>
      </w:r>
    </w:p>
    <w:sectPr w:rsidR="003173F4">
      <w:pgSz w:w="11910" w:h="16840"/>
      <w:pgMar w:top="1920" w:right="15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6486E"/>
    <w:multiLevelType w:val="hybridMultilevel"/>
    <w:tmpl w:val="C3A4084A"/>
    <w:lvl w:ilvl="0" w:tplc="735631B0">
      <w:start w:val="1"/>
      <w:numFmt w:val="upperRoman"/>
      <w:lvlText w:val="%1."/>
      <w:lvlJc w:val="left"/>
      <w:pPr>
        <w:ind w:left="1169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21"/>
        <w:szCs w:val="21"/>
        <w:lang w:val="es-ES" w:eastAsia="en-US" w:bidi="ar-SA"/>
      </w:rPr>
    </w:lvl>
    <w:lvl w:ilvl="1" w:tplc="7566442C">
      <w:start w:val="1"/>
      <w:numFmt w:val="decimal"/>
      <w:lvlText w:val="%2."/>
      <w:lvlJc w:val="left"/>
      <w:pPr>
        <w:ind w:left="819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21"/>
        <w:szCs w:val="21"/>
        <w:lang w:val="es-ES" w:eastAsia="en-US" w:bidi="ar-SA"/>
      </w:rPr>
    </w:lvl>
    <w:lvl w:ilvl="2" w:tplc="9E6048B6">
      <w:numFmt w:val="bullet"/>
      <w:lvlText w:val="•"/>
      <w:lvlJc w:val="left"/>
      <w:pPr>
        <w:ind w:left="2014" w:hanging="351"/>
      </w:pPr>
      <w:rPr>
        <w:rFonts w:hint="default"/>
        <w:lang w:val="es-ES" w:eastAsia="en-US" w:bidi="ar-SA"/>
      </w:rPr>
    </w:lvl>
    <w:lvl w:ilvl="3" w:tplc="041E6370">
      <w:numFmt w:val="bullet"/>
      <w:lvlText w:val="•"/>
      <w:lvlJc w:val="left"/>
      <w:pPr>
        <w:ind w:left="2868" w:hanging="351"/>
      </w:pPr>
      <w:rPr>
        <w:rFonts w:hint="default"/>
        <w:lang w:val="es-ES" w:eastAsia="en-US" w:bidi="ar-SA"/>
      </w:rPr>
    </w:lvl>
    <w:lvl w:ilvl="4" w:tplc="2258CCC4">
      <w:numFmt w:val="bullet"/>
      <w:lvlText w:val="•"/>
      <w:lvlJc w:val="left"/>
      <w:pPr>
        <w:ind w:left="3722" w:hanging="351"/>
      </w:pPr>
      <w:rPr>
        <w:rFonts w:hint="default"/>
        <w:lang w:val="es-ES" w:eastAsia="en-US" w:bidi="ar-SA"/>
      </w:rPr>
    </w:lvl>
    <w:lvl w:ilvl="5" w:tplc="33046FAE">
      <w:numFmt w:val="bullet"/>
      <w:lvlText w:val="•"/>
      <w:lvlJc w:val="left"/>
      <w:pPr>
        <w:ind w:left="4576" w:hanging="351"/>
      </w:pPr>
      <w:rPr>
        <w:rFonts w:hint="default"/>
        <w:lang w:val="es-ES" w:eastAsia="en-US" w:bidi="ar-SA"/>
      </w:rPr>
    </w:lvl>
    <w:lvl w:ilvl="6" w:tplc="DD50ED4A">
      <w:numFmt w:val="bullet"/>
      <w:lvlText w:val="•"/>
      <w:lvlJc w:val="left"/>
      <w:pPr>
        <w:ind w:left="5430" w:hanging="351"/>
      </w:pPr>
      <w:rPr>
        <w:rFonts w:hint="default"/>
        <w:lang w:val="es-ES" w:eastAsia="en-US" w:bidi="ar-SA"/>
      </w:rPr>
    </w:lvl>
    <w:lvl w:ilvl="7" w:tplc="B588BB2C">
      <w:numFmt w:val="bullet"/>
      <w:lvlText w:val="•"/>
      <w:lvlJc w:val="left"/>
      <w:pPr>
        <w:ind w:left="6284" w:hanging="351"/>
      </w:pPr>
      <w:rPr>
        <w:rFonts w:hint="default"/>
        <w:lang w:val="es-ES" w:eastAsia="en-US" w:bidi="ar-SA"/>
      </w:rPr>
    </w:lvl>
    <w:lvl w:ilvl="8" w:tplc="2188A854">
      <w:numFmt w:val="bullet"/>
      <w:lvlText w:val="•"/>
      <w:lvlJc w:val="left"/>
      <w:pPr>
        <w:ind w:left="7138" w:hanging="35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73F4"/>
    <w:rsid w:val="003173F4"/>
    <w:rsid w:val="0070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docId w15:val="{8B3AB2D3-9030-4B65-B5A9-C3EEB3E0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816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ercera.com/la-tercera-pm/noticia/tercer-carabinero-muerto-en-un-mes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tercera.com/la-tercera-pm/noticia/tercer-carabinero-muerto-en-un-mes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scaliadechile.cl/Fiscalia/sala_prensa/noticias_det.do?noticiaId=20166" TargetMode="External"/><Relationship Id="rId11" Type="http://schemas.openxmlformats.org/officeDocument/2006/relationships/hyperlink" Target="http://www.tdx.cat/bitstream/handle/10803/5079/btv1de1.pdf?sequence=1&amp;isAllowed=y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8413</Characters>
  <Application>Microsoft Office Word</Application>
  <DocSecurity>0</DocSecurity>
  <Lines>70</Lines>
  <Paragraphs>19</Paragraphs>
  <ScaleCrop>false</ScaleCrop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 (17-8-22)</dc:title>
  <dc:creator>luis.sanchez</dc:creator>
  <cp:lastModifiedBy>Leonardo Lueiza Ureta</cp:lastModifiedBy>
  <cp:revision>1</cp:revision>
  <dcterms:created xsi:type="dcterms:W3CDTF">2022-08-17T19:30:00Z</dcterms:created>
  <dcterms:modified xsi:type="dcterms:W3CDTF">2022-08-30T00:28:00Z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2022-08-17T00:00:00Z</vt:filetime>
  </property>
  <property fmtid="{D5CDD505-2E9C-101B-9397-08002B2CF9AE}" pid="4" name="Producer">
    <vt:lpwstr>Microsoft: Print To PDF</vt:lpwstr>
  </property>
</Properties>
</file>