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EF" w:rsidRDefault="00220DF6">
      <w:pPr>
        <w:pStyle w:val="Textoindependiente"/>
        <w:ind w:left="14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831743" cy="829818"/>
            <wp:effectExtent l="0" t="0" r="0" b="0"/>
            <wp:docPr id="1" name="image1.png" descr="Cámara de Diputadas y Diputados de Chile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743" cy="82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4EF" w:rsidRDefault="009924EF">
      <w:pPr>
        <w:pStyle w:val="Textoindependiente"/>
        <w:ind w:left="0"/>
        <w:rPr>
          <w:rFonts w:ascii="Times New Roman"/>
          <w:sz w:val="20"/>
        </w:rPr>
      </w:pPr>
    </w:p>
    <w:p w:rsidR="009924EF" w:rsidRDefault="009924EF">
      <w:pPr>
        <w:pStyle w:val="Textoindependiente"/>
        <w:ind w:left="0"/>
        <w:rPr>
          <w:rFonts w:ascii="Times New Roman"/>
          <w:sz w:val="20"/>
        </w:rPr>
      </w:pPr>
    </w:p>
    <w:p w:rsidR="009924EF" w:rsidRDefault="009924EF">
      <w:pPr>
        <w:pStyle w:val="Textoindependiente"/>
        <w:ind w:left="0"/>
        <w:rPr>
          <w:rFonts w:ascii="Times New Roman"/>
          <w:sz w:val="29"/>
        </w:rPr>
      </w:pPr>
    </w:p>
    <w:p w:rsidR="009924EF" w:rsidRDefault="00220DF6">
      <w:pPr>
        <w:spacing w:before="96" w:line="360" w:lineRule="auto"/>
        <w:ind w:left="262" w:right="263" w:firstLine="6"/>
        <w:jc w:val="center"/>
        <w:rPr>
          <w:b/>
          <w:sz w:val="24"/>
        </w:rPr>
      </w:pPr>
      <w:r>
        <w:pict>
          <v:rect id="docshape1" o:spid="_x0000_s1027" style="position:absolute;left:0;text-align:left;margin-left:83.65pt;margin-top:92.55pt;width:444.8pt;height:.7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PROYECTO DE LEY QUE MODIFICA EL ARTÍCULO 222 DEL CÓDIGO PROCESAL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FIJAR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OBLIGACIÓN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CONSERVACIÓN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 CESIÓN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INFORMACIÓN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RELATIVA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TRÁFICO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 INVESTIGACIÓN PENAL.</w:t>
      </w:r>
    </w:p>
    <w:p w:rsidR="009924EF" w:rsidRDefault="009924EF">
      <w:pPr>
        <w:pStyle w:val="Textoindependiente"/>
        <w:ind w:left="0"/>
        <w:rPr>
          <w:b/>
          <w:sz w:val="20"/>
        </w:rPr>
      </w:pPr>
    </w:p>
    <w:p w:rsidR="009924EF" w:rsidRDefault="009924EF">
      <w:pPr>
        <w:pStyle w:val="Textoindependiente"/>
        <w:ind w:left="0"/>
        <w:rPr>
          <w:b/>
          <w:sz w:val="20"/>
        </w:rPr>
      </w:pPr>
    </w:p>
    <w:p w:rsidR="009924EF" w:rsidRDefault="009924EF">
      <w:pPr>
        <w:pStyle w:val="Textoindependiente"/>
        <w:spacing w:before="8"/>
        <w:ind w:left="0"/>
        <w:rPr>
          <w:b/>
          <w:sz w:val="22"/>
        </w:rPr>
      </w:pPr>
    </w:p>
    <w:p w:rsidR="009924EF" w:rsidRDefault="00220DF6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spacing w:before="0"/>
        <w:ind w:hanging="721"/>
        <w:rPr>
          <w:b/>
          <w:sz w:val="24"/>
        </w:rPr>
      </w:pPr>
      <w:r>
        <w:rPr>
          <w:b/>
          <w:spacing w:val="-2"/>
          <w:sz w:val="24"/>
        </w:rPr>
        <w:t>CONSIDERANDO.</w:t>
      </w:r>
    </w:p>
    <w:p w:rsidR="009924EF" w:rsidRDefault="009924EF">
      <w:pPr>
        <w:pStyle w:val="Textoindependiente"/>
        <w:spacing w:before="2"/>
        <w:ind w:left="0"/>
        <w:rPr>
          <w:b/>
          <w:sz w:val="25"/>
        </w:rPr>
      </w:pPr>
    </w:p>
    <w:p w:rsidR="009924EF" w:rsidRDefault="00220DF6">
      <w:pPr>
        <w:pStyle w:val="Prrafodelista"/>
        <w:numPr>
          <w:ilvl w:val="1"/>
          <w:numId w:val="1"/>
        </w:numPr>
        <w:tabs>
          <w:tab w:val="left" w:pos="805"/>
        </w:tabs>
        <w:spacing w:before="0" w:line="360" w:lineRule="auto"/>
        <w:ind w:right="134" w:firstLine="359"/>
        <w:jc w:val="both"/>
        <w:rPr>
          <w:sz w:val="24"/>
        </w:rPr>
      </w:pPr>
      <w:r>
        <w:rPr>
          <w:sz w:val="24"/>
        </w:rPr>
        <w:t>Que, las formas tradicionales de comunicación se han visto expuestas y superadas por los avances de las nuevas tecnologías desarrolladas dentro del marco de una sociedad de la información, viéndose un claro aumento de los contenidos transmitidos y de sus f</w:t>
      </w:r>
      <w:r>
        <w:rPr>
          <w:sz w:val="24"/>
        </w:rPr>
        <w:t>ormas de transmisión. Dicho aumento tecnológico ha traído aparejado una expansión de la calidad y cantidad, de</w:t>
      </w:r>
      <w:r>
        <w:rPr>
          <w:spacing w:val="40"/>
          <w:sz w:val="24"/>
        </w:rPr>
        <w:t xml:space="preserve"> </w:t>
      </w:r>
      <w:r>
        <w:rPr>
          <w:sz w:val="24"/>
        </w:rPr>
        <w:t>soportes y formatos de comunicación, lo que ha aparejado a su vez, en una reducción de los costos de acceso a los mismos, pudiendo estar las tecn</w:t>
      </w:r>
      <w:r>
        <w:rPr>
          <w:sz w:val="24"/>
        </w:rPr>
        <w:t>ologías de comunicación al alcance de todos.</w:t>
      </w:r>
    </w:p>
    <w:p w:rsidR="009924EF" w:rsidRDefault="00220DF6">
      <w:pPr>
        <w:pStyle w:val="Prrafodelista"/>
        <w:numPr>
          <w:ilvl w:val="1"/>
          <w:numId w:val="1"/>
        </w:numPr>
        <w:tabs>
          <w:tab w:val="left" w:pos="807"/>
        </w:tabs>
        <w:spacing w:line="360" w:lineRule="auto"/>
        <w:ind w:right="143" w:firstLine="359"/>
        <w:jc w:val="both"/>
        <w:rPr>
          <w:sz w:val="24"/>
        </w:rPr>
      </w:pPr>
      <w:r>
        <w:rPr>
          <w:sz w:val="24"/>
        </w:rPr>
        <w:t>Que, la expansión tecnológica aquí descrita ha permitido la recolección, tratamiento, almacenaje y transmisión de enormes cantidades de datos a través de diversos medios informáticos.</w:t>
      </w:r>
    </w:p>
    <w:p w:rsidR="009924EF" w:rsidRDefault="00220DF6">
      <w:pPr>
        <w:pStyle w:val="Prrafodelista"/>
        <w:numPr>
          <w:ilvl w:val="1"/>
          <w:numId w:val="1"/>
        </w:numPr>
        <w:tabs>
          <w:tab w:val="left" w:pos="800"/>
        </w:tabs>
        <w:spacing w:before="160" w:line="360" w:lineRule="auto"/>
        <w:ind w:right="136" w:firstLine="359"/>
        <w:jc w:val="both"/>
        <w:rPr>
          <w:sz w:val="24"/>
        </w:rPr>
      </w:pPr>
      <w:r>
        <w:rPr>
          <w:sz w:val="24"/>
        </w:rPr>
        <w:t>Que, a pesar de estos grandes desarrollos, la naturaleza neutra de estos avances técnicos en telefonía y comunicaciones electrónicas, han permitido que su utilización pueda derivar a un mal uso de estos, produciéndose de esta manera ciertos fines indeseado</w:t>
      </w:r>
      <w:r>
        <w:rPr>
          <w:sz w:val="24"/>
        </w:rPr>
        <w:t>s, o derechamente ilícitos, surgiendo de esta manera ha implicado el surgimiento de nuevos riesgos y formas de ataques contra bienes jurídicos de carácter social y penalmente relevantes.</w:t>
      </w:r>
    </w:p>
    <w:p w:rsidR="009924EF" w:rsidRDefault="00220DF6">
      <w:pPr>
        <w:pStyle w:val="Prrafodelista"/>
        <w:numPr>
          <w:ilvl w:val="1"/>
          <w:numId w:val="1"/>
        </w:numPr>
        <w:tabs>
          <w:tab w:val="left" w:pos="759"/>
        </w:tabs>
        <w:spacing w:line="360" w:lineRule="auto"/>
        <w:ind w:right="138" w:firstLine="359"/>
        <w:jc w:val="both"/>
        <w:rPr>
          <w:sz w:val="24"/>
        </w:rPr>
      </w:pPr>
      <w:r>
        <w:rPr>
          <w:sz w:val="24"/>
        </w:rPr>
        <w:t>Que, es en dicho contexto que surge el Convenio sobre la Ciberdelincuencia del Consejo de Europa, conocido como el “Convenio de Budapest”, el cual constituyó el primer tratado internacional sobre delitos cometidos a través de Internet y de otros sistemas i</w:t>
      </w:r>
      <w:r>
        <w:rPr>
          <w:sz w:val="24"/>
        </w:rPr>
        <w:t>nformáticos. Dicho Convenio habría entrado en vigor el 1 de julio de 2004, siendo ratificado por cincuenta y tres Estados, entre los cuales se</w:t>
      </w:r>
      <w:r>
        <w:rPr>
          <w:spacing w:val="9"/>
          <w:sz w:val="24"/>
        </w:rPr>
        <w:t xml:space="preserve"> </w:t>
      </w:r>
      <w:r>
        <w:rPr>
          <w:sz w:val="24"/>
        </w:rPr>
        <w:t>encuentra</w:t>
      </w:r>
      <w:r>
        <w:rPr>
          <w:spacing w:val="11"/>
          <w:sz w:val="24"/>
        </w:rPr>
        <w:t xml:space="preserve"> </w:t>
      </w:r>
      <w:r>
        <w:rPr>
          <w:sz w:val="24"/>
        </w:rPr>
        <w:t>Chile,</w:t>
      </w:r>
      <w:r>
        <w:rPr>
          <w:spacing w:val="12"/>
          <w:sz w:val="24"/>
        </w:rPr>
        <w:t xml:space="preserve"> </w:t>
      </w:r>
      <w:r>
        <w:rPr>
          <w:sz w:val="24"/>
        </w:rPr>
        <w:t>siendo</w:t>
      </w:r>
      <w:r>
        <w:rPr>
          <w:spacing w:val="11"/>
          <w:sz w:val="24"/>
        </w:rPr>
        <w:t xml:space="preserve"> </w:t>
      </w:r>
      <w:r>
        <w:rPr>
          <w:sz w:val="24"/>
        </w:rPr>
        <w:t>promulgado</w:t>
      </w:r>
      <w:r>
        <w:rPr>
          <w:spacing w:val="10"/>
          <w:sz w:val="24"/>
        </w:rPr>
        <w:t xml:space="preserve"> </w:t>
      </w:r>
      <w:r>
        <w:rPr>
          <w:sz w:val="24"/>
        </w:rPr>
        <w:t>dicho</w:t>
      </w:r>
      <w:r>
        <w:rPr>
          <w:spacing w:val="11"/>
          <w:sz w:val="24"/>
        </w:rPr>
        <w:t xml:space="preserve"> </w:t>
      </w:r>
      <w:r>
        <w:rPr>
          <w:sz w:val="24"/>
        </w:rPr>
        <w:t>Convenio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nuestro</w:t>
      </w:r>
      <w:r>
        <w:rPr>
          <w:spacing w:val="10"/>
          <w:sz w:val="24"/>
        </w:rPr>
        <w:t xml:space="preserve"> </w:t>
      </w:r>
      <w:r>
        <w:rPr>
          <w:sz w:val="24"/>
        </w:rPr>
        <w:t>país,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mediante</w:t>
      </w:r>
    </w:p>
    <w:p w:rsidR="009924EF" w:rsidRDefault="009924EF">
      <w:pPr>
        <w:spacing w:line="360" w:lineRule="auto"/>
        <w:jc w:val="both"/>
        <w:rPr>
          <w:sz w:val="24"/>
        </w:rPr>
        <w:sectPr w:rsidR="009924EF">
          <w:type w:val="continuous"/>
          <w:pgSz w:w="12240" w:h="18720"/>
          <w:pgMar w:top="1420" w:right="1560" w:bottom="280" w:left="1560" w:header="720" w:footer="720" w:gutter="0"/>
          <w:cols w:space="720"/>
        </w:sectPr>
      </w:pPr>
    </w:p>
    <w:p w:rsidR="009924EF" w:rsidRDefault="00220DF6">
      <w:pPr>
        <w:pStyle w:val="Textoindependiente"/>
        <w:spacing w:before="76" w:line="362" w:lineRule="auto"/>
        <w:ind w:right="148"/>
        <w:jc w:val="both"/>
      </w:pPr>
      <w:proofErr w:type="gramStart"/>
      <w:r>
        <w:lastRenderedPageBreak/>
        <w:t>el</w:t>
      </w:r>
      <w:proofErr w:type="gramEnd"/>
      <w:r>
        <w:t xml:space="preserve"> Decreto N° 83 del Mi</w:t>
      </w:r>
      <w:r>
        <w:t xml:space="preserve">nisterio de Relaciones Exteriores, con fecha 27 de abril de </w:t>
      </w:r>
      <w:r>
        <w:rPr>
          <w:spacing w:val="-2"/>
        </w:rPr>
        <w:t>2017.</w:t>
      </w:r>
    </w:p>
    <w:p w:rsidR="009924EF" w:rsidRDefault="00220DF6">
      <w:pPr>
        <w:pStyle w:val="Prrafodelista"/>
        <w:numPr>
          <w:ilvl w:val="1"/>
          <w:numId w:val="1"/>
        </w:numPr>
        <w:tabs>
          <w:tab w:val="left" w:pos="742"/>
        </w:tabs>
        <w:spacing w:before="155"/>
        <w:ind w:left="742" w:hanging="241"/>
        <w:jc w:val="both"/>
        <w:rPr>
          <w:sz w:val="24"/>
        </w:rPr>
      </w:pPr>
      <w:r>
        <w:rPr>
          <w:sz w:val="24"/>
        </w:rPr>
        <w:t>Que,</w:t>
      </w:r>
      <w:r>
        <w:rPr>
          <w:spacing w:val="-3"/>
          <w:sz w:val="24"/>
        </w:rPr>
        <w:t xml:space="preserve"> </w:t>
      </w:r>
      <w:r>
        <w:rPr>
          <w:sz w:val="24"/>
        </w:rPr>
        <w:t>bajo</w:t>
      </w:r>
      <w:r>
        <w:rPr>
          <w:spacing w:val="-1"/>
          <w:sz w:val="24"/>
        </w:rPr>
        <w:t xml:space="preserve"> </w:t>
      </w:r>
      <w:r>
        <w:rPr>
          <w:sz w:val="24"/>
        </w:rPr>
        <w:t>ese</w:t>
      </w:r>
      <w:r>
        <w:rPr>
          <w:spacing w:val="-1"/>
          <w:sz w:val="24"/>
        </w:rPr>
        <w:t xml:space="preserve"> </w:t>
      </w:r>
      <w:r>
        <w:rPr>
          <w:sz w:val="24"/>
        </w:rPr>
        <w:t>contexto</w:t>
      </w:r>
      <w:r>
        <w:rPr>
          <w:spacing w:val="-1"/>
          <w:sz w:val="24"/>
        </w:rPr>
        <w:t xml:space="preserve"> </w:t>
      </w:r>
      <w:r>
        <w:rPr>
          <w:sz w:val="24"/>
        </w:rPr>
        <w:t>nuestro</w:t>
      </w:r>
      <w:r>
        <w:rPr>
          <w:spacing w:val="-1"/>
          <w:sz w:val="24"/>
        </w:rPr>
        <w:t xml:space="preserve"> </w:t>
      </w:r>
      <w:r>
        <w:rPr>
          <w:sz w:val="24"/>
        </w:rPr>
        <w:t>país,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junio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2022,</w:t>
      </w:r>
      <w:r>
        <w:rPr>
          <w:spacing w:val="-1"/>
          <w:sz w:val="24"/>
        </w:rPr>
        <w:t xml:space="preserve"> </w:t>
      </w:r>
      <w:r>
        <w:rPr>
          <w:sz w:val="24"/>
        </w:rPr>
        <w:t>promulgó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N°</w:t>
      </w:r>
    </w:p>
    <w:p w:rsidR="009924EF" w:rsidRDefault="00220DF6">
      <w:pPr>
        <w:pStyle w:val="Textoindependiente"/>
        <w:spacing w:before="148" w:line="360" w:lineRule="auto"/>
        <w:ind w:right="138"/>
        <w:jc w:val="both"/>
        <w:rPr>
          <w:sz w:val="16"/>
        </w:rPr>
      </w:pPr>
      <w:r>
        <w:t xml:space="preserve">21.459 </w:t>
      </w:r>
      <w:proofErr w:type="gramStart"/>
      <w:r>
        <w:t>que</w:t>
      </w:r>
      <w:proofErr w:type="gramEnd"/>
      <w:r>
        <w:t xml:space="preserve"> establece normas sobre delitos informáticos, deroga la ley N° 19.223 y modifica otros cuerpos legale</w:t>
      </w:r>
      <w:r>
        <w:t>s con el objeto de adecuarlos al Convenio de Budapest, la cual a pesar de sus grandes avances no considera la conservación y cesión</w:t>
      </w:r>
      <w:r>
        <w:rPr>
          <w:spacing w:val="-1"/>
        </w:rPr>
        <w:t xml:space="preserve"> </w:t>
      </w:r>
      <w:r>
        <w:t>de datos</w:t>
      </w:r>
      <w:r>
        <w:rPr>
          <w:spacing w:val="-1"/>
        </w:rPr>
        <w:t xml:space="preserve"> </w:t>
      </w:r>
      <w:r>
        <w:t>de tráfico dentro del contexto</w:t>
      </w:r>
      <w:r>
        <w:rPr>
          <w:spacing w:val="-2"/>
        </w:rPr>
        <w:t xml:space="preserve"> </w:t>
      </w:r>
      <w:r>
        <w:t>del proceso penal, siendo entendidos estos como aquellos metadatos, que dentro de un</w:t>
      </w:r>
      <w:r>
        <w:t>a comunicación, rodean el mensaje que se transmite, pero no forman parte del contenido del mensaje.</w:t>
      </w:r>
      <w:r>
        <w:rPr>
          <w:position w:val="6"/>
          <w:sz w:val="16"/>
        </w:rPr>
        <w:t>1</w:t>
      </w:r>
    </w:p>
    <w:p w:rsidR="009924EF" w:rsidRDefault="00220DF6">
      <w:pPr>
        <w:pStyle w:val="Prrafodelista"/>
        <w:numPr>
          <w:ilvl w:val="1"/>
          <w:numId w:val="1"/>
        </w:numPr>
        <w:tabs>
          <w:tab w:val="left" w:pos="747"/>
        </w:tabs>
        <w:spacing w:line="360" w:lineRule="auto"/>
        <w:ind w:right="135" w:firstLine="359"/>
        <w:jc w:val="both"/>
        <w:rPr>
          <w:sz w:val="24"/>
        </w:rPr>
      </w:pPr>
      <w:r>
        <w:rPr>
          <w:sz w:val="24"/>
        </w:rPr>
        <w:t>Que, a diferencia del tratamiento que este ha tenido en España, por medio de la Ley 25/2007, de 18 de octubre, o por la Comunidad Europea en sus Directivas</w:t>
      </w:r>
      <w:r>
        <w:rPr>
          <w:sz w:val="24"/>
        </w:rPr>
        <w:t xml:space="preserve"> 2002/58/CE y 2006/24/CE; Chile no posee tratamiento legal sobre la materia, careciendo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definición</w:t>
      </w:r>
      <w:r>
        <w:rPr>
          <w:spacing w:val="-4"/>
          <w:sz w:val="24"/>
        </w:rPr>
        <w:t xml:space="preserve"> </w:t>
      </w:r>
      <w:r>
        <w:rPr>
          <w:sz w:val="24"/>
        </w:rPr>
        <w:t>tanto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Telecomunicaciones,</w:t>
      </w:r>
      <w:r>
        <w:rPr>
          <w:spacing w:val="-3"/>
          <w:sz w:val="24"/>
        </w:rPr>
        <w:t xml:space="preserve"> </w:t>
      </w:r>
      <w:r>
        <w:rPr>
          <w:sz w:val="24"/>
        </w:rPr>
        <w:t>N°</w:t>
      </w:r>
      <w:r>
        <w:rPr>
          <w:spacing w:val="-4"/>
          <w:sz w:val="24"/>
        </w:rPr>
        <w:t xml:space="preserve"> </w:t>
      </w:r>
      <w:r>
        <w:rPr>
          <w:sz w:val="24"/>
        </w:rPr>
        <w:t>18.168, ni en la Ley N° 19.628 sobre protección de la vida privada, como tampoco en el dentro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normativa</w:t>
      </w:r>
      <w:r>
        <w:rPr>
          <w:spacing w:val="-4"/>
          <w:sz w:val="24"/>
        </w:rPr>
        <w:t xml:space="preserve"> </w:t>
      </w:r>
      <w:r>
        <w:rPr>
          <w:sz w:val="24"/>
        </w:rPr>
        <w:t>procesal</w:t>
      </w:r>
      <w:r>
        <w:rPr>
          <w:spacing w:val="-2"/>
          <w:sz w:val="24"/>
        </w:rPr>
        <w:t xml:space="preserve"> </w:t>
      </w:r>
      <w:r>
        <w:rPr>
          <w:sz w:val="24"/>
        </w:rPr>
        <w:t>penal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 ámbito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ilícito. Por este motivo el ministerio público ha tenido que recurrir al uso de la herramienta otorgada en el artículo 222 del Código Procesal Penal, la cual, sin embargo, se limita a tratar m</w:t>
      </w:r>
      <w:r>
        <w:rPr>
          <w:sz w:val="24"/>
        </w:rPr>
        <w:t>aterias relativas a las intervenciones telefónicas.</w:t>
      </w:r>
    </w:p>
    <w:p w:rsidR="009924EF" w:rsidRDefault="00220DF6">
      <w:pPr>
        <w:pStyle w:val="Prrafodelista"/>
        <w:numPr>
          <w:ilvl w:val="1"/>
          <w:numId w:val="1"/>
        </w:numPr>
        <w:tabs>
          <w:tab w:val="left" w:pos="795"/>
        </w:tabs>
        <w:spacing w:before="162" w:line="360" w:lineRule="auto"/>
        <w:ind w:right="135" w:firstLine="359"/>
        <w:jc w:val="both"/>
        <w:rPr>
          <w:sz w:val="24"/>
        </w:rPr>
      </w:pPr>
      <w:r>
        <w:rPr>
          <w:sz w:val="24"/>
        </w:rPr>
        <w:t xml:space="preserve">Que, en atención de la evolución tecnológica, creemos imperante que las herramientas con las cuales realiza su labor investigativa nuestro persecutor penal deben adaptarse a dichas realidades, asegurando </w:t>
      </w:r>
      <w:r>
        <w:rPr>
          <w:sz w:val="24"/>
        </w:rPr>
        <w:t xml:space="preserve">por tanto la protección de datos personales, y enmarcando su tratamiento legalmente, y no por intermedio de normativa </w:t>
      </w:r>
      <w:proofErr w:type="spellStart"/>
      <w:r>
        <w:rPr>
          <w:sz w:val="24"/>
        </w:rPr>
        <w:t>infralegal</w:t>
      </w:r>
      <w:proofErr w:type="spellEnd"/>
      <w:r>
        <w:rPr>
          <w:sz w:val="24"/>
        </w:rPr>
        <w:t xml:space="preserve"> o por la disposición libre de las empresas concesionadas de telecomunicaciones o aquellas que presten servicios de internet.</w:t>
      </w:r>
    </w:p>
    <w:p w:rsidR="009924EF" w:rsidRDefault="009924EF">
      <w:pPr>
        <w:pStyle w:val="Textoindependiente"/>
        <w:ind w:left="0"/>
        <w:rPr>
          <w:sz w:val="28"/>
        </w:rPr>
      </w:pPr>
    </w:p>
    <w:p w:rsidR="009924EF" w:rsidRDefault="009924EF">
      <w:pPr>
        <w:pStyle w:val="Textoindependiente"/>
        <w:spacing w:before="9"/>
        <w:ind w:left="0"/>
        <w:rPr>
          <w:sz w:val="33"/>
        </w:rPr>
      </w:pPr>
    </w:p>
    <w:p w:rsidR="009924EF" w:rsidRDefault="00220DF6">
      <w:pPr>
        <w:pStyle w:val="Prrafodelista"/>
        <w:numPr>
          <w:ilvl w:val="0"/>
          <w:numId w:val="1"/>
        </w:numPr>
        <w:tabs>
          <w:tab w:val="left" w:pos="1222"/>
        </w:tabs>
        <w:spacing w:before="1"/>
        <w:ind w:hanging="721"/>
        <w:jc w:val="both"/>
        <w:rPr>
          <w:b/>
          <w:sz w:val="24"/>
        </w:rPr>
      </w:pPr>
      <w:r>
        <w:rPr>
          <w:b/>
          <w:sz w:val="24"/>
        </w:rPr>
        <w:t>OBJETO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PROYECTO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LEY.</w:t>
      </w:r>
    </w:p>
    <w:p w:rsidR="009924EF" w:rsidRDefault="009924EF">
      <w:pPr>
        <w:pStyle w:val="Textoindependiente"/>
        <w:spacing w:before="1"/>
        <w:ind w:left="0"/>
        <w:rPr>
          <w:b/>
          <w:sz w:val="25"/>
        </w:rPr>
      </w:pPr>
    </w:p>
    <w:p w:rsidR="009924EF" w:rsidRDefault="00220DF6">
      <w:pPr>
        <w:pStyle w:val="Textoindependiente"/>
        <w:spacing w:before="1" w:line="360" w:lineRule="auto"/>
        <w:ind w:right="136" w:firstLine="359"/>
        <w:jc w:val="both"/>
      </w:pPr>
      <w:r>
        <w:pict>
          <v:rect id="docshape2" o:spid="_x0000_s1026" style="position:absolute;left:0;text-align:left;margin-left:85.1pt;margin-top:137.25pt;width:2in;height:.7pt;z-index:-15728128;mso-wrap-distance-left:0;mso-wrap-distance-right:0;mso-position-horizontal-relative:page" fillcolor="black" stroked="f">
            <w10:wrap type="topAndBottom" anchorx="page"/>
          </v:rect>
        </w:pict>
      </w:r>
      <w:r>
        <w:t>El presente proyecto de ley tiene por objeto modificar y actualizar el actual artículo 222, tanto en su epígrafe como en su contenido, estableciendo las</w:t>
      </w:r>
      <w:r>
        <w:rPr>
          <w:spacing w:val="40"/>
        </w:rPr>
        <w:t xml:space="preserve"> </w:t>
      </w:r>
      <w:r>
        <w:t>siguientes obligaciones a las empresas concesionarias de servicio público de telecomunicaciones, las que presten servicios a los proveedores de acceso a internet, como también a estos últimos: la obligación de ceder al ministerio público los</w:t>
      </w:r>
      <w:r>
        <w:rPr>
          <w:spacing w:val="37"/>
        </w:rPr>
        <w:t xml:space="preserve"> </w:t>
      </w:r>
      <w:r>
        <w:t>datos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tráfi</w:t>
      </w:r>
      <w:r>
        <w:t>co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comunicaciones;</w:t>
      </w:r>
      <w:r>
        <w:rPr>
          <w:spacing w:val="39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obligación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conservar</w:t>
      </w:r>
      <w:r>
        <w:rPr>
          <w:spacing w:val="41"/>
        </w:rPr>
        <w:t xml:space="preserve"> </w:t>
      </w:r>
      <w:r>
        <w:t>dichos</w:t>
      </w:r>
      <w:r>
        <w:rPr>
          <w:spacing w:val="40"/>
        </w:rPr>
        <w:t xml:space="preserve"> </w:t>
      </w:r>
      <w:r>
        <w:rPr>
          <w:spacing w:val="-2"/>
        </w:rPr>
        <w:t>datos</w:t>
      </w:r>
    </w:p>
    <w:p w:rsidR="009924EF" w:rsidRDefault="00220DF6">
      <w:pPr>
        <w:spacing w:before="102"/>
        <w:ind w:left="142" w:right="100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FERNÁNDEZ, JOSÉ JULIO (2016) Los datos de tráfico de comunicaciones: en búsqueda de un adecuado régimen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jurídico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elimine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riesgo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control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permanente.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Revista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Española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Derecho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Consti</w:t>
      </w:r>
      <w:r>
        <w:rPr>
          <w:rFonts w:ascii="Calibri" w:hAnsi="Calibri"/>
          <w:sz w:val="20"/>
        </w:rPr>
        <w:t>tucional, volumen 108 (p. 93- 122), p. 96.</w:t>
      </w:r>
    </w:p>
    <w:p w:rsidR="009924EF" w:rsidRDefault="009924EF">
      <w:pPr>
        <w:rPr>
          <w:rFonts w:ascii="Calibri" w:hAnsi="Calibri"/>
          <w:sz w:val="20"/>
        </w:rPr>
        <w:sectPr w:rsidR="009924EF">
          <w:pgSz w:w="12240" w:h="18720"/>
          <w:pgMar w:top="1340" w:right="1560" w:bottom="280" w:left="1560" w:header="720" w:footer="720" w:gutter="0"/>
          <w:cols w:space="720"/>
        </w:sectPr>
      </w:pPr>
    </w:p>
    <w:p w:rsidR="009924EF" w:rsidRDefault="00220DF6">
      <w:pPr>
        <w:pStyle w:val="Textoindependiente"/>
        <w:spacing w:before="76" w:line="360" w:lineRule="auto"/>
        <w:ind w:right="135"/>
        <w:jc w:val="both"/>
      </w:pPr>
      <w:proofErr w:type="gramStart"/>
      <w:r>
        <w:lastRenderedPageBreak/>
        <w:t>dentro</w:t>
      </w:r>
      <w:proofErr w:type="gramEnd"/>
      <w:r>
        <w:t xml:space="preserve"> de un margen de tiempo prudente; y la obligación de secreto sobre dichos datos. Finalmente, se realiza una definición abierta de datos de tráfico, en consideración de los constantes avances tecn</w:t>
      </w:r>
      <w:r>
        <w:t xml:space="preserve">ológicos en la materia, mediante norma reglamentaria, la cual no puede afectar datos de la vida privada; se amplía la utilización de estas herramientas ante simples delitos; y se establece una excepción para el caso de secuestro, en que se puede solicitar </w:t>
      </w:r>
      <w:r>
        <w:t>la resolución judicial, que autoriza la medida, mediante la forma del artículo 9° del Código Procesal Penal, cuando estamos ante un delito de secuestro.</w:t>
      </w:r>
    </w:p>
    <w:p w:rsidR="009924EF" w:rsidRDefault="00220DF6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ind w:hanging="721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LEY.</w:t>
      </w:r>
    </w:p>
    <w:p w:rsidR="009924EF" w:rsidRDefault="009924EF">
      <w:pPr>
        <w:pStyle w:val="Textoindependiente"/>
        <w:spacing w:before="4"/>
        <w:ind w:left="0"/>
        <w:rPr>
          <w:b/>
          <w:sz w:val="25"/>
        </w:rPr>
      </w:pPr>
    </w:p>
    <w:p w:rsidR="009924EF" w:rsidRDefault="00220DF6">
      <w:pPr>
        <w:pStyle w:val="Textoindependiente"/>
        <w:spacing w:line="360" w:lineRule="auto"/>
        <w:ind w:right="105" w:firstLine="359"/>
      </w:pPr>
      <w:r>
        <w:rPr>
          <w:b/>
        </w:rPr>
        <w:t xml:space="preserve">Artículo Único.- </w:t>
      </w:r>
      <w:r>
        <w:t>Introdúzcanse las siguientes modificaciones al artículo 222 de la Ley N° 19.696, que establece el Código Procesal Penal:</w:t>
      </w:r>
    </w:p>
    <w:p w:rsidR="009924EF" w:rsidRDefault="00220DF6">
      <w:pPr>
        <w:pStyle w:val="Prrafodelista"/>
        <w:numPr>
          <w:ilvl w:val="1"/>
          <w:numId w:val="1"/>
        </w:numPr>
        <w:tabs>
          <w:tab w:val="left" w:pos="742"/>
        </w:tabs>
        <w:spacing w:before="159"/>
        <w:ind w:left="742" w:hanging="241"/>
        <w:rPr>
          <w:sz w:val="24"/>
        </w:rPr>
      </w:pPr>
      <w:r>
        <w:rPr>
          <w:sz w:val="24"/>
        </w:rPr>
        <w:t>Sustitúyase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epígrafe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artículo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siguiente:</w:t>
      </w:r>
    </w:p>
    <w:p w:rsidR="009924EF" w:rsidRDefault="009924EF">
      <w:pPr>
        <w:pStyle w:val="Textoindependiente"/>
        <w:spacing w:before="11"/>
        <w:ind w:left="0"/>
      </w:pPr>
    </w:p>
    <w:p w:rsidR="009924EF" w:rsidRDefault="00220DF6">
      <w:pPr>
        <w:pStyle w:val="Textoindependiente"/>
        <w:spacing w:line="360" w:lineRule="auto"/>
        <w:ind w:right="100" w:firstLine="359"/>
      </w:pPr>
      <w:r>
        <w:t>“Intervención de las comunicaciones y cesión de los datos relativos al</w:t>
      </w:r>
      <w:r>
        <w:t xml:space="preserve"> tráfico y su conservación.”.</w:t>
      </w:r>
    </w:p>
    <w:p w:rsidR="009924EF" w:rsidRDefault="00220DF6">
      <w:pPr>
        <w:pStyle w:val="Prrafodelista"/>
        <w:numPr>
          <w:ilvl w:val="1"/>
          <w:numId w:val="1"/>
        </w:numPr>
        <w:tabs>
          <w:tab w:val="left" w:pos="778"/>
        </w:tabs>
        <w:spacing w:line="360" w:lineRule="auto"/>
        <w:ind w:right="145" w:firstLine="359"/>
        <w:rPr>
          <w:sz w:val="24"/>
        </w:rPr>
      </w:pPr>
      <w:r>
        <w:rPr>
          <w:sz w:val="24"/>
        </w:rPr>
        <w:t>Agréguese</w:t>
      </w:r>
      <w:r>
        <w:rPr>
          <w:spacing w:val="33"/>
          <w:sz w:val="24"/>
        </w:rPr>
        <w:t xml:space="preserve"> </w:t>
      </w:r>
      <w:r>
        <w:rPr>
          <w:sz w:val="24"/>
        </w:rPr>
        <w:t>en</w:t>
      </w:r>
      <w:r>
        <w:rPr>
          <w:spacing w:val="32"/>
          <w:sz w:val="24"/>
        </w:rPr>
        <w:t xml:space="preserve"> </w:t>
      </w:r>
      <w:r>
        <w:rPr>
          <w:sz w:val="24"/>
        </w:rPr>
        <w:t>el</w:t>
      </w:r>
      <w:r>
        <w:rPr>
          <w:spacing w:val="32"/>
          <w:sz w:val="24"/>
        </w:rPr>
        <w:t xml:space="preserve"> </w:t>
      </w:r>
      <w:r>
        <w:rPr>
          <w:sz w:val="24"/>
        </w:rPr>
        <w:t>inciso</w:t>
      </w:r>
      <w:r>
        <w:rPr>
          <w:spacing w:val="33"/>
          <w:sz w:val="24"/>
        </w:rPr>
        <w:t xml:space="preserve"> </w:t>
      </w:r>
      <w:r>
        <w:rPr>
          <w:sz w:val="24"/>
        </w:rPr>
        <w:t>primero</w:t>
      </w:r>
      <w:r>
        <w:rPr>
          <w:spacing w:val="33"/>
          <w:sz w:val="24"/>
        </w:rPr>
        <w:t xml:space="preserve"> </w:t>
      </w:r>
      <w:r>
        <w:rPr>
          <w:sz w:val="24"/>
        </w:rPr>
        <w:t>del</w:t>
      </w:r>
      <w:r>
        <w:rPr>
          <w:spacing w:val="32"/>
          <w:sz w:val="24"/>
        </w:rPr>
        <w:t xml:space="preserve"> </w:t>
      </w:r>
      <w:r>
        <w:rPr>
          <w:sz w:val="24"/>
        </w:rPr>
        <w:t>presente</w:t>
      </w:r>
      <w:r>
        <w:rPr>
          <w:spacing w:val="33"/>
          <w:sz w:val="24"/>
        </w:rPr>
        <w:t xml:space="preserve"> </w:t>
      </w:r>
      <w:r>
        <w:rPr>
          <w:sz w:val="24"/>
        </w:rPr>
        <w:t>artículo,</w:t>
      </w:r>
      <w:r>
        <w:rPr>
          <w:spacing w:val="32"/>
          <w:sz w:val="24"/>
        </w:rPr>
        <w:t xml:space="preserve"> </w:t>
      </w:r>
      <w:r>
        <w:rPr>
          <w:sz w:val="24"/>
        </w:rPr>
        <w:t>tras</w:t>
      </w:r>
      <w:r>
        <w:rPr>
          <w:spacing w:val="31"/>
          <w:sz w:val="24"/>
        </w:rPr>
        <w:t xml:space="preserve"> </w:t>
      </w:r>
      <w:r>
        <w:rPr>
          <w:sz w:val="24"/>
        </w:rPr>
        <w:t>la</w:t>
      </w:r>
      <w:r>
        <w:rPr>
          <w:spacing w:val="32"/>
          <w:sz w:val="24"/>
        </w:rPr>
        <w:t xml:space="preserve"> </w:t>
      </w:r>
      <w:r>
        <w:rPr>
          <w:sz w:val="24"/>
        </w:rPr>
        <w:t>frase</w:t>
      </w:r>
      <w:r>
        <w:rPr>
          <w:spacing w:val="32"/>
          <w:sz w:val="24"/>
        </w:rPr>
        <w:t xml:space="preserve"> </w:t>
      </w:r>
      <w:r>
        <w:rPr>
          <w:sz w:val="24"/>
        </w:rPr>
        <w:t>pena</w:t>
      </w:r>
      <w:r>
        <w:rPr>
          <w:spacing w:val="32"/>
          <w:sz w:val="24"/>
        </w:rPr>
        <w:t xml:space="preserve"> </w:t>
      </w:r>
      <w:r>
        <w:rPr>
          <w:sz w:val="24"/>
        </w:rPr>
        <w:t>de crimen, la frase del siguiente tenor:</w:t>
      </w:r>
    </w:p>
    <w:p w:rsidR="009924EF" w:rsidRDefault="00220DF6">
      <w:pPr>
        <w:pStyle w:val="Textoindependiente"/>
        <w:spacing w:before="159"/>
        <w:ind w:left="501"/>
      </w:pPr>
      <w:r>
        <w:t>“o</w:t>
      </w:r>
      <w:r>
        <w:rPr>
          <w:spacing w:val="-3"/>
        </w:rPr>
        <w:t xml:space="preserve"> </w:t>
      </w:r>
      <w:r>
        <w:t>simple</w:t>
      </w:r>
      <w:r>
        <w:rPr>
          <w:spacing w:val="-2"/>
        </w:rPr>
        <w:t xml:space="preserve"> delito”.</w:t>
      </w:r>
    </w:p>
    <w:p w:rsidR="009924EF" w:rsidRDefault="009924EF">
      <w:pPr>
        <w:pStyle w:val="Textoindependiente"/>
        <w:spacing w:before="11"/>
        <w:ind w:left="0"/>
      </w:pPr>
    </w:p>
    <w:p w:rsidR="009924EF" w:rsidRDefault="00220DF6">
      <w:pPr>
        <w:pStyle w:val="Prrafodelista"/>
        <w:numPr>
          <w:ilvl w:val="1"/>
          <w:numId w:val="1"/>
        </w:numPr>
        <w:tabs>
          <w:tab w:val="left" w:pos="759"/>
        </w:tabs>
        <w:spacing w:before="0" w:line="360" w:lineRule="auto"/>
        <w:ind w:right="141" w:firstLine="359"/>
        <w:jc w:val="both"/>
        <w:rPr>
          <w:sz w:val="24"/>
        </w:rPr>
      </w:pPr>
      <w:r>
        <w:rPr>
          <w:sz w:val="24"/>
        </w:rPr>
        <w:t>Sustitúyase el inciso quinto por los siguientes incisos quinto, sexto, séptimo, octavo, noveno y décimos, pasando el inciso sexto actual a ser inciso onceavo.</w:t>
      </w:r>
    </w:p>
    <w:p w:rsidR="009924EF" w:rsidRDefault="00220DF6">
      <w:pPr>
        <w:pStyle w:val="Textoindependiente"/>
        <w:spacing w:before="161" w:line="360" w:lineRule="auto"/>
        <w:ind w:right="138" w:firstLine="359"/>
        <w:jc w:val="both"/>
      </w:pPr>
      <w:r>
        <w:t>“Las empresas concesionarias de servicio público de telecomunicaciones, las que presten servicios</w:t>
      </w:r>
      <w:r>
        <w:t xml:space="preserve"> a los proveedores de acceso a Internet y también estos últimos, deberán dar cumplimiento a esta medida, prestando a los funcionarios encargados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diligencia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facilidades</w:t>
      </w:r>
      <w:r>
        <w:rPr>
          <w:spacing w:val="-4"/>
        </w:rPr>
        <w:t xml:space="preserve"> </w:t>
      </w:r>
      <w:r>
        <w:t>necesarias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lleve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cabo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 oportunidad con que se requiera y en el más corto lapso de tiempo.</w:t>
      </w:r>
    </w:p>
    <w:p w:rsidR="009924EF" w:rsidRDefault="00220DF6">
      <w:pPr>
        <w:pStyle w:val="Textoindependiente"/>
        <w:spacing w:before="159" w:line="360" w:lineRule="auto"/>
        <w:ind w:right="137" w:firstLine="359"/>
        <w:jc w:val="both"/>
      </w:pPr>
      <w:r>
        <w:t xml:space="preserve">Las empresas y proveedores mencionados en el inciso anterior deberán mantener, con carácter reservado y adoptando las medidas de seguridad correspondientes, a disposición del Ministerio </w:t>
      </w:r>
      <w:r>
        <w:t>Público a efectos de una investigación penal en curso, por un plazo mínimo de un año, ni superior a dos años, todos aquellos datos de tráfico y localización sobre personas físicas y jurídicas, incluida todos aquellos datos relacionados necesarios para iden</w:t>
      </w:r>
      <w:r>
        <w:t>tificar a un usuario de estas empresas. La infracción a lo dispuesto en este inciso será castigada</w:t>
      </w:r>
      <w:r>
        <w:rPr>
          <w:spacing w:val="-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las sanciones</w:t>
      </w:r>
      <w:r>
        <w:rPr>
          <w:spacing w:val="-2"/>
        </w:rPr>
        <w:t xml:space="preserve"> </w:t>
      </w:r>
      <w:r>
        <w:t>y el procedimiento previsto 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36 y 36</w:t>
      </w:r>
      <w:r>
        <w:rPr>
          <w:spacing w:val="-2"/>
        </w:rPr>
        <w:t xml:space="preserve"> </w:t>
      </w:r>
      <w:r>
        <w:t>A de la ley Nº 18.168, General de Telecomunicaciones.</w:t>
      </w:r>
    </w:p>
    <w:p w:rsidR="009924EF" w:rsidRDefault="009924EF">
      <w:pPr>
        <w:spacing w:line="360" w:lineRule="auto"/>
        <w:jc w:val="both"/>
        <w:sectPr w:rsidR="009924EF">
          <w:pgSz w:w="12240" w:h="18720"/>
          <w:pgMar w:top="1340" w:right="1560" w:bottom="280" w:left="1560" w:header="720" w:footer="720" w:gutter="0"/>
          <w:cols w:space="720"/>
        </w:sectPr>
      </w:pPr>
    </w:p>
    <w:p w:rsidR="009924EF" w:rsidRDefault="00220DF6">
      <w:pPr>
        <w:pStyle w:val="Textoindependiente"/>
        <w:spacing w:before="76" w:line="360" w:lineRule="auto"/>
        <w:ind w:right="136" w:firstLine="359"/>
        <w:jc w:val="both"/>
      </w:pPr>
      <w:r>
        <w:lastRenderedPageBreak/>
        <w:t>Para efectos</w:t>
      </w:r>
      <w:r>
        <w:rPr>
          <w:spacing w:val="-1"/>
        </w:rPr>
        <w:t xml:space="preserve"> </w:t>
      </w:r>
      <w:r>
        <w:t>de es</w:t>
      </w:r>
      <w:r>
        <w:t>te artículo se entenderá por datos</w:t>
      </w:r>
      <w:r>
        <w:rPr>
          <w:spacing w:val="-1"/>
        </w:rPr>
        <w:t xml:space="preserve"> </w:t>
      </w:r>
      <w:r>
        <w:t>relativos al</w:t>
      </w:r>
      <w:r>
        <w:rPr>
          <w:spacing w:val="-1"/>
        </w:rPr>
        <w:t xml:space="preserve"> </w:t>
      </w:r>
      <w:r>
        <w:t>tráfico, todos</w:t>
      </w:r>
      <w:r>
        <w:rPr>
          <w:spacing w:val="-1"/>
        </w:rPr>
        <w:t xml:space="preserve"> </w:t>
      </w:r>
      <w:r>
        <w:t>los datos relativos a una comunicación realizada por medio de telefonía de red fija y telefonía móvil, como también de acceso a internet, correo electrónico por internet</w:t>
      </w:r>
      <w:r>
        <w:rPr>
          <w:spacing w:val="40"/>
        </w:rPr>
        <w:t xml:space="preserve"> </w:t>
      </w:r>
      <w:r>
        <w:t>y telefonía por interne</w:t>
      </w:r>
      <w:r>
        <w:t>t necesarios para rastrear e identificar el origen de una comunicación; el destino de una comunicación; la fecha, hora y duración de una comunicación; el tipo de comunicación; el equipo de comunicación de los usuarios o lo que se consideré ser el equipo de</w:t>
      </w:r>
      <w:r>
        <w:t xml:space="preserve"> comunicación; y, la localización del equipo</w:t>
      </w:r>
      <w:r>
        <w:rPr>
          <w:spacing w:val="40"/>
        </w:rPr>
        <w:t xml:space="preserve"> </w:t>
      </w:r>
      <w:r>
        <w:t>de comunicación. Un reglamento determinará aquellos datos que serán parte de estas categorías, debiendo verse excluidos todos aquellos datos que puedan servir para determinar el contenido de las comunicaciones a</w:t>
      </w:r>
      <w:r>
        <w:t xml:space="preserve"> investigar, como todo aquel dato que pueda contravenir la Ley N° 19.628 sobre protección de la vida privada.</w:t>
      </w:r>
    </w:p>
    <w:p w:rsidR="009924EF" w:rsidRDefault="00220DF6">
      <w:pPr>
        <w:pStyle w:val="Textoindependiente"/>
        <w:spacing w:before="160" w:line="360" w:lineRule="auto"/>
        <w:ind w:right="144" w:firstLine="359"/>
        <w:jc w:val="both"/>
      </w:pPr>
      <w:r>
        <w:t xml:space="preserve">Asimismo, los encargados de realizar la diligencia y los empleados de las empresas mencionadas en este artículo deberán guardar secreto acerca de </w:t>
      </w:r>
      <w:r>
        <w:t>la misma, salvo que se les citare como testigos al procedimiento.</w:t>
      </w:r>
    </w:p>
    <w:p w:rsidR="009924EF" w:rsidRDefault="00220DF6">
      <w:pPr>
        <w:pStyle w:val="Textoindependiente"/>
        <w:spacing w:before="161" w:line="360" w:lineRule="auto"/>
        <w:ind w:right="134" w:firstLine="359"/>
        <w:jc w:val="both"/>
      </w:pPr>
      <w:r>
        <w:t>Con todo tratándose de la investigación de los delitos establecidos en los artículos</w:t>
      </w:r>
      <w:r>
        <w:rPr>
          <w:spacing w:val="-2"/>
        </w:rPr>
        <w:t xml:space="preserve"> </w:t>
      </w:r>
      <w:r>
        <w:t>141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142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Código Penal, tratándose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urgente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justificado,</w:t>
      </w:r>
      <w:r>
        <w:rPr>
          <w:spacing w:val="-1"/>
        </w:rPr>
        <w:t xml:space="preserve"> </w:t>
      </w:r>
      <w:r>
        <w:t>la petición del ministerio públi</w:t>
      </w:r>
      <w:r>
        <w:t>co podrá ser realizada en los términos del inciso final del artículo 9° de este Código.”.</w:t>
      </w:r>
    </w:p>
    <w:p w:rsidR="009924EF" w:rsidRDefault="009924EF">
      <w:pPr>
        <w:pStyle w:val="Textoindependiente"/>
        <w:ind w:left="0"/>
        <w:rPr>
          <w:sz w:val="28"/>
        </w:rPr>
      </w:pPr>
    </w:p>
    <w:p w:rsidR="009924EF" w:rsidRDefault="009924EF">
      <w:pPr>
        <w:pStyle w:val="Textoindependiente"/>
        <w:ind w:left="0"/>
        <w:rPr>
          <w:sz w:val="28"/>
        </w:rPr>
      </w:pPr>
    </w:p>
    <w:p w:rsidR="009924EF" w:rsidRDefault="009924EF">
      <w:pPr>
        <w:pStyle w:val="Textoindependiente"/>
        <w:spacing w:before="9"/>
        <w:ind w:left="0"/>
        <w:rPr>
          <w:sz w:val="26"/>
        </w:rPr>
      </w:pPr>
    </w:p>
    <w:p w:rsidR="009924EF" w:rsidRDefault="00220DF6">
      <w:pPr>
        <w:ind w:left="3336" w:right="2978" w:firstLine="4"/>
        <w:jc w:val="center"/>
        <w:rPr>
          <w:b/>
          <w:sz w:val="24"/>
        </w:rPr>
      </w:pPr>
      <w:r>
        <w:rPr>
          <w:b/>
          <w:sz w:val="24"/>
        </w:rPr>
        <w:t xml:space="preserve">Natalia Romero </w:t>
      </w:r>
      <w:proofErr w:type="spellStart"/>
      <w:r>
        <w:rPr>
          <w:b/>
          <w:sz w:val="24"/>
        </w:rPr>
        <w:t>Talguia</w:t>
      </w:r>
      <w:proofErr w:type="spellEnd"/>
      <w:r>
        <w:rPr>
          <w:b/>
          <w:sz w:val="24"/>
        </w:rPr>
        <w:t xml:space="preserve"> Diputada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República Distrito 15</w:t>
      </w:r>
    </w:p>
    <w:p w:rsidR="009924EF" w:rsidRDefault="00220DF6">
      <w:pPr>
        <w:spacing w:before="1"/>
        <w:ind w:left="3570" w:right="3213"/>
        <w:jc w:val="center"/>
        <w:rPr>
          <w:b/>
          <w:sz w:val="24"/>
        </w:rPr>
      </w:pPr>
      <w:r>
        <w:rPr>
          <w:b/>
          <w:sz w:val="24"/>
        </w:rPr>
        <w:t>Región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O’Higgins</w:t>
      </w:r>
    </w:p>
    <w:sectPr w:rsidR="009924EF">
      <w:pgSz w:w="12240" w:h="18720"/>
      <w:pgMar w:top="134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2114"/>
    <w:multiLevelType w:val="hybridMultilevel"/>
    <w:tmpl w:val="51A0C540"/>
    <w:lvl w:ilvl="0" w:tplc="C6402E8A">
      <w:start w:val="1"/>
      <w:numFmt w:val="upperRoman"/>
      <w:lvlText w:val="%1."/>
      <w:lvlJc w:val="left"/>
      <w:pPr>
        <w:ind w:left="1222" w:hanging="720"/>
        <w:jc w:val="left"/>
      </w:pPr>
      <w:rPr>
        <w:rFonts w:ascii="Book Antiqua" w:eastAsia="Book Antiqua" w:hAnsi="Book Antiqua" w:cs="Book Antiqua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F14A6656">
      <w:start w:val="1"/>
      <w:numFmt w:val="decimal"/>
      <w:lvlText w:val="%2."/>
      <w:lvlJc w:val="left"/>
      <w:pPr>
        <w:ind w:left="142" w:hanging="303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52AAD0C0">
      <w:numFmt w:val="bullet"/>
      <w:lvlText w:val="•"/>
      <w:lvlJc w:val="left"/>
      <w:pPr>
        <w:ind w:left="1220" w:hanging="303"/>
      </w:pPr>
      <w:rPr>
        <w:rFonts w:hint="default"/>
        <w:lang w:val="es-ES" w:eastAsia="en-US" w:bidi="ar-SA"/>
      </w:rPr>
    </w:lvl>
    <w:lvl w:ilvl="3" w:tplc="0002B13C">
      <w:numFmt w:val="bullet"/>
      <w:lvlText w:val="•"/>
      <w:lvlJc w:val="left"/>
      <w:pPr>
        <w:ind w:left="2207" w:hanging="303"/>
      </w:pPr>
      <w:rPr>
        <w:rFonts w:hint="default"/>
        <w:lang w:val="es-ES" w:eastAsia="en-US" w:bidi="ar-SA"/>
      </w:rPr>
    </w:lvl>
    <w:lvl w:ilvl="4" w:tplc="B82CE5EC">
      <w:numFmt w:val="bullet"/>
      <w:lvlText w:val="•"/>
      <w:lvlJc w:val="left"/>
      <w:pPr>
        <w:ind w:left="3195" w:hanging="303"/>
      </w:pPr>
      <w:rPr>
        <w:rFonts w:hint="default"/>
        <w:lang w:val="es-ES" w:eastAsia="en-US" w:bidi="ar-SA"/>
      </w:rPr>
    </w:lvl>
    <w:lvl w:ilvl="5" w:tplc="50008930">
      <w:numFmt w:val="bullet"/>
      <w:lvlText w:val="•"/>
      <w:lvlJc w:val="left"/>
      <w:pPr>
        <w:ind w:left="4182" w:hanging="303"/>
      </w:pPr>
      <w:rPr>
        <w:rFonts w:hint="default"/>
        <w:lang w:val="es-ES" w:eastAsia="en-US" w:bidi="ar-SA"/>
      </w:rPr>
    </w:lvl>
    <w:lvl w:ilvl="6" w:tplc="7EFCF076">
      <w:numFmt w:val="bullet"/>
      <w:lvlText w:val="•"/>
      <w:lvlJc w:val="left"/>
      <w:pPr>
        <w:ind w:left="5170" w:hanging="303"/>
      </w:pPr>
      <w:rPr>
        <w:rFonts w:hint="default"/>
        <w:lang w:val="es-ES" w:eastAsia="en-US" w:bidi="ar-SA"/>
      </w:rPr>
    </w:lvl>
    <w:lvl w:ilvl="7" w:tplc="983CD69E">
      <w:numFmt w:val="bullet"/>
      <w:lvlText w:val="•"/>
      <w:lvlJc w:val="left"/>
      <w:pPr>
        <w:ind w:left="6157" w:hanging="303"/>
      </w:pPr>
      <w:rPr>
        <w:rFonts w:hint="default"/>
        <w:lang w:val="es-ES" w:eastAsia="en-US" w:bidi="ar-SA"/>
      </w:rPr>
    </w:lvl>
    <w:lvl w:ilvl="8" w:tplc="0DF6F8B8">
      <w:numFmt w:val="bullet"/>
      <w:lvlText w:val="•"/>
      <w:lvlJc w:val="left"/>
      <w:pPr>
        <w:ind w:left="7145" w:hanging="30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24EF"/>
    <w:rsid w:val="00220DF6"/>
    <w:rsid w:val="0099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5:docId w15:val="{86D8219E-BBEC-43C7-A980-61900041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61"/>
      <w:ind w:left="142" w:firstLine="35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Murillo Velásquez</dc:creator>
  <cp:lastModifiedBy>Leonardo Lueiza Ureta</cp:lastModifiedBy>
  <cp:revision>1</cp:revision>
  <dcterms:created xsi:type="dcterms:W3CDTF">2022-09-01T13:48:00Z</dcterms:created>
  <dcterms:modified xsi:type="dcterms:W3CDTF">2022-09-05T22:49:00Z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2022-09-01T00:00:00Z</vt:filetime>
  </property>
  <property fmtid="{D5CDD505-2E9C-101B-9397-08002B2CF9AE}" pid="5" name="Producer">
    <vt:lpwstr>Microsoft® Word para Microsoft 365</vt:lpwstr>
  </property>
</Properties>
</file>