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207" w:rsidRDefault="00703F05">
      <w:pPr>
        <w:pStyle w:val="Ttulo1"/>
        <w:spacing w:before="192" w:line="360" w:lineRule="auto"/>
        <w:ind w:left="119"/>
        <w:jc w:val="both"/>
      </w:pPr>
      <w:bookmarkStart w:id="0" w:name="_GoBack"/>
      <w:bookmarkEnd w:id="0"/>
      <w:r>
        <w:t>PROYECTO DE LEY QUE MODIFICA EL ARTÍCULO 4° DE LA LEY 20.000 QUE SANCIONA EL TRAFICO ILICITO DE ESTUPEFACIENTES Y SUSTANCIAS SICOTROPICAS, CON EL FIN DE ESTABLECER</w:t>
      </w:r>
      <w:r>
        <w:rPr>
          <w:spacing w:val="-1"/>
        </w:rPr>
        <w:t xml:space="preserve"> </w:t>
      </w:r>
      <w:r>
        <w:t xml:space="preserve">UN CRITERIO OBJETIVO TENDIENTE A DESINCENTIVAR EL MICRO TRÁFICO DE </w:t>
      </w:r>
      <w:r>
        <w:rPr>
          <w:spacing w:val="-2"/>
        </w:rPr>
        <w:t>DROGAS.</w:t>
      </w:r>
    </w:p>
    <w:p w:rsidR="009B0207" w:rsidRDefault="009B0207">
      <w:pPr>
        <w:pStyle w:val="Textoindependiente"/>
        <w:spacing w:before="5"/>
        <w:rPr>
          <w:b/>
          <w:sz w:val="36"/>
        </w:rPr>
      </w:pPr>
    </w:p>
    <w:p w:rsidR="009B0207" w:rsidRDefault="00703F05">
      <w:pPr>
        <w:ind w:left="119"/>
        <w:rPr>
          <w:b/>
          <w:sz w:val="24"/>
        </w:rPr>
      </w:pPr>
      <w:r>
        <w:rPr>
          <w:b/>
          <w:spacing w:val="-2"/>
          <w:sz w:val="24"/>
          <w:u w:val="single"/>
        </w:rPr>
        <w:t>Fundamentos:</w:t>
      </w:r>
    </w:p>
    <w:p w:rsidR="009B0207" w:rsidRDefault="009B0207">
      <w:pPr>
        <w:pStyle w:val="Textoindependiente"/>
        <w:rPr>
          <w:b/>
          <w:sz w:val="20"/>
        </w:rPr>
      </w:pPr>
    </w:p>
    <w:p w:rsidR="009B0207" w:rsidRDefault="009B0207">
      <w:pPr>
        <w:pStyle w:val="Textoindependiente"/>
        <w:spacing w:before="9"/>
        <w:rPr>
          <w:b/>
          <w:sz w:val="19"/>
        </w:rPr>
      </w:pPr>
    </w:p>
    <w:p w:rsidR="009B0207" w:rsidRDefault="00703F05">
      <w:pPr>
        <w:pStyle w:val="Textoindependiente"/>
        <w:spacing w:before="100" w:line="360" w:lineRule="auto"/>
        <w:ind w:left="119" w:right="123"/>
        <w:jc w:val="both"/>
      </w:pPr>
      <w:r>
        <w:rPr>
          <w:b/>
        </w:rPr>
        <w:t xml:space="preserve">1.- </w:t>
      </w:r>
      <w:r>
        <w:t>El problema del tráfico de drogas en nuestro país ha ido en un lamentable, explosivo y peligroso incremento, transformándose en una de las principales preocupaciones en nuestra sociedad, en razón al sinnúmero de delitos e ilícitos asociados a esta crim</w:t>
      </w:r>
      <w:r>
        <w:t>inal actividad, sin dejar de lado la arista de salud pública que reviste la adicción a sustancias sicotrópicas.</w:t>
      </w:r>
    </w:p>
    <w:p w:rsidR="009B0207" w:rsidRDefault="00703F05">
      <w:pPr>
        <w:pStyle w:val="Textoindependiente"/>
        <w:spacing w:line="360" w:lineRule="auto"/>
        <w:ind w:left="119" w:right="121"/>
        <w:jc w:val="both"/>
      </w:pPr>
      <w:r>
        <w:rPr>
          <w:b/>
        </w:rPr>
        <w:t xml:space="preserve">2.- </w:t>
      </w:r>
      <w:r>
        <w:t>Los carteles de la droga poseen formas complejas y organizadas de llevar a cabo sus fines, copando barrios enteros, involucrándose en hechos</w:t>
      </w:r>
      <w:r>
        <w:t xml:space="preserve"> de sangre donde muchas veces han perdido la vida personas inocentes. Son asociaciones ilícitas que reclutan jóvenes denominados “soldados”, para defender territorios con armas de fuego y alto poder de fuego. El dinero que recaudan estas</w:t>
      </w:r>
      <w:r>
        <w:rPr>
          <w:spacing w:val="40"/>
        </w:rPr>
        <w:t xml:space="preserve"> </w:t>
      </w:r>
      <w:proofErr w:type="gramStart"/>
      <w:r>
        <w:t>organizaciones</w:t>
      </w:r>
      <w:proofErr w:type="gramEnd"/>
      <w:r>
        <w:t xml:space="preserve"> les</w:t>
      </w:r>
      <w:r>
        <w:t xml:space="preserve"> permiten conformar una estructura que muchas veces pone en jaque a los distintos organismos del Estado, ya que han sabido perfeccionar su actuar a la perfección para burlar la ley, el resguardo del orden público y la paz </w:t>
      </w:r>
      <w:r>
        <w:rPr>
          <w:spacing w:val="-2"/>
        </w:rPr>
        <w:t>social.</w:t>
      </w:r>
    </w:p>
    <w:p w:rsidR="009B0207" w:rsidRDefault="00703F05">
      <w:pPr>
        <w:pStyle w:val="Textoindependiente"/>
        <w:spacing w:line="360" w:lineRule="auto"/>
        <w:ind w:left="119" w:right="129"/>
        <w:jc w:val="both"/>
      </w:pPr>
      <w:r>
        <w:rPr>
          <w:b/>
        </w:rPr>
        <w:t xml:space="preserve">3.- </w:t>
      </w:r>
      <w:r>
        <w:t>Desde el punto de vist</w:t>
      </w:r>
      <w:r>
        <w:t>a de la seguridad pública, un informe de la Policía de Investigaciones señala que en los primeros meses del presente año 2022 (entre enero y mayo), se logró detener a más de mil trescientas personas dedicadas al micro tráfico de drogas. En dichos operativo</w:t>
      </w:r>
      <w:r>
        <w:t xml:space="preserve">s, se </w:t>
      </w:r>
      <w:proofErr w:type="spellStart"/>
      <w:r>
        <w:t>logro</w:t>
      </w:r>
      <w:proofErr w:type="spellEnd"/>
      <w:r>
        <w:t xml:space="preserve"> incautar más de 200 kilogramos de Cannabis y cerca de 137 kilogramos de cocaína base, además de otras drogas y armas</w:t>
      </w:r>
      <w:r>
        <w:rPr>
          <w:position w:val="8"/>
          <w:sz w:val="16"/>
        </w:rPr>
        <w:t>1</w:t>
      </w:r>
      <w:r>
        <w:t>.</w:t>
      </w:r>
    </w:p>
    <w:p w:rsidR="009B0207" w:rsidRDefault="00703F05">
      <w:pPr>
        <w:pStyle w:val="Textoindependiente"/>
        <w:spacing w:line="360" w:lineRule="auto"/>
        <w:ind w:left="119" w:right="126"/>
        <w:jc w:val="both"/>
      </w:pPr>
      <w:r>
        <w:rPr>
          <w:b/>
        </w:rPr>
        <w:t xml:space="preserve">4.- </w:t>
      </w:r>
      <w:r>
        <w:t>Si bien valoramos enormemente el esfuerzo hechos por las policías en el combate al tráfico y micro tráfico de drogas, est</w:t>
      </w:r>
      <w:r>
        <w:t>o puede llegar a ser en vano si la tarea no es complementada posteriormente en los Tribunales de Justicia. Lo anterior, lo señalamos no como una crítica a los órganos persecutores de la ley penal, sino más bien refiere a que hoy en día debemos dotar de may</w:t>
      </w:r>
      <w:r>
        <w:t>ores herramientas a fiscales y Ministerio Público en general para cumplir con la misión de encarcelar a los infractores de la ley penal, en este caso, la ley 20.000.</w:t>
      </w:r>
    </w:p>
    <w:p w:rsidR="009B0207" w:rsidRDefault="00703F05">
      <w:pPr>
        <w:pStyle w:val="Textoindependiente"/>
        <w:spacing w:before="8"/>
        <w:rPr>
          <w:sz w:val="7"/>
        </w:rPr>
      </w:pPr>
      <w:r>
        <w:pict>
          <v:rect id="docshape1" o:spid="_x0000_s1027" style="position:absolute;margin-left:85pt;margin-top:5.85pt;width:144.0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9B0207" w:rsidRDefault="00703F05">
      <w:pPr>
        <w:spacing w:before="111"/>
        <w:ind w:left="119" w:right="363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Fuente: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https://</w:t>
      </w:r>
      <w:hyperlink r:id="rId6">
        <w:r>
          <w:rPr>
            <w:rFonts w:ascii="Times New Roman"/>
            <w:sz w:val="20"/>
          </w:rPr>
          <w:t>www.pdichile.cl/centro-de-prensa/detalle-prensa/2022/06/15/mt-0-1.300-detenidos-en-los-</w:t>
        </w:r>
      </w:hyperlink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"/>
          <w:sz w:val="20"/>
        </w:rPr>
        <w:t>primeros-meses-de- 2022#:~</w:t>
      </w:r>
      <w:proofErr w:type="gramStart"/>
      <w:r>
        <w:rPr>
          <w:rFonts w:ascii="Times New Roman"/>
          <w:spacing w:val="-2"/>
          <w:sz w:val="20"/>
        </w:rPr>
        <w:t>:text</w:t>
      </w:r>
      <w:proofErr w:type="gramEnd"/>
      <w:r>
        <w:rPr>
          <w:rFonts w:ascii="Times New Roman"/>
          <w:spacing w:val="-2"/>
          <w:sz w:val="20"/>
        </w:rPr>
        <w:t>=Entre%20enero%20y%20mayo%20de,de%20armas%20y%20otras%20drogas.</w:t>
      </w:r>
    </w:p>
    <w:p w:rsidR="009B0207" w:rsidRDefault="009B0207">
      <w:pPr>
        <w:rPr>
          <w:rFonts w:ascii="Times New Roman"/>
          <w:sz w:val="20"/>
        </w:rPr>
        <w:sectPr w:rsidR="009B0207">
          <w:headerReference w:type="default" r:id="rId7"/>
          <w:type w:val="continuous"/>
          <w:pgSz w:w="12240" w:h="20160"/>
          <w:pgMar w:top="2400" w:right="1580" w:bottom="280" w:left="1580" w:header="725" w:footer="0" w:gutter="0"/>
          <w:pgNumType w:start="1"/>
          <w:cols w:space="720"/>
        </w:sectPr>
      </w:pPr>
    </w:p>
    <w:p w:rsidR="009B0207" w:rsidRDefault="00703F05">
      <w:pPr>
        <w:pStyle w:val="Textoindependiente"/>
        <w:spacing w:before="192" w:line="360" w:lineRule="auto"/>
        <w:ind w:left="119" w:right="118"/>
        <w:jc w:val="both"/>
      </w:pPr>
      <w:r>
        <w:rPr>
          <w:b/>
        </w:rPr>
        <w:lastRenderedPageBreak/>
        <w:t>5.-</w:t>
      </w:r>
      <w:r>
        <w:rPr>
          <w:b/>
          <w:spacing w:val="-1"/>
        </w:rPr>
        <w:t xml:space="preserve"> </w:t>
      </w:r>
      <w:r>
        <w:t>En ese orden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cosas, hemos percibido falencias en nuestra actual legislación, específicamente al momento de perseguir y sancionar el micro tráfico. Hoy en día, los grandes traficantes de drogas reclutan un mayor número de personas para comercializar pequeñas dosis de dr</w:t>
      </w:r>
      <w:r>
        <w:t xml:space="preserve">oga y así circunscribir su actividad ilícita dentro de lo establecido en el artículo 4° de la ley 20.000, esto es, micro tráfico. Así, las penas aplicables al caso son más reducidas e incluso, procedimentalmente hablando, se les puede aplicar el beneficio </w:t>
      </w:r>
      <w:r>
        <w:t>de la suspensión condicional del procedimiento, quedando en libertad para en muchos casos volver a delinquir. Hemos tomado conocimiento que personas infractoras de ley han sido</w:t>
      </w:r>
      <w:r>
        <w:rPr>
          <w:spacing w:val="40"/>
        </w:rPr>
        <w:t xml:space="preserve"> </w:t>
      </w:r>
      <w:r>
        <w:t>sorprendidas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750</w:t>
      </w:r>
      <w:r>
        <w:rPr>
          <w:spacing w:val="-3"/>
        </w:rPr>
        <w:t xml:space="preserve"> </w:t>
      </w:r>
      <w:r>
        <w:t>gramos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pasta base, distribuidas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7.500</w:t>
      </w:r>
      <w:r>
        <w:rPr>
          <w:spacing w:val="-3"/>
        </w:rPr>
        <w:t xml:space="preserve"> </w:t>
      </w:r>
      <w:r>
        <w:t>pequeñas</w:t>
      </w:r>
      <w:r>
        <w:rPr>
          <w:spacing w:val="-3"/>
        </w:rPr>
        <w:t xml:space="preserve"> </w:t>
      </w:r>
      <w:r>
        <w:t>dosis</w:t>
      </w:r>
      <w:r>
        <w:t>, que han sido condenados por micro tráfico y no por tráfico de drogas, lo que evidentemente disminuye las penas. Los grandes operativos policiales contra los carteles de la droga se vuelven totalmente ineficaces.</w:t>
      </w:r>
    </w:p>
    <w:p w:rsidR="009B0207" w:rsidRDefault="009B0207">
      <w:pPr>
        <w:pStyle w:val="Textoindependiente"/>
        <w:spacing w:before="5"/>
        <w:rPr>
          <w:sz w:val="36"/>
        </w:rPr>
      </w:pPr>
    </w:p>
    <w:p w:rsidR="009B0207" w:rsidRDefault="00703F05">
      <w:pPr>
        <w:pStyle w:val="Textoindependiente"/>
        <w:spacing w:line="360" w:lineRule="auto"/>
        <w:ind w:left="119" w:right="113"/>
        <w:jc w:val="both"/>
      </w:pPr>
      <w:r>
        <w:rPr>
          <w:b/>
        </w:rPr>
        <w:t xml:space="preserve">6.- </w:t>
      </w:r>
      <w:r>
        <w:t>La ambigüedad con la que la ley regul</w:t>
      </w:r>
      <w:r>
        <w:t xml:space="preserve">a el micro tráfico permite que en la práctica los grandes proveedores de droga hayan ideado formas para burlar el espíritu de la ley y su persecución penal. Hoy no hay un criterio uniforme sobre lo que debemos entender por “micro tráfico”. Sin embargo, es </w:t>
      </w:r>
      <w:r>
        <w:t>posible señalar que, doctrinalmente, se ha llegado a la conclusión que al menos para el consumo personal la cantidad seria la necesaria para 5 días, que podrían ser en promedio por sustancia</w:t>
      </w:r>
      <w:r>
        <w:rPr>
          <w:position w:val="8"/>
          <w:sz w:val="16"/>
        </w:rPr>
        <w:t>2</w:t>
      </w:r>
      <w:r>
        <w:t>: – 100 gramos de Marihuana; 900 miligramos de Anfetamina; 7,5 gr</w:t>
      </w:r>
      <w:r>
        <w:t>amos de Cocaína; 3 gramos de Heroína; 3 miligramos de LSD; 1,2 gramos de Metadona; 25 gramos de Hachís. Actualmente, el micro tráfico se considera en cantidades superiores a lo señalado.</w:t>
      </w:r>
    </w:p>
    <w:p w:rsidR="009B0207" w:rsidRDefault="009B0207">
      <w:pPr>
        <w:pStyle w:val="Textoindependiente"/>
        <w:spacing w:before="2"/>
        <w:rPr>
          <w:sz w:val="36"/>
        </w:rPr>
      </w:pPr>
    </w:p>
    <w:p w:rsidR="009B0207" w:rsidRDefault="00703F05">
      <w:pPr>
        <w:pStyle w:val="Textoindependiente"/>
        <w:spacing w:line="360" w:lineRule="auto"/>
        <w:ind w:left="119" w:right="123"/>
        <w:jc w:val="both"/>
      </w:pPr>
      <w:r>
        <w:rPr>
          <w:b/>
        </w:rPr>
        <w:t xml:space="preserve">7.- </w:t>
      </w:r>
      <w:r>
        <w:t>Por lo anterior, y con el fin de desincentivar este tipo de prác</w:t>
      </w:r>
      <w:r>
        <w:t>ticas, es que el presente proyecto de ley procura regular de mejor manera el artículo 4° de la ley 20.000, estableciendo límites objetivos por los cuales se debe considerar hasta dónde debemos entender la posesión de “pequeñas cantidades de sustancias y dr</w:t>
      </w:r>
      <w:r>
        <w:t>ogas”,</w:t>
      </w:r>
      <w:r>
        <w:rPr>
          <w:spacing w:val="-2"/>
        </w:rPr>
        <w:t xml:space="preserve"> </w:t>
      </w:r>
      <w:r>
        <w:t>con lo</w:t>
      </w:r>
      <w:r>
        <w:rPr>
          <w:spacing w:val="-2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jueces</w:t>
      </w:r>
      <w:r>
        <w:rPr>
          <w:spacing w:val="-2"/>
        </w:rPr>
        <w:t xml:space="preserve"> </w:t>
      </w:r>
      <w:r>
        <w:t>y los</w:t>
      </w:r>
      <w:r>
        <w:rPr>
          <w:spacing w:val="-2"/>
        </w:rPr>
        <w:t xml:space="preserve"> </w:t>
      </w:r>
      <w:r>
        <w:t>persecutores</w:t>
      </w:r>
      <w:r>
        <w:rPr>
          <w:spacing w:val="-2"/>
        </w:rPr>
        <w:t xml:space="preserve"> </w:t>
      </w:r>
      <w:r>
        <w:t>penales</w:t>
      </w:r>
      <w:r>
        <w:rPr>
          <w:spacing w:val="-2"/>
        </w:rPr>
        <w:t xml:space="preserve"> </w:t>
      </w:r>
      <w:r>
        <w:t>tendrán mayor</w:t>
      </w:r>
      <w:r>
        <w:rPr>
          <w:spacing w:val="-1"/>
        </w:rPr>
        <w:t xml:space="preserve"> </w:t>
      </w:r>
      <w:r>
        <w:t>certeza</w:t>
      </w:r>
      <w:r>
        <w:rPr>
          <w:spacing w:val="-2"/>
        </w:rPr>
        <w:t xml:space="preserve"> </w:t>
      </w:r>
      <w:r>
        <w:t xml:space="preserve">al momento de solicitar medidas cautelares y de aplicar las sanciones que </w:t>
      </w:r>
      <w:r>
        <w:rPr>
          <w:spacing w:val="-2"/>
        </w:rPr>
        <w:t>correspondan.</w:t>
      </w:r>
    </w:p>
    <w:p w:rsidR="009B0207" w:rsidRDefault="009B0207">
      <w:pPr>
        <w:pStyle w:val="Textoindependiente"/>
        <w:rPr>
          <w:sz w:val="28"/>
        </w:rPr>
      </w:pPr>
    </w:p>
    <w:p w:rsidR="009B0207" w:rsidRDefault="009B0207">
      <w:pPr>
        <w:pStyle w:val="Textoindependiente"/>
        <w:rPr>
          <w:sz w:val="28"/>
        </w:rPr>
      </w:pPr>
    </w:p>
    <w:p w:rsidR="009B0207" w:rsidRDefault="00703F05">
      <w:pPr>
        <w:pStyle w:val="Textoindependiente"/>
        <w:spacing w:before="190" w:line="362" w:lineRule="auto"/>
        <w:ind w:left="119" w:right="120"/>
        <w:jc w:val="both"/>
      </w:pPr>
      <w:r>
        <w:t>Por estos motivos, las Diputadas y Diputados firmantes tenemos el honor de someter al c</w:t>
      </w:r>
      <w:r>
        <w:t>onocimiento de la Honorable Cámara de Diputados el siguiente</w:t>
      </w:r>
    </w:p>
    <w:p w:rsidR="009B0207" w:rsidRDefault="00703F05">
      <w:pPr>
        <w:pStyle w:val="Textoindependiente"/>
        <w:spacing w:before="6"/>
        <w:rPr>
          <w:sz w:val="9"/>
        </w:rPr>
      </w:pPr>
      <w:r>
        <w:pict>
          <v:rect id="docshape2" o:spid="_x0000_s1026" style="position:absolute;margin-left:85pt;margin-top:6.95pt;width:144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9B0207" w:rsidRDefault="00703F05">
      <w:pPr>
        <w:spacing w:before="111"/>
        <w:ind w:left="119"/>
        <w:rPr>
          <w:rFonts w:ascii="Times New Roman"/>
          <w:sz w:val="20"/>
        </w:rPr>
      </w:pPr>
      <w:r>
        <w:rPr>
          <w:rFonts w:ascii="Times New Roman"/>
          <w:spacing w:val="-2"/>
          <w:sz w:val="20"/>
          <w:vertAlign w:val="superscript"/>
        </w:rPr>
        <w:t>2</w:t>
      </w:r>
      <w:r>
        <w:rPr>
          <w:rFonts w:ascii="Times New Roman"/>
          <w:spacing w:val="56"/>
          <w:sz w:val="20"/>
        </w:rPr>
        <w:t xml:space="preserve"> </w:t>
      </w:r>
      <w:r>
        <w:rPr>
          <w:rFonts w:ascii="Times New Roman"/>
          <w:spacing w:val="-2"/>
          <w:sz w:val="20"/>
        </w:rPr>
        <w:t>Fuente:</w:t>
      </w:r>
      <w:r>
        <w:rPr>
          <w:rFonts w:ascii="Times New Roman"/>
          <w:spacing w:val="46"/>
          <w:sz w:val="20"/>
        </w:rPr>
        <w:t xml:space="preserve"> </w:t>
      </w:r>
      <w:r>
        <w:rPr>
          <w:rFonts w:ascii="Times New Roman"/>
          <w:spacing w:val="-2"/>
          <w:sz w:val="20"/>
        </w:rPr>
        <w:t>https://blog.nexoabogados.cl/cuantos-gramos-de-droga-se-considera-microtrafico-en-chile</w:t>
      </w:r>
    </w:p>
    <w:p w:rsidR="009B0207" w:rsidRDefault="009B0207">
      <w:pPr>
        <w:rPr>
          <w:rFonts w:ascii="Times New Roman"/>
          <w:sz w:val="20"/>
        </w:rPr>
        <w:sectPr w:rsidR="009B0207">
          <w:pgSz w:w="12240" w:h="20160"/>
          <w:pgMar w:top="2400" w:right="1580" w:bottom="280" w:left="1580" w:header="725" w:footer="0" w:gutter="0"/>
          <w:cols w:space="720"/>
        </w:sectPr>
      </w:pPr>
    </w:p>
    <w:p w:rsidR="009B0207" w:rsidRDefault="009B0207">
      <w:pPr>
        <w:pStyle w:val="Textoindependiente"/>
        <w:rPr>
          <w:rFonts w:ascii="Times New Roman"/>
          <w:sz w:val="20"/>
        </w:rPr>
      </w:pPr>
    </w:p>
    <w:p w:rsidR="009B0207" w:rsidRDefault="009B0207">
      <w:pPr>
        <w:pStyle w:val="Textoindependiente"/>
        <w:spacing w:before="1"/>
        <w:rPr>
          <w:rFonts w:ascii="Times New Roman"/>
          <w:sz w:val="26"/>
        </w:rPr>
      </w:pPr>
    </w:p>
    <w:p w:rsidR="009B0207" w:rsidRDefault="00703F05">
      <w:pPr>
        <w:pStyle w:val="Ttulo1"/>
        <w:spacing w:before="100"/>
        <w:ind w:right="2372"/>
      </w:pPr>
      <w:r>
        <w:t>PROYECTO DE</w:t>
      </w:r>
      <w:r>
        <w:rPr>
          <w:spacing w:val="-3"/>
        </w:rPr>
        <w:t xml:space="preserve"> </w:t>
      </w:r>
      <w:r>
        <w:rPr>
          <w:spacing w:val="-5"/>
        </w:rPr>
        <w:t>LEY</w:t>
      </w:r>
    </w:p>
    <w:p w:rsidR="009B0207" w:rsidRDefault="009B0207">
      <w:pPr>
        <w:pStyle w:val="Textoindependiente"/>
        <w:rPr>
          <w:b/>
          <w:sz w:val="28"/>
        </w:rPr>
      </w:pPr>
    </w:p>
    <w:p w:rsidR="009B0207" w:rsidRDefault="00703F05">
      <w:pPr>
        <w:pStyle w:val="Textoindependiente"/>
        <w:spacing w:before="241" w:line="362" w:lineRule="auto"/>
        <w:ind w:left="119" w:right="122"/>
        <w:jc w:val="both"/>
      </w:pPr>
      <w:r>
        <w:rPr>
          <w:b/>
        </w:rPr>
        <w:t xml:space="preserve">Artículo Único: </w:t>
      </w:r>
      <w:r>
        <w:t>Modifíquese el artículo 4° de la ley 20.000 que sanciona el tráfico ilícito de estupefacientes y sustancias sicotrópicas, en el siguiente sentido:</w:t>
      </w:r>
    </w:p>
    <w:p w:rsidR="009B0207" w:rsidRDefault="009B0207">
      <w:pPr>
        <w:pStyle w:val="Textoindependiente"/>
        <w:spacing w:before="11"/>
        <w:rPr>
          <w:sz w:val="34"/>
        </w:rPr>
      </w:pPr>
    </w:p>
    <w:p w:rsidR="009B0207" w:rsidRDefault="00703F05">
      <w:pPr>
        <w:spacing w:line="345" w:lineRule="auto"/>
        <w:ind w:left="119" w:right="112"/>
        <w:jc w:val="both"/>
        <w:rPr>
          <w:b/>
          <w:i/>
          <w:sz w:val="25"/>
        </w:rPr>
      </w:pPr>
      <w:r>
        <w:rPr>
          <w:sz w:val="24"/>
        </w:rPr>
        <w:t xml:space="preserve">1.- En el inciso segundo, reemplazase la frase </w:t>
      </w:r>
      <w:r>
        <w:rPr>
          <w:i/>
          <w:sz w:val="25"/>
        </w:rPr>
        <w:t>“En</w:t>
      </w:r>
      <w:r>
        <w:rPr>
          <w:i/>
          <w:spacing w:val="-1"/>
          <w:sz w:val="25"/>
        </w:rPr>
        <w:t xml:space="preserve"> </w:t>
      </w:r>
      <w:r>
        <w:rPr>
          <w:i/>
          <w:sz w:val="25"/>
        </w:rPr>
        <w:t>igual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pena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>incurrirá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el que”</w:t>
      </w:r>
      <w:r>
        <w:rPr>
          <w:i/>
          <w:spacing w:val="-1"/>
          <w:sz w:val="25"/>
        </w:rPr>
        <w:t xml:space="preserve"> </w:t>
      </w:r>
      <w:r>
        <w:rPr>
          <w:sz w:val="24"/>
        </w:rPr>
        <w:t xml:space="preserve">por la siguiente frase: </w:t>
      </w:r>
      <w:r>
        <w:rPr>
          <w:i/>
          <w:sz w:val="25"/>
        </w:rPr>
        <w:t>“</w:t>
      </w:r>
      <w:r>
        <w:rPr>
          <w:b/>
          <w:i/>
          <w:sz w:val="25"/>
        </w:rPr>
        <w:t xml:space="preserve">Se </w:t>
      </w:r>
      <w:r>
        <w:rPr>
          <w:b/>
          <w:i/>
          <w:sz w:val="25"/>
        </w:rPr>
        <w:t>aplicará la pena señalada en el inciso anterior aumentada</w:t>
      </w:r>
      <w:r>
        <w:rPr>
          <w:b/>
          <w:i/>
          <w:spacing w:val="-4"/>
          <w:sz w:val="25"/>
        </w:rPr>
        <w:t xml:space="preserve"> </w:t>
      </w:r>
      <w:r>
        <w:rPr>
          <w:b/>
          <w:i/>
          <w:sz w:val="25"/>
        </w:rPr>
        <w:t>en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z w:val="25"/>
        </w:rPr>
        <w:t>un</w:t>
      </w:r>
      <w:r>
        <w:rPr>
          <w:b/>
          <w:i/>
          <w:spacing w:val="-4"/>
          <w:sz w:val="25"/>
        </w:rPr>
        <w:t xml:space="preserve"> </w:t>
      </w:r>
      <w:r>
        <w:rPr>
          <w:b/>
          <w:i/>
          <w:sz w:val="25"/>
        </w:rPr>
        <w:t>grado</w:t>
      </w:r>
      <w:r>
        <w:rPr>
          <w:b/>
          <w:i/>
          <w:spacing w:val="-4"/>
          <w:sz w:val="25"/>
        </w:rPr>
        <w:t xml:space="preserve"> </w:t>
      </w:r>
      <w:r>
        <w:rPr>
          <w:b/>
          <w:i/>
          <w:sz w:val="25"/>
        </w:rPr>
        <w:t>a</w:t>
      </w:r>
      <w:r>
        <w:rPr>
          <w:b/>
          <w:i/>
          <w:spacing w:val="-4"/>
          <w:sz w:val="25"/>
        </w:rPr>
        <w:t xml:space="preserve"> </w:t>
      </w:r>
      <w:r>
        <w:rPr>
          <w:b/>
          <w:i/>
          <w:sz w:val="25"/>
        </w:rPr>
        <w:t>quien”.</w:t>
      </w:r>
    </w:p>
    <w:p w:rsidR="009B0207" w:rsidRDefault="009B0207">
      <w:pPr>
        <w:pStyle w:val="Textoindependiente"/>
        <w:spacing w:before="9"/>
        <w:rPr>
          <w:b/>
          <w:i/>
          <w:sz w:val="36"/>
        </w:rPr>
      </w:pPr>
    </w:p>
    <w:p w:rsidR="009B0207" w:rsidRDefault="00703F05">
      <w:pPr>
        <w:pStyle w:val="Textoindependiente"/>
        <w:ind w:left="119"/>
        <w:jc w:val="both"/>
      </w:pPr>
      <w:r>
        <w:t>2.-</w:t>
      </w:r>
      <w:r>
        <w:rPr>
          <w:spacing w:val="-2"/>
        </w:rPr>
        <w:t xml:space="preserve"> </w:t>
      </w:r>
      <w:r>
        <w:t>Reemplazase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inciso</w:t>
      </w:r>
      <w:r>
        <w:rPr>
          <w:spacing w:val="-3"/>
        </w:rPr>
        <w:t xml:space="preserve"> </w:t>
      </w:r>
      <w:r>
        <w:t>tercero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2"/>
        </w:rPr>
        <w:t>siguiente:</w:t>
      </w:r>
    </w:p>
    <w:p w:rsidR="009B0207" w:rsidRDefault="00703F05">
      <w:pPr>
        <w:spacing w:before="133" w:line="345" w:lineRule="auto"/>
        <w:ind w:left="119" w:right="114"/>
        <w:jc w:val="both"/>
        <w:rPr>
          <w:b/>
          <w:i/>
          <w:sz w:val="25"/>
        </w:rPr>
      </w:pPr>
      <w:r>
        <w:rPr>
          <w:b/>
          <w:i/>
          <w:sz w:val="25"/>
        </w:rPr>
        <w:t>“Para los efectos del presente artículo, se entenderá por pequeñas cantidades de sustancias, drogas o materias primas, aquellas que permitan racionalmente suponer que, en su conjunto, equivalen a no más de diez dosis para consumo individual inmediato. El q</w:t>
      </w:r>
      <w:r>
        <w:rPr>
          <w:b/>
          <w:i/>
          <w:sz w:val="25"/>
        </w:rPr>
        <w:t>ue posea, transporte, guarde o porte consigo una cantidad superior a la aquí señalada, sin la justificación contemplada en el inciso primero del presente artículo, será sancionado de conformidad con el artículo primero de la</w:t>
      </w:r>
      <w:r>
        <w:rPr>
          <w:b/>
          <w:i/>
          <w:spacing w:val="-4"/>
          <w:sz w:val="25"/>
        </w:rPr>
        <w:t xml:space="preserve"> </w:t>
      </w:r>
      <w:r>
        <w:rPr>
          <w:b/>
          <w:i/>
          <w:sz w:val="25"/>
        </w:rPr>
        <w:t>presente ley”.</w:t>
      </w:r>
    </w:p>
    <w:p w:rsidR="009B0207" w:rsidRDefault="009B0207">
      <w:pPr>
        <w:pStyle w:val="Textoindependiente"/>
        <w:rPr>
          <w:b/>
          <w:i/>
          <w:sz w:val="30"/>
        </w:rPr>
      </w:pPr>
    </w:p>
    <w:p w:rsidR="009B0207" w:rsidRDefault="009B0207">
      <w:pPr>
        <w:pStyle w:val="Textoindependiente"/>
        <w:rPr>
          <w:b/>
          <w:i/>
          <w:sz w:val="30"/>
        </w:rPr>
      </w:pPr>
    </w:p>
    <w:p w:rsidR="009B0207" w:rsidRDefault="009B0207">
      <w:pPr>
        <w:pStyle w:val="Textoindependiente"/>
        <w:rPr>
          <w:b/>
          <w:i/>
          <w:sz w:val="30"/>
        </w:rPr>
      </w:pPr>
    </w:p>
    <w:p w:rsidR="009B0207" w:rsidRDefault="009B0207">
      <w:pPr>
        <w:pStyle w:val="Textoindependiente"/>
        <w:rPr>
          <w:b/>
          <w:i/>
          <w:sz w:val="30"/>
        </w:rPr>
      </w:pPr>
    </w:p>
    <w:p w:rsidR="009B0207" w:rsidRDefault="009B0207">
      <w:pPr>
        <w:pStyle w:val="Textoindependiente"/>
        <w:rPr>
          <w:b/>
          <w:i/>
          <w:sz w:val="30"/>
        </w:rPr>
      </w:pPr>
    </w:p>
    <w:p w:rsidR="009B0207" w:rsidRDefault="009B0207">
      <w:pPr>
        <w:pStyle w:val="Textoindependiente"/>
        <w:rPr>
          <w:b/>
          <w:i/>
          <w:sz w:val="30"/>
        </w:rPr>
      </w:pPr>
    </w:p>
    <w:p w:rsidR="009B0207" w:rsidRDefault="009B0207">
      <w:pPr>
        <w:pStyle w:val="Textoindependiente"/>
        <w:rPr>
          <w:b/>
          <w:i/>
          <w:sz w:val="30"/>
        </w:rPr>
      </w:pPr>
    </w:p>
    <w:p w:rsidR="009B0207" w:rsidRDefault="009B0207">
      <w:pPr>
        <w:pStyle w:val="Textoindependiente"/>
        <w:rPr>
          <w:b/>
          <w:i/>
          <w:sz w:val="30"/>
        </w:rPr>
      </w:pPr>
    </w:p>
    <w:p w:rsidR="009B0207" w:rsidRDefault="009B0207">
      <w:pPr>
        <w:pStyle w:val="Textoindependiente"/>
        <w:rPr>
          <w:b/>
          <w:i/>
          <w:sz w:val="30"/>
        </w:rPr>
      </w:pPr>
    </w:p>
    <w:p w:rsidR="009B0207" w:rsidRDefault="009B0207">
      <w:pPr>
        <w:pStyle w:val="Textoindependiente"/>
        <w:rPr>
          <w:b/>
          <w:i/>
          <w:sz w:val="30"/>
        </w:rPr>
      </w:pPr>
    </w:p>
    <w:p w:rsidR="009B0207" w:rsidRDefault="009B0207">
      <w:pPr>
        <w:pStyle w:val="Textoindependiente"/>
        <w:rPr>
          <w:b/>
          <w:i/>
          <w:sz w:val="30"/>
        </w:rPr>
      </w:pPr>
    </w:p>
    <w:p w:rsidR="009B0207" w:rsidRDefault="009B0207">
      <w:pPr>
        <w:pStyle w:val="Textoindependiente"/>
        <w:spacing w:before="2"/>
        <w:rPr>
          <w:b/>
          <w:i/>
          <w:sz w:val="31"/>
        </w:rPr>
      </w:pPr>
    </w:p>
    <w:p w:rsidR="009B0207" w:rsidRDefault="00703F05">
      <w:pPr>
        <w:pStyle w:val="Ttulo1"/>
        <w:ind w:right="2379"/>
      </w:pPr>
      <w:r>
        <w:t>JAIME</w:t>
      </w:r>
      <w:r>
        <w:rPr>
          <w:spacing w:val="-2"/>
        </w:rPr>
        <w:t xml:space="preserve"> </w:t>
      </w:r>
      <w:r>
        <w:t>ARAYA</w:t>
      </w:r>
      <w:r>
        <w:rPr>
          <w:spacing w:val="-3"/>
        </w:rPr>
        <w:t xml:space="preserve"> </w:t>
      </w:r>
      <w:r>
        <w:rPr>
          <w:spacing w:val="-2"/>
        </w:rPr>
        <w:t>GUERRERO</w:t>
      </w:r>
    </w:p>
    <w:p w:rsidR="009B0207" w:rsidRDefault="00703F05">
      <w:pPr>
        <w:spacing w:before="142" w:line="362" w:lineRule="auto"/>
        <w:ind w:left="2372" w:right="2381"/>
        <w:jc w:val="center"/>
        <w:rPr>
          <w:b/>
          <w:sz w:val="24"/>
        </w:rPr>
      </w:pPr>
      <w:r>
        <w:rPr>
          <w:b/>
          <w:sz w:val="24"/>
        </w:rPr>
        <w:t>Honorable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Diputado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República Distrito Número 3.</w:t>
      </w:r>
    </w:p>
    <w:p w:rsidR="009B0207" w:rsidRDefault="00703F05">
      <w:pPr>
        <w:spacing w:line="284" w:lineRule="exact"/>
        <w:ind w:left="2609" w:right="2613"/>
        <w:jc w:val="center"/>
        <w:rPr>
          <w:b/>
          <w:sz w:val="24"/>
        </w:rPr>
      </w:pPr>
      <w:r>
        <w:rPr>
          <w:b/>
          <w:sz w:val="24"/>
        </w:rPr>
        <w:t>Bancada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PPD e </w:t>
      </w:r>
      <w:r>
        <w:rPr>
          <w:b/>
          <w:spacing w:val="-2"/>
          <w:sz w:val="24"/>
        </w:rPr>
        <w:t>Independientes.</w:t>
      </w:r>
    </w:p>
    <w:p w:rsidR="009B0207" w:rsidRDefault="009B0207">
      <w:pPr>
        <w:spacing w:line="284" w:lineRule="exact"/>
        <w:jc w:val="center"/>
        <w:rPr>
          <w:sz w:val="24"/>
        </w:rPr>
        <w:sectPr w:rsidR="009B0207">
          <w:pgSz w:w="12240" w:h="20160"/>
          <w:pgMar w:top="2400" w:right="1580" w:bottom="280" w:left="1580" w:header="725" w:footer="0" w:gutter="0"/>
          <w:cols w:space="720"/>
        </w:sectPr>
      </w:pPr>
    </w:p>
    <w:p w:rsidR="009B0207" w:rsidRDefault="009B0207">
      <w:pPr>
        <w:pStyle w:val="Textoindependiente"/>
        <w:spacing w:before="6"/>
        <w:rPr>
          <w:b/>
          <w:sz w:val="16"/>
        </w:rPr>
      </w:pPr>
    </w:p>
    <w:sectPr w:rsidR="009B0207">
      <w:pgSz w:w="12240" w:h="20160"/>
      <w:pgMar w:top="2400" w:right="1580" w:bottom="280" w:left="1580" w:header="72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F05" w:rsidRDefault="00703F05">
      <w:r>
        <w:separator/>
      </w:r>
    </w:p>
  </w:endnote>
  <w:endnote w:type="continuationSeparator" w:id="0">
    <w:p w:rsidR="00703F05" w:rsidRDefault="0070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F05" w:rsidRDefault="00703F05">
      <w:r>
        <w:separator/>
      </w:r>
    </w:p>
  </w:footnote>
  <w:footnote w:type="continuationSeparator" w:id="0">
    <w:p w:rsidR="00703F05" w:rsidRDefault="00703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207" w:rsidRDefault="00703F05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anchor distT="0" distB="0" distL="0" distR="0" simplePos="0" relativeHeight="487543296" behindDoc="1" locked="0" layoutInCell="1" allowOverlap="1">
          <wp:simplePos x="0" y="0"/>
          <wp:positionH relativeFrom="page">
            <wp:posOffset>3435350</wp:posOffset>
          </wp:positionH>
          <wp:positionV relativeFrom="page">
            <wp:posOffset>460182</wp:posOffset>
          </wp:positionV>
          <wp:extent cx="904875" cy="90525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4875" cy="905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B0207"/>
    <w:rsid w:val="0039191D"/>
    <w:rsid w:val="00703F05"/>
    <w:rsid w:val="009B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5:docId w15:val="{89D51C79-F41B-48B2-8EA3-58D78154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2372" w:right="118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dichile.cl/centro-de-prensa/detalle-prensa/2022/06/15/mt-0-1.300-detenidos-en-los-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ComitePPD.04</dc:creator>
  <cp:lastModifiedBy>Leonardo Lueiza Ureta</cp:lastModifiedBy>
  <cp:revision>1</cp:revision>
  <dcterms:created xsi:type="dcterms:W3CDTF">2022-09-14T13:27:00Z</dcterms:created>
  <dcterms:modified xsi:type="dcterms:W3CDTF">2022-09-26T21:45:00Z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2022-09-14T00:00:00Z</vt:filetime>
  </property>
  <property fmtid="{D5CDD505-2E9C-101B-9397-08002B2CF9AE}" pid="5" name="Producer">
    <vt:lpwstr>www.ilovepdf.com</vt:lpwstr>
  </property>
</Properties>
</file>