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72" w:rsidRDefault="00180C01">
      <w:pPr>
        <w:pStyle w:val="Textoindependiente"/>
        <w:ind w:left="13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21615" cy="912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15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572" w:rsidRDefault="002A0572">
      <w:pPr>
        <w:pStyle w:val="Textoindependiente"/>
        <w:rPr>
          <w:rFonts w:ascii="Times New Roman"/>
          <w:sz w:val="20"/>
        </w:rPr>
      </w:pPr>
    </w:p>
    <w:p w:rsidR="002A0572" w:rsidRDefault="002A0572">
      <w:pPr>
        <w:pStyle w:val="Textoindependiente"/>
        <w:spacing w:before="6"/>
        <w:rPr>
          <w:rFonts w:ascii="Times New Roman"/>
          <w:sz w:val="25"/>
        </w:rPr>
      </w:pPr>
    </w:p>
    <w:p w:rsidR="002A0572" w:rsidRDefault="00180C01">
      <w:pPr>
        <w:pStyle w:val="Ttulo1"/>
        <w:spacing w:before="92" w:line="360" w:lineRule="auto"/>
        <w:ind w:left="3906" w:hanging="3230"/>
        <w:rPr>
          <w:u w:val="none"/>
        </w:rPr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TIPIFICA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DELITO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SUSTRACCIÓN</w:t>
      </w:r>
      <w:r>
        <w:rPr>
          <w:spacing w:val="-6"/>
        </w:rPr>
        <w:t xml:space="preserve"> </w:t>
      </w:r>
      <w:r>
        <w:t>DE</w:t>
      </w:r>
      <w:r>
        <w:rPr>
          <w:u w:val="none"/>
        </w:rPr>
        <w:t xml:space="preserve"> </w:t>
      </w:r>
      <w:r>
        <w:rPr>
          <w:spacing w:val="-2"/>
        </w:rPr>
        <w:t>MINERALES</w:t>
      </w:r>
    </w:p>
    <w:p w:rsidR="002A0572" w:rsidRDefault="002A0572">
      <w:pPr>
        <w:pStyle w:val="Textoindependiente"/>
        <w:rPr>
          <w:b/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16"/>
        <w:jc w:val="both"/>
      </w:pPr>
      <w:r>
        <w:t>Una de las principales problemáticas a las que se ve enfrentada la industria de la minería</w:t>
      </w:r>
      <w:r>
        <w:rPr>
          <w:spacing w:val="40"/>
        </w:rPr>
        <w:t xml:space="preserve"> </w:t>
      </w:r>
      <w:r>
        <w:t>es el permanente robo y hurto de minerales por parte de bandas y grupos delictivos altamente organizados y especializados en esta clase de delitos. El daño económico que constantemente se produce por los robos o hurtos es tremendo y afecta a uno de los sec</w:t>
      </w:r>
      <w:r>
        <w:t>tores más importantes de la economía nacional.</w:t>
      </w:r>
    </w:p>
    <w:p w:rsidR="002A0572" w:rsidRDefault="002A0572">
      <w:pPr>
        <w:pStyle w:val="Textoindependiente"/>
        <w:rPr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15"/>
        <w:jc w:val="both"/>
      </w:pPr>
      <w:r>
        <w:t>Solo hasta mayo del presente año la empresa de ferrocarriles de Antofagasta ha sido víctima de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robos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cobre.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mineral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mira de lo que serían bandas organizadas, con</w:t>
      </w:r>
      <w:r>
        <w:t xml:space="preserve"> poder de fuego y recursos económicos que tanto en carreteras como vía férrea están intimidando a trabajadores para cometer los delitos</w:t>
      </w:r>
      <w:r>
        <w:rPr>
          <w:vertAlign w:val="superscript"/>
        </w:rPr>
        <w:t>1</w:t>
      </w:r>
      <w:r>
        <w:t>.</w:t>
      </w:r>
    </w:p>
    <w:p w:rsidR="002A0572" w:rsidRDefault="002A0572">
      <w:pPr>
        <w:pStyle w:val="Textoindependiente"/>
        <w:rPr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18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2078837</wp:posOffset>
            </wp:positionH>
            <wp:positionV relativeFrom="paragraph">
              <wp:posOffset>1295608</wp:posOffset>
            </wp:positionV>
            <wp:extent cx="3444021" cy="17171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21" cy="17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Una manera indirecta de demostrar la magnitud de estos delitos es a través de </w:t>
      </w:r>
      <w:r>
        <w:t xml:space="preserve">las </w:t>
      </w:r>
      <w:proofErr w:type="gramStart"/>
      <w:r>
        <w:t>incautaciones</w:t>
      </w:r>
      <w:proofErr w:type="gramEnd"/>
      <w:r>
        <w:t xml:space="preserve"> que realiza la policía. Según cifras de la PDI, desde el año 2018 al año 2021 los kilos de cobre incautados han aumentado en más de un 1.000%. Por su parte también han aumentado la cantidad de detenidos por el robo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minerales bajo la fi</w:t>
      </w:r>
      <w:r>
        <w:t>gura del hurto o robo de bienes muebles.</w:t>
      </w: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2A0572">
      <w:pPr>
        <w:pStyle w:val="Textoindependiente"/>
        <w:rPr>
          <w:sz w:val="20"/>
        </w:rPr>
      </w:pPr>
    </w:p>
    <w:p w:rsidR="002A0572" w:rsidRDefault="00180C01">
      <w:pPr>
        <w:pStyle w:val="Textoindependiente"/>
        <w:spacing w:before="3"/>
        <w:rPr>
          <w:sz w:val="22"/>
        </w:rPr>
      </w:pPr>
      <w:r>
        <w:pict>
          <v:shape id="docshape1" o:spid="_x0000_s1026" style="position:absolute;margin-left:1in;margin-top:14.05pt;width:2in;height:.1pt;z-index:-251658240;mso-wrap-distance-left:0;mso-wrap-distance-right:0;mso-position-horizontal-relative:page" coordorigin="1440,281" coordsize="2880,0" path="m1440,281r2880,e" filled="f">
            <v:path arrowok="t"/>
            <w10:wrap type="topAndBottom" anchorx="page"/>
          </v:shape>
        </w:pict>
      </w:r>
    </w:p>
    <w:p w:rsidR="002A0572" w:rsidRDefault="00180C01">
      <w:pPr>
        <w:spacing w:before="97"/>
        <w:ind w:left="100"/>
        <w:rPr>
          <w:sz w:val="12"/>
        </w:rPr>
      </w:pPr>
      <w:r>
        <w:rPr>
          <w:sz w:val="12"/>
        </w:rPr>
        <w:t>1</w:t>
      </w:r>
    </w:p>
    <w:p w:rsidR="002A0572" w:rsidRDefault="00180C01">
      <w:pPr>
        <w:spacing w:before="93"/>
        <w:ind w:left="100"/>
        <w:rPr>
          <w:sz w:val="20"/>
        </w:rPr>
      </w:pPr>
      <w:hyperlink r:id="rId6">
        <w:r>
          <w:rPr>
            <w:color w:val="1154CC"/>
            <w:spacing w:val="-2"/>
            <w:sz w:val="20"/>
            <w:u w:val="thick" w:color="1154CC"/>
          </w:rPr>
          <w:t>https://www.mch.cl/2022/06/03/pdi-revela-a-mineria-chilena-datos-sobre-robo-de-cobre-en-los-ultimos</w:t>
        </w:r>
      </w:hyperlink>
    </w:p>
    <w:p w:rsidR="002A0572" w:rsidRDefault="00180C01">
      <w:pPr>
        <w:ind w:left="100"/>
        <w:rPr>
          <w:sz w:val="20"/>
        </w:rPr>
      </w:pPr>
      <w:hyperlink r:id="rId7">
        <w:r>
          <w:rPr>
            <w:color w:val="1154CC"/>
            <w:spacing w:val="-2"/>
            <w:sz w:val="20"/>
            <w:u w:val="thick" w:color="1154CC"/>
          </w:rPr>
          <w:t>-cuatro-anos-y-las-regiones-donde-mas-se-ha-incautado/#</w:t>
        </w:r>
      </w:hyperlink>
    </w:p>
    <w:p w:rsidR="002A0572" w:rsidRDefault="002A0572">
      <w:pPr>
        <w:rPr>
          <w:sz w:val="20"/>
        </w:rPr>
        <w:sectPr w:rsidR="002A0572">
          <w:type w:val="continuous"/>
          <w:pgSz w:w="11920" w:h="16840"/>
          <w:pgMar w:top="1460" w:right="1340" w:bottom="280" w:left="1340" w:header="720" w:footer="720" w:gutter="0"/>
          <w:cols w:space="720"/>
        </w:sectPr>
      </w:pPr>
    </w:p>
    <w:p w:rsidR="002A0572" w:rsidRDefault="00180C01">
      <w:pPr>
        <w:pStyle w:val="Textoindependiente"/>
        <w:spacing w:before="80" w:line="360" w:lineRule="auto"/>
        <w:ind w:left="100" w:right="113"/>
        <w:jc w:val="both"/>
      </w:pPr>
      <w:r>
        <w:lastRenderedPageBreak/>
        <w:t>Adicionalmente debe considerarse que, como dispone el Código de Minería, el Estado tiene el dominio absoluto, exclusivo, inalienable e imprescriptible de todas</w:t>
      </w:r>
      <w:r>
        <w:rPr>
          <w:spacing w:val="40"/>
        </w:rPr>
        <w:t xml:space="preserve"> </w:t>
      </w:r>
      <w:r>
        <w:t>las min</w:t>
      </w:r>
      <w:r>
        <w:t>as, y los particulares participan de su exploración y explotación a través de concesiones mineras. Este diseño institucional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florecimiento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mercados mineros diversos, en los que colaboran grandes y pequeñas empresas, públicas y </w:t>
      </w:r>
      <w:r>
        <w:rPr>
          <w:spacing w:val="-2"/>
        </w:rPr>
        <w:t>privadas.</w:t>
      </w:r>
    </w:p>
    <w:p w:rsidR="002A0572" w:rsidRDefault="002A0572">
      <w:pPr>
        <w:pStyle w:val="Textoindependiente"/>
        <w:rPr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14"/>
        <w:jc w:val="both"/>
      </w:pPr>
      <w:r>
        <w:t xml:space="preserve">Por </w:t>
      </w:r>
      <w:r>
        <w:t>tanto, los ilícitos en comento no solo atentan contra la propiedad privada de la empresa</w:t>
      </w:r>
      <w:r>
        <w:rPr>
          <w:spacing w:val="-5"/>
        </w:rPr>
        <w:t xml:space="preserve"> </w:t>
      </w:r>
      <w:r>
        <w:t>minera</w:t>
      </w:r>
      <w:r>
        <w:rPr>
          <w:spacing w:val="-5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encadenamiento</w:t>
      </w:r>
      <w:r>
        <w:rPr>
          <w:spacing w:val="-5"/>
        </w:rPr>
        <w:t xml:space="preserve"> </w:t>
      </w:r>
      <w:r>
        <w:t>productivo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 xml:space="preserve">que el Estado de Chile juega un rol importante. Esto añade un mayor reproche a la conducta, por </w:t>
      </w:r>
      <w:r>
        <w:t xml:space="preserve">cuanto se está afectando un mercado que es vital para la economía </w:t>
      </w:r>
      <w:r>
        <w:rPr>
          <w:spacing w:val="-2"/>
        </w:rPr>
        <w:t>nacional.</w:t>
      </w:r>
    </w:p>
    <w:p w:rsidR="002A0572" w:rsidRDefault="002A0572">
      <w:pPr>
        <w:pStyle w:val="Textoindependiente"/>
        <w:rPr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25"/>
        <w:jc w:val="both"/>
      </w:pPr>
      <w:r>
        <w:t>En consecuencia, en los Diputados y Diputadas que suscriben vienen en presentar el siguiente:</w:t>
      </w:r>
    </w:p>
    <w:p w:rsidR="002A0572" w:rsidRDefault="002A0572">
      <w:pPr>
        <w:spacing w:line="360" w:lineRule="auto"/>
        <w:jc w:val="both"/>
        <w:sectPr w:rsidR="002A0572">
          <w:pgSz w:w="11920" w:h="16840"/>
          <w:pgMar w:top="1360" w:right="1340" w:bottom="280" w:left="1340" w:header="720" w:footer="720" w:gutter="0"/>
          <w:cols w:space="720"/>
        </w:sectPr>
      </w:pPr>
    </w:p>
    <w:p w:rsidR="002A0572" w:rsidRDefault="00180C01">
      <w:pPr>
        <w:pStyle w:val="Ttulo1"/>
        <w:spacing w:before="80"/>
        <w:ind w:left="3463" w:right="3475"/>
        <w:jc w:val="center"/>
        <w:rPr>
          <w:u w:val="none"/>
        </w:rPr>
      </w:pPr>
      <w:r>
        <w:lastRenderedPageBreak/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2A0572" w:rsidRDefault="002A0572">
      <w:pPr>
        <w:pStyle w:val="Textoindependiente"/>
        <w:rPr>
          <w:b/>
          <w:sz w:val="26"/>
        </w:rPr>
      </w:pPr>
    </w:p>
    <w:p w:rsidR="002A0572" w:rsidRDefault="002A0572">
      <w:pPr>
        <w:pStyle w:val="Textoindependiente"/>
        <w:rPr>
          <w:b/>
          <w:sz w:val="26"/>
        </w:rPr>
      </w:pPr>
    </w:p>
    <w:p w:rsidR="002A0572" w:rsidRDefault="00180C01">
      <w:pPr>
        <w:pStyle w:val="Textoindependiente"/>
        <w:spacing w:before="194"/>
        <w:ind w:left="100"/>
        <w:jc w:val="both"/>
      </w:pPr>
      <w:r>
        <w:t xml:space="preserve">“Artículo Único.- Modifícase el Código Penal de la siguiente </w:t>
      </w:r>
      <w:r>
        <w:rPr>
          <w:spacing w:val="-2"/>
        </w:rPr>
        <w:t>forma:</w:t>
      </w:r>
    </w:p>
    <w:p w:rsidR="002A0572" w:rsidRDefault="002A0572">
      <w:pPr>
        <w:pStyle w:val="Textoindependiente"/>
        <w:spacing w:before="10"/>
        <w:rPr>
          <w:sz w:val="32"/>
        </w:rPr>
      </w:pPr>
    </w:p>
    <w:p w:rsidR="002A0572" w:rsidRDefault="00180C01">
      <w:pPr>
        <w:spacing w:line="360" w:lineRule="auto"/>
        <w:ind w:left="100" w:right="119"/>
        <w:jc w:val="both"/>
        <w:rPr>
          <w:i/>
          <w:sz w:val="24"/>
        </w:rPr>
      </w:pPr>
      <w:r>
        <w:rPr>
          <w:sz w:val="24"/>
        </w:rPr>
        <w:t>Incorpórase en el Título Noveno del Libro Segundo 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Párrafo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ter: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 sustracción de minerales.</w:t>
      </w:r>
    </w:p>
    <w:p w:rsidR="002A0572" w:rsidRDefault="002A0572">
      <w:pPr>
        <w:pStyle w:val="Textoindependiente"/>
        <w:spacing w:before="10"/>
        <w:rPr>
          <w:i/>
          <w:sz w:val="20"/>
        </w:rPr>
      </w:pPr>
    </w:p>
    <w:p w:rsidR="002A0572" w:rsidRDefault="00180C01">
      <w:pPr>
        <w:pStyle w:val="Textoindependiente"/>
        <w:spacing w:line="360" w:lineRule="auto"/>
        <w:ind w:left="100" w:right="118"/>
        <w:jc w:val="both"/>
      </w:pPr>
      <w:r>
        <w:t>Art. 448 septies.- El que robe o</w:t>
      </w:r>
      <w:r>
        <w:rPr>
          <w:spacing w:val="-3"/>
        </w:rPr>
        <w:t xml:space="preserve"> </w:t>
      </w:r>
      <w:r>
        <w:t>hurte</w:t>
      </w:r>
      <w:r>
        <w:rPr>
          <w:spacing w:val="-3"/>
        </w:rPr>
        <w:t xml:space="preserve"> </w:t>
      </w:r>
      <w:r>
        <w:t>minerales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cátodos,</w:t>
      </w:r>
      <w:r>
        <w:rPr>
          <w:spacing w:val="-3"/>
        </w:rPr>
        <w:t xml:space="preserve"> </w:t>
      </w:r>
      <w:r>
        <w:t>lingotes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 equivalente, comete sustracción de minerales y será sancionado con las penas señaladas en los Párrafos 2, 3 y 4 del presente Título aumentadas en un grado, y con multa de cien a doscientas unidades tributarias mensuales. Los vehículos motor</w:t>
      </w:r>
      <w:r>
        <w:t>izados o de otra clase, las armas, las municiones, las herramientas y los instrumentos utilizados en la comisión del delito, caerán en comiso.</w:t>
      </w:r>
    </w:p>
    <w:p w:rsidR="002A0572" w:rsidRDefault="002A0572">
      <w:pPr>
        <w:pStyle w:val="Textoindependiente"/>
        <w:rPr>
          <w:sz w:val="36"/>
        </w:rPr>
      </w:pPr>
    </w:p>
    <w:p w:rsidR="002A0572" w:rsidRDefault="00180C01">
      <w:pPr>
        <w:pStyle w:val="Textoindependiente"/>
        <w:spacing w:line="360" w:lineRule="auto"/>
        <w:ind w:left="100" w:right="126"/>
        <w:jc w:val="both"/>
      </w:pPr>
      <w:r>
        <w:t>Art 448 octies.- Se castigará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sustracción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minerales,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penas previstas en el artículo</w:t>
      </w:r>
      <w:r>
        <w:rPr>
          <w:spacing w:val="-3"/>
        </w:rPr>
        <w:t xml:space="preserve"> </w:t>
      </w:r>
      <w:r>
        <w:t>446,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aquel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encuentren</w:t>
      </w:r>
      <w:r>
        <w:rPr>
          <w:spacing w:val="-3"/>
        </w:rPr>
        <w:t xml:space="preserve"> </w:t>
      </w:r>
      <w:r>
        <w:t>cátodos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lingotes de minerales, cuando no pueda justificar su adquisición o legítima tenencia.”</w:t>
      </w: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  <w:rPr>
          <w:sz w:val="26"/>
        </w:rPr>
      </w:pPr>
    </w:p>
    <w:p w:rsidR="002A0572" w:rsidRDefault="002A0572">
      <w:pPr>
        <w:pStyle w:val="Textoindependiente"/>
      </w:pPr>
    </w:p>
    <w:p w:rsidR="002A0572" w:rsidRDefault="00180C01">
      <w:pPr>
        <w:ind w:left="280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Sebastian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Videla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C.</w:t>
      </w:r>
    </w:p>
    <w:sectPr w:rsidR="002A0572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0572"/>
    <w:rsid w:val="00180C01"/>
    <w:rsid w:val="002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821B993-90CB-4973-8444-D0C9592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80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ch.cl/2022/06/03/pdi-revela-a-mineria-chilena-datos-sobre-robo-de-cobre-en-los-ultimos-cuatro-anos-y-las-regiones-donde-mas-se-ha-incauta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.cl/2022/06/03/pdi-revela-a-mineria-chilena-datos-sobre-robo-de-cobre-en-los-ultimos-cuatro-anos-y-las-regiones-donde-mas-se-ha-incautad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 de minerales - Videla</dc:title>
  <dc:creator>Leonardo Lueiza Ureta</dc:creator>
  <cp:lastModifiedBy>Leonardo Lueiza Ureta</cp:lastModifiedBy>
  <cp:revision>1</cp:revision>
  <dcterms:created xsi:type="dcterms:W3CDTF">2022-09-13T16:20:00Z</dcterms:created>
  <dcterms:modified xsi:type="dcterms:W3CDTF">2022-10-03T21:19:00Z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