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AC" w:rsidRDefault="00515E72">
      <w:pPr>
        <w:spacing w:before="22" w:line="259" w:lineRule="auto"/>
        <w:ind w:left="121" w:firstLine="117"/>
        <w:rPr>
          <w:sz w:val="26"/>
        </w:rPr>
      </w:pPr>
      <w:bookmarkStart w:id="0" w:name="_GoBack"/>
      <w:bookmarkEnd w:id="0"/>
      <w:r>
        <w:rPr>
          <w:color w:val="2E5395"/>
          <w:sz w:val="26"/>
        </w:rPr>
        <w:t>PROYECTO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DE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LEY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QUE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AUMENTA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EL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PLAZO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DE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FLAGRANCIA,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A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VEINTICUATRO HORAS,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z w:val="26"/>
        </w:rPr>
        <w:t>DESDE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LA</w:t>
      </w:r>
      <w:r>
        <w:rPr>
          <w:color w:val="2E5395"/>
          <w:spacing w:val="-8"/>
          <w:sz w:val="26"/>
        </w:rPr>
        <w:t xml:space="preserve"> </w:t>
      </w:r>
      <w:r>
        <w:rPr>
          <w:color w:val="2E5395"/>
          <w:sz w:val="26"/>
        </w:rPr>
        <w:t>COMISIÓN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DEL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DELITO</w:t>
      </w:r>
      <w:r>
        <w:rPr>
          <w:color w:val="2E5395"/>
          <w:spacing w:val="-8"/>
          <w:sz w:val="26"/>
        </w:rPr>
        <w:t xml:space="preserve"> </w:t>
      </w:r>
      <w:r>
        <w:rPr>
          <w:color w:val="2E5395"/>
          <w:sz w:val="26"/>
        </w:rPr>
        <w:t>Y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HASTA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LA</w:t>
      </w:r>
      <w:r>
        <w:rPr>
          <w:color w:val="2E5395"/>
          <w:spacing w:val="-8"/>
          <w:sz w:val="26"/>
        </w:rPr>
        <w:t xml:space="preserve"> </w:t>
      </w:r>
      <w:r>
        <w:rPr>
          <w:color w:val="2E5395"/>
          <w:sz w:val="26"/>
        </w:rPr>
        <w:t>CAPTURA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DEL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pacing w:val="-2"/>
          <w:sz w:val="26"/>
        </w:rPr>
        <w:t>IMPUTADO.</w:t>
      </w:r>
    </w:p>
    <w:p w:rsidR="00C261AC" w:rsidRDefault="00C261AC">
      <w:pPr>
        <w:pStyle w:val="Textoindependiente"/>
        <w:spacing w:before="9"/>
        <w:rPr>
          <w:sz w:val="36"/>
        </w:rPr>
      </w:pPr>
    </w:p>
    <w:p w:rsidR="00C261AC" w:rsidRDefault="00515E72">
      <w:pPr>
        <w:pStyle w:val="Textoindependiente"/>
        <w:ind w:left="121"/>
      </w:pPr>
      <w:r>
        <w:t>FUNDAMENTOS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PROYECTO.</w:t>
      </w:r>
    </w:p>
    <w:p w:rsidR="00C261AC" w:rsidRDefault="00515E72">
      <w:pPr>
        <w:pStyle w:val="Textoindependiente"/>
        <w:spacing w:before="44" w:line="276" w:lineRule="auto"/>
        <w:ind w:left="121" w:right="102"/>
        <w:jc w:val="both"/>
      </w:pPr>
      <w:r>
        <w:t>Ya en los fundamentos del proyecto de ley, del Boletín N° 4321-07, se hace ver que, a pesar de todos los avances que nuestro país ha logrado en materia de modernización de</w:t>
      </w:r>
      <w:r>
        <w:rPr>
          <w:spacing w:val="40"/>
        </w:rPr>
        <w:t xml:space="preserve"> </w:t>
      </w:r>
      <w:r>
        <w:t>su sistema de enjuiciamiento criminal; de la eficiente gestión del Ministerio Públic</w:t>
      </w:r>
      <w:r>
        <w:t>o en la persecución penal; la variada legislación aprobada por todos los sectores políticos representados en el Congreso Nacional; y el reforzamiento humano y material de las policías, la ciudadanía da</w:t>
      </w:r>
      <w:r>
        <w:rPr>
          <w:spacing w:val="-3"/>
        </w:rPr>
        <w:t xml:space="preserve"> </w:t>
      </w:r>
      <w:r>
        <w:t>señales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temor</w:t>
      </w:r>
      <w:r>
        <w:rPr>
          <w:spacing w:val="-3"/>
        </w:rPr>
        <w:t xml:space="preserve"> </w:t>
      </w:r>
      <w:r>
        <w:t>subjetivo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actuar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delincuencia,</w:t>
      </w:r>
      <w:r>
        <w:rPr>
          <w:spacing w:val="-3"/>
        </w:rPr>
        <w:t xml:space="preserve"> </w:t>
      </w:r>
      <w:r>
        <w:t>que hace necesario introducir mejoras en el sistema, destinadas a reprimir con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energía al delito y disminuir esa sensación de temor. Lo anterior, ya que, el fenómeno de la delincuencia es más que un problema político, es un problema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todos los sectores, todos los poderes del Estado y la sociedad en su conjunto tienen deberes y responsabilidades. Sin lugar a dudas la delincuencia no se enfrenta y derrota exclusivamente con un eficiente y efectivo sistema de persecución</w:t>
      </w:r>
      <w:r>
        <w:t xml:space="preserve"> penal, pero desde el Congreso, debe hacerse la parte de su especialidad.</w:t>
      </w:r>
    </w:p>
    <w:p w:rsidR="00C261AC" w:rsidRDefault="00515E72">
      <w:pPr>
        <w:pStyle w:val="Textoindependiente"/>
        <w:spacing w:before="160" w:line="276" w:lineRule="auto"/>
        <w:ind w:left="121" w:right="105"/>
        <w:jc w:val="both"/>
      </w:pPr>
      <w:r>
        <w:t>Siendo así, en materia de</w:t>
      </w:r>
      <w:r>
        <w:rPr>
          <w:spacing w:val="-4"/>
        </w:rPr>
        <w:t xml:space="preserve"> </w:t>
      </w:r>
      <w:r>
        <w:t>flagrancia,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Procesal</w:t>
      </w:r>
      <w:r>
        <w:rPr>
          <w:spacing w:val="-4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contiene,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letras</w:t>
      </w:r>
      <w:r>
        <w:rPr>
          <w:spacing w:val="-4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e) del artículo 130, dos hipótesis que operan sobre la base de “el tiempo inmediato” a la </w:t>
      </w:r>
      <w:r>
        <w:t>comisión del delito.</w:t>
      </w:r>
    </w:p>
    <w:p w:rsidR="00C261AC" w:rsidRDefault="00C261AC">
      <w:pPr>
        <w:pStyle w:val="Textoindependiente"/>
        <w:spacing w:before="7"/>
        <w:rPr>
          <w:sz w:val="27"/>
        </w:rPr>
      </w:pPr>
    </w:p>
    <w:p w:rsidR="00C261AC" w:rsidRDefault="00515E72">
      <w:pPr>
        <w:pStyle w:val="Textoindependiente"/>
        <w:spacing w:line="276" w:lineRule="auto"/>
        <w:ind w:left="121" w:right="100"/>
        <w:jc w:val="both"/>
      </w:pPr>
      <w:r>
        <w:t xml:space="preserve">La indeterminación de ese “tiempo inmediato”, llevó a la existencia de interpretaciones </w:t>
      </w:r>
      <w:proofErr w:type="gramStart"/>
      <w:r>
        <w:t>diversas</w:t>
      </w:r>
      <w:proofErr w:type="gramEnd"/>
      <w:r>
        <w:t xml:space="preserve"> en cuanto a su extensión, lo que se tradujo en la ilegalidad de la detención si el tribunal de garantía estimaba que éste ha sido excesiv</w:t>
      </w:r>
      <w:r>
        <w:t>o.</w:t>
      </w:r>
    </w:p>
    <w:p w:rsidR="00C261AC" w:rsidRDefault="00C261AC">
      <w:pPr>
        <w:pStyle w:val="Textoindependiente"/>
        <w:spacing w:before="7"/>
        <w:rPr>
          <w:sz w:val="27"/>
        </w:rPr>
      </w:pPr>
    </w:p>
    <w:p w:rsidR="00C261AC" w:rsidRDefault="00515E72">
      <w:pPr>
        <w:pStyle w:val="Textoindependiente"/>
        <w:spacing w:before="1" w:line="276" w:lineRule="auto"/>
        <w:ind w:left="121" w:right="100"/>
        <w:jc w:val="both"/>
      </w:pPr>
      <w:r>
        <w:t>Asimismo, hace</w:t>
      </w:r>
      <w:r>
        <w:rPr>
          <w:spacing w:val="-4"/>
        </w:rPr>
        <w:t xml:space="preserve"> </w:t>
      </w:r>
      <w:r>
        <w:t>énfasis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cierto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inmediato</w:t>
      </w:r>
      <w:r>
        <w:rPr>
          <w:spacing w:val="-4"/>
        </w:rPr>
        <w:t xml:space="preserve"> </w:t>
      </w:r>
      <w:r>
        <w:t>implica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aquel</w:t>
      </w:r>
      <w:r>
        <w:rPr>
          <w:spacing w:val="-4"/>
        </w:rPr>
        <w:t xml:space="preserve"> </w:t>
      </w:r>
      <w:r>
        <w:t>en el que todavía puede apreciarse una conexión material</w:t>
      </w:r>
      <w:r>
        <w:rPr>
          <w:spacing w:val="-5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inmediata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hecho producido y 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imputa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comisión.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tales circunstancias evidencian su participación en el hecho punible y, en consecuencia, la flagrancia puede extenderse a todo el tiempo que transcurra hasta que se produzca la aprehensión material del autor después de una persecución iniciada i</w:t>
      </w:r>
      <w:r>
        <w:t>nmediatamente a continuación de apreciarse la comisión del hecho del hecho delictivo.</w:t>
      </w:r>
    </w:p>
    <w:p w:rsidR="00C261AC" w:rsidRDefault="00C261AC">
      <w:pPr>
        <w:pStyle w:val="Textoindependiente"/>
        <w:spacing w:before="7"/>
        <w:rPr>
          <w:sz w:val="27"/>
        </w:rPr>
      </w:pPr>
    </w:p>
    <w:p w:rsidR="00C261AC" w:rsidRDefault="00515E72">
      <w:pPr>
        <w:pStyle w:val="Textoindependiente"/>
        <w:spacing w:line="276" w:lineRule="auto"/>
        <w:ind w:left="121" w:right="99"/>
        <w:jc w:val="both"/>
      </w:pPr>
      <w:r>
        <w:t>Así, para el inicio de tal persecución será normalmente necesaria la denuncia de los</w:t>
      </w:r>
      <w:r>
        <w:rPr>
          <w:spacing w:val="40"/>
        </w:rPr>
        <w:t xml:space="preserve"> </w:t>
      </w:r>
      <w:r>
        <w:t>hechos a la policía, que deberá adoptar de inmediato el procedimiento respecto del i</w:t>
      </w:r>
      <w:r>
        <w:t>mputado que se ha dado a la</w:t>
      </w:r>
      <w:r>
        <w:rPr>
          <w:spacing w:val="-3"/>
        </w:rPr>
        <w:t xml:space="preserve"> </w:t>
      </w:r>
      <w:r>
        <w:t>fuga.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embargo,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siempre es</w:t>
      </w:r>
      <w:r>
        <w:rPr>
          <w:spacing w:val="8"/>
        </w:rPr>
        <w:t xml:space="preserve"> </w:t>
      </w:r>
      <w:r>
        <w:t>posible,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sucedió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Alika</w:t>
      </w:r>
      <w:proofErr w:type="spellEnd"/>
      <w:r>
        <w:rPr>
          <w:spacing w:val="-3"/>
        </w:rPr>
        <w:t xml:space="preserve"> </w:t>
      </w:r>
      <w:proofErr w:type="spellStart"/>
      <w:r>
        <w:t>Rehakova</w:t>
      </w:r>
      <w:proofErr w:type="spellEnd"/>
      <w:r>
        <w:t>,</w:t>
      </w:r>
      <w:r>
        <w:rPr>
          <w:spacing w:val="-3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nacionalidad</w:t>
      </w:r>
      <w:r>
        <w:rPr>
          <w:spacing w:val="-3"/>
        </w:rPr>
        <w:t xml:space="preserve"> </w:t>
      </w:r>
      <w:r>
        <w:t>eslovaca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rPr>
          <w:spacing w:val="-5"/>
        </w:rPr>
        <w:t>en</w:t>
      </w:r>
    </w:p>
    <w:p w:rsidR="00C261AC" w:rsidRDefault="00C261AC">
      <w:pPr>
        <w:spacing w:line="276" w:lineRule="auto"/>
        <w:jc w:val="both"/>
        <w:sectPr w:rsidR="00C261AC">
          <w:type w:val="continuous"/>
          <w:pgSz w:w="12240" w:h="15840"/>
          <w:pgMar w:top="1440" w:right="1600" w:bottom="280" w:left="1580" w:header="720" w:footer="720" w:gutter="0"/>
          <w:cols w:space="720"/>
        </w:sectPr>
      </w:pPr>
    </w:p>
    <w:p w:rsidR="00C261AC" w:rsidRDefault="00515E72">
      <w:pPr>
        <w:pStyle w:val="Textoindependiente"/>
        <w:spacing w:before="41" w:line="276" w:lineRule="auto"/>
        <w:ind w:left="121" w:right="101"/>
        <w:jc w:val="both"/>
      </w:pPr>
      <w:r>
        <w:lastRenderedPageBreak/>
        <w:t>Chile, 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sábado</w:t>
      </w:r>
      <w:r>
        <w:rPr>
          <w:spacing w:val="-4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víctima</w:t>
      </w:r>
      <w:r>
        <w:rPr>
          <w:spacing w:val="-4"/>
        </w:rPr>
        <w:t xml:space="preserve"> </w:t>
      </w:r>
      <w:r>
        <w:t>-junto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hijos-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violenta</w:t>
      </w:r>
      <w:r>
        <w:rPr>
          <w:spacing w:val="-4"/>
        </w:rPr>
        <w:t xml:space="preserve"> </w:t>
      </w:r>
      <w:r>
        <w:t>encerrona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 de las salidas de la Autopista Los Libertadores y quien</w:t>
      </w:r>
      <w:r>
        <w:rPr>
          <w:spacing w:val="-4"/>
        </w:rPr>
        <w:t xml:space="preserve"> </w:t>
      </w:r>
      <w:r>
        <w:t>señala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antisociales</w:t>
      </w:r>
      <w:r>
        <w:rPr>
          <w:spacing w:val="-4"/>
        </w:rPr>
        <w:t xml:space="preserve"> </w:t>
      </w:r>
      <w:r>
        <w:t>también le extrajeron su reloj y que, por un dispositivo</w:t>
      </w:r>
      <w:r>
        <w:rPr>
          <w:spacing w:val="-4"/>
        </w:rPr>
        <w:t xml:space="preserve"> </w:t>
      </w:r>
      <w:r>
        <w:t>GPS,</w:t>
      </w:r>
      <w:r>
        <w:rPr>
          <w:spacing w:val="-4"/>
        </w:rPr>
        <w:t xml:space="preserve"> </w:t>
      </w:r>
      <w:r>
        <w:t>sabe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ubicación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encuentra. Relató que cuando informó de esto a Carabinero</w:t>
      </w:r>
      <w:r>
        <w:t>s, le habrían señalado que 'no pueden hacer nada'. Agregó que, en estos casos, “tiene que haber una orden judicial y posteriormente se pueden hacer todas las diligencias para poder recuperar las especies que</w:t>
      </w:r>
      <w:r>
        <w:rPr>
          <w:spacing w:val="-6"/>
        </w:rPr>
        <w:t xml:space="preserve"> </w:t>
      </w:r>
      <w:r>
        <w:t>faltan.</w:t>
      </w:r>
      <w:r>
        <w:rPr>
          <w:spacing w:val="-6"/>
        </w:rPr>
        <w:t xml:space="preserve"> </w:t>
      </w:r>
      <w:r>
        <w:t>Faltan</w:t>
      </w:r>
      <w:r>
        <w:rPr>
          <w:spacing w:val="-6"/>
        </w:rPr>
        <w:t xml:space="preserve"> </w:t>
      </w:r>
      <w:r>
        <w:t>algunas</w:t>
      </w:r>
      <w:r>
        <w:rPr>
          <w:spacing w:val="-6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reloj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tarjetas</w:t>
      </w:r>
      <w:r>
        <w:rPr>
          <w:spacing w:val="-6"/>
        </w:rPr>
        <w:t xml:space="preserve"> </w:t>
      </w:r>
      <w:r>
        <w:t>bancarias.</w:t>
      </w:r>
      <w:r>
        <w:rPr>
          <w:spacing w:val="-6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espera de la orden y todo antecedente que pueda aportar la víctima también se va a entregar al Ministerio Público”.</w:t>
      </w:r>
      <w:r>
        <w:rPr>
          <w:vertAlign w:val="superscript"/>
        </w:rPr>
        <w:t>1</w:t>
      </w:r>
    </w:p>
    <w:p w:rsidR="00C261AC" w:rsidRDefault="00C261AC">
      <w:pPr>
        <w:pStyle w:val="Textoindependiente"/>
        <w:spacing w:before="7"/>
        <w:rPr>
          <w:sz w:val="27"/>
        </w:rPr>
      </w:pPr>
    </w:p>
    <w:p w:rsidR="00C261AC" w:rsidRDefault="00515E72">
      <w:pPr>
        <w:pStyle w:val="Textoindependiente"/>
        <w:spacing w:line="276" w:lineRule="auto"/>
        <w:ind w:left="121" w:right="100"/>
        <w:jc w:val="both"/>
      </w:pPr>
      <w:r>
        <w:t>Vale recordar que, en la reforma al Código Procesal Penal, por ley n° LEY 20.253 que “Modifica el código penal y el código</w:t>
      </w:r>
      <w:r>
        <w:rPr>
          <w:spacing w:val="-4"/>
        </w:rPr>
        <w:t xml:space="preserve"> </w:t>
      </w:r>
      <w:r>
        <w:t>procesal</w:t>
      </w:r>
      <w:r>
        <w:rPr>
          <w:spacing w:val="-4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ciudadana,</w:t>
      </w:r>
      <w:r>
        <w:rPr>
          <w:spacing w:val="-4"/>
        </w:rPr>
        <w:t xml:space="preserve"> </w:t>
      </w:r>
      <w:r>
        <w:t>y refuerza las atribuciones preventivas de las policías”, se incorporó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 artículo 130, que consagra la mantención de la situación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flagrancia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período que se extiende hasta por doce horas. Es decir, se le constituyó como una norma complementaria de las reglas contenidas dentro del artículo 130, porque,</w:t>
      </w:r>
      <w:r>
        <w:t xml:space="preserve"> en definitiva, independientemente del tiempo transcurrido, no habrá flagrancia sin la concurrencia de los elementos materiales que exigen las hipótesis de ese mismo artículo.</w:t>
      </w:r>
    </w:p>
    <w:p w:rsidR="00C261AC" w:rsidRDefault="00C261AC">
      <w:pPr>
        <w:pStyle w:val="Textoindependiente"/>
        <w:spacing w:before="8"/>
        <w:rPr>
          <w:sz w:val="27"/>
        </w:rPr>
      </w:pPr>
    </w:p>
    <w:p w:rsidR="00C261AC" w:rsidRDefault="00515E72">
      <w:pPr>
        <w:pStyle w:val="Textoindependiente"/>
        <w:spacing w:line="276" w:lineRule="auto"/>
        <w:ind w:left="121" w:right="106"/>
        <w:jc w:val="both"/>
      </w:pPr>
      <w:r>
        <w:t xml:space="preserve">Pues bien, la experiencia, como la de </w:t>
      </w:r>
      <w:proofErr w:type="spellStart"/>
      <w:r>
        <w:t>Alika</w:t>
      </w:r>
      <w:proofErr w:type="spellEnd"/>
      <w:r>
        <w:t xml:space="preserve"> </w:t>
      </w:r>
      <w:proofErr w:type="spellStart"/>
      <w:r>
        <w:t>Rehakova</w:t>
      </w:r>
      <w:proofErr w:type="spellEnd"/>
      <w:r>
        <w:t>, nos hace reflexionar sobr</w:t>
      </w:r>
      <w:r>
        <w:t>e la necesidad de aumentarlo a 24 horas, desde la comisión del hecho.</w:t>
      </w:r>
    </w:p>
    <w:p w:rsidR="00C261AC" w:rsidRDefault="00C261AC">
      <w:pPr>
        <w:pStyle w:val="Textoindependiente"/>
        <w:spacing w:before="7"/>
        <w:rPr>
          <w:sz w:val="27"/>
        </w:rPr>
      </w:pPr>
    </w:p>
    <w:p w:rsidR="00C261AC" w:rsidRDefault="00515E72">
      <w:pPr>
        <w:pStyle w:val="Textoindependiente"/>
        <w:ind w:left="121"/>
        <w:jc w:val="both"/>
      </w:pPr>
      <w:r>
        <w:t>IDEA</w:t>
      </w:r>
      <w:r>
        <w:rPr>
          <w:spacing w:val="-8"/>
        </w:rPr>
        <w:t xml:space="preserve"> </w:t>
      </w:r>
      <w:r>
        <w:t>MATRIZ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PROYECTO</w:t>
      </w:r>
    </w:p>
    <w:p w:rsidR="00C261AC" w:rsidRDefault="00515E72">
      <w:pPr>
        <w:pStyle w:val="Textoindependiente"/>
        <w:spacing w:before="44" w:line="276" w:lineRule="auto"/>
        <w:ind w:left="121" w:right="102"/>
        <w:jc w:val="both"/>
      </w:pPr>
      <w:r>
        <w:t>Aumentar las horas transcurridas, entre la comisión del delito y el momento en que sea capturado el delincuente, hasta en 24 horas, de modo que, cumpliéndose, a</w:t>
      </w:r>
      <w:r>
        <w:t>demás, con todos los requisitos señalados en el Artículo 130 del Código Procesal Penal, se pueda proceder a su aprehensión, sin mediar orden judicial previa.</w:t>
      </w:r>
    </w:p>
    <w:p w:rsidR="00C261AC" w:rsidRDefault="00C261AC">
      <w:pPr>
        <w:pStyle w:val="Textoindependiente"/>
        <w:rPr>
          <w:sz w:val="20"/>
        </w:rPr>
      </w:pPr>
    </w:p>
    <w:p w:rsidR="00C261AC" w:rsidRDefault="00C261AC">
      <w:pPr>
        <w:pStyle w:val="Textoindependiente"/>
        <w:rPr>
          <w:sz w:val="20"/>
        </w:rPr>
      </w:pPr>
    </w:p>
    <w:p w:rsidR="00C261AC" w:rsidRDefault="00C261AC">
      <w:pPr>
        <w:pStyle w:val="Textoindependiente"/>
        <w:rPr>
          <w:sz w:val="20"/>
        </w:rPr>
      </w:pPr>
    </w:p>
    <w:p w:rsidR="00C261AC" w:rsidRDefault="00515E72">
      <w:pPr>
        <w:pStyle w:val="Textoindependiente"/>
        <w:spacing w:before="2"/>
        <w:rPr>
          <w:sz w:val="26"/>
        </w:rPr>
      </w:pPr>
      <w:r>
        <w:pict>
          <v:shape id="docshape1" o:spid="_x0000_s1026" style="position:absolute;margin-left:84.75pt;margin-top:17.2pt;width:2in;height:.1pt;z-index:-251658752;mso-wrap-distance-left:0;mso-wrap-distance-right:0;mso-position-horizontal-relative:page" coordorigin="1695,344" coordsize="2880,0" path="m1695,344r2880,e" filled="f">
            <v:path arrowok="t"/>
            <w10:wrap type="topAndBottom" anchorx="page"/>
          </v:shape>
        </w:pict>
      </w:r>
    </w:p>
    <w:p w:rsidR="00C261AC" w:rsidRDefault="00515E72">
      <w:pPr>
        <w:spacing w:before="99"/>
        <w:ind w:left="121"/>
        <w:rPr>
          <w:sz w:val="13"/>
        </w:rPr>
      </w:pPr>
      <w:r>
        <w:rPr>
          <w:w w:val="101"/>
          <w:sz w:val="13"/>
        </w:rPr>
        <w:t>1</w:t>
      </w:r>
    </w:p>
    <w:p w:rsidR="00C261AC" w:rsidRDefault="00C261AC">
      <w:pPr>
        <w:pStyle w:val="Textoindependiente"/>
        <w:rPr>
          <w:sz w:val="11"/>
        </w:rPr>
      </w:pPr>
    </w:p>
    <w:p w:rsidR="00C261AC" w:rsidRDefault="00515E72">
      <w:pPr>
        <w:spacing w:line="259" w:lineRule="auto"/>
        <w:ind w:left="121"/>
      </w:pPr>
      <w:r>
        <w:rPr>
          <w:spacing w:val="-2"/>
        </w:rPr>
        <w:t>https://noticias.bcn.cl/listado_aciertos?busqueda=encerrona&amp;submit=Buscar&amp;todaspalabras=&amp;f</w:t>
      </w:r>
      <w:r>
        <w:rPr>
          <w:spacing w:val="-2"/>
        </w:rPr>
        <w:t>ra seexacta=&amp;algunapalabra=&amp;sinpalabra=&amp;before=&amp;after=&amp;near=&amp;dnear=&amp;personal=&amp;medios=me dio_39%2Bmedio_84%2Bmedio_78%2Bmedio_82%2Bmedio_68%2Bmedio_87%2Bmedio_104%2 Bmedio_77%2Bmedio_57%2Bmedio_22%2Bmedio_287%2Bmedio_136%2Bcn&amp;mindate=14%2F09</w:t>
      </w:r>
    </w:p>
    <w:p w:rsidR="00C261AC" w:rsidRPr="00515E72" w:rsidRDefault="00515E72">
      <w:pPr>
        <w:spacing w:line="259" w:lineRule="auto"/>
        <w:ind w:left="121"/>
        <w:rPr>
          <w:lang w:val="en-US"/>
        </w:rPr>
      </w:pPr>
      <w:r w:rsidRPr="00515E72">
        <w:rPr>
          <w:spacing w:val="-2"/>
          <w:lang w:val="en-US"/>
        </w:rPr>
        <w:t>%2F2022&amp;maxdate</w:t>
      </w:r>
      <w:r w:rsidRPr="00515E72">
        <w:rPr>
          <w:spacing w:val="-2"/>
          <w:lang w:val="en-US"/>
        </w:rPr>
        <w:t>=18%2F10%2F2022&amp;pagina=1&amp;sort=Date%2BRelevance%2BDRETITLE%3Aalph abetical&amp;minrelevance=50&amp;restriccion=&amp;op_logicos=_%3B%3B%3B%3B%3B&amp;op_distancia=&amp;busq</w:t>
      </w:r>
    </w:p>
    <w:p w:rsidR="00C261AC" w:rsidRDefault="00515E72">
      <w:pPr>
        <w:spacing w:line="268" w:lineRule="exact"/>
        <w:ind w:left="121"/>
      </w:pPr>
      <w:r>
        <w:rPr>
          <w:spacing w:val="-2"/>
        </w:rPr>
        <w:t>_campo=&amp;parla=&amp;bancada=</w:t>
      </w:r>
    </w:p>
    <w:p w:rsidR="00C261AC" w:rsidRDefault="00C261AC">
      <w:pPr>
        <w:spacing w:line="268" w:lineRule="exact"/>
        <w:sectPr w:rsidR="00C261AC">
          <w:pgSz w:w="12240" w:h="15840"/>
          <w:pgMar w:top="1380" w:right="1600" w:bottom="280" w:left="1580" w:header="720" w:footer="720" w:gutter="0"/>
          <w:cols w:space="720"/>
        </w:sectPr>
      </w:pPr>
    </w:p>
    <w:p w:rsidR="00C261AC" w:rsidRDefault="00515E72">
      <w:pPr>
        <w:pStyle w:val="Textoindependiente"/>
        <w:spacing w:before="38"/>
        <w:ind w:left="3657" w:right="3637"/>
        <w:jc w:val="center"/>
      </w:pPr>
      <w:r>
        <w:lastRenderedPageBreak/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5"/>
        </w:rPr>
        <w:t>LEY</w:t>
      </w:r>
    </w:p>
    <w:p w:rsidR="00C261AC" w:rsidRDefault="00C261AC">
      <w:pPr>
        <w:pStyle w:val="Textoindependiente"/>
        <w:spacing w:before="2"/>
        <w:rPr>
          <w:sz w:val="31"/>
        </w:rPr>
      </w:pPr>
    </w:p>
    <w:p w:rsidR="00C261AC" w:rsidRDefault="00515E72">
      <w:pPr>
        <w:pStyle w:val="Textoindependiente"/>
        <w:spacing w:before="1" w:line="276" w:lineRule="auto"/>
        <w:ind w:left="121" w:right="100"/>
        <w:jc w:val="both"/>
      </w:pPr>
      <w:r>
        <w:t>Artículo único: sustitúyase el inciso final del artículo 130 del Código Procesal</w:t>
      </w:r>
      <w:r>
        <w:rPr>
          <w:spacing w:val="-4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C261AC" w:rsidRDefault="00515E72">
      <w:pPr>
        <w:pStyle w:val="Textoindependiente"/>
        <w:spacing w:line="276" w:lineRule="auto"/>
        <w:ind w:left="121" w:right="107"/>
        <w:jc w:val="both"/>
      </w:pPr>
      <w:r>
        <w:t xml:space="preserve">“Para los efectos de lo establecido en las letras d), e) y f) se entenderá por tiempo inmediato todo aquel que transcurra entre la comisión del hecho </w:t>
      </w:r>
      <w:r>
        <w:t>y la captura del imputado, siempre que no hubieren transcurrido más de veinticuatro horas.”</w:t>
      </w:r>
    </w:p>
    <w:p w:rsidR="00C261AC" w:rsidRDefault="00C261AC">
      <w:pPr>
        <w:pStyle w:val="Textoindependiente"/>
      </w:pPr>
    </w:p>
    <w:p w:rsidR="00C261AC" w:rsidRDefault="00C261AC">
      <w:pPr>
        <w:pStyle w:val="Textoindependiente"/>
      </w:pPr>
    </w:p>
    <w:p w:rsidR="00C261AC" w:rsidRDefault="00C261AC">
      <w:pPr>
        <w:pStyle w:val="Textoindependiente"/>
        <w:spacing w:before="3"/>
        <w:rPr>
          <w:sz w:val="20"/>
        </w:rPr>
      </w:pPr>
    </w:p>
    <w:p w:rsidR="00C261AC" w:rsidRDefault="00515E72">
      <w:pPr>
        <w:tabs>
          <w:tab w:val="left" w:pos="6043"/>
        </w:tabs>
        <w:ind w:left="121"/>
        <w:jc w:val="both"/>
        <w:rPr>
          <w:sz w:val="24"/>
        </w:rPr>
      </w:pPr>
      <w:r>
        <w:rPr>
          <w:spacing w:val="-2"/>
        </w:rPr>
        <w:t>Johannes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Kaiser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Barents</w:t>
      </w:r>
      <w:proofErr w:type="spellEnd"/>
      <w:r>
        <w:rPr>
          <w:spacing w:val="-2"/>
        </w:rPr>
        <w:t>-Von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Hohenhagen</w:t>
      </w:r>
      <w:proofErr w:type="spellEnd"/>
      <w:r>
        <w:tab/>
      </w:r>
      <w:r>
        <w:rPr>
          <w:sz w:val="24"/>
        </w:rPr>
        <w:t>Héctor</w:t>
      </w:r>
      <w:r>
        <w:rPr>
          <w:spacing w:val="-4"/>
          <w:sz w:val="24"/>
        </w:rPr>
        <w:t xml:space="preserve"> </w:t>
      </w:r>
      <w:r>
        <w:rPr>
          <w:sz w:val="24"/>
        </w:rPr>
        <w:t>Ulloa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Aguilera</w:t>
      </w:r>
    </w:p>
    <w:p w:rsidR="00C261AC" w:rsidRDefault="00C261AC">
      <w:pPr>
        <w:pStyle w:val="Textoindependiente"/>
        <w:rPr>
          <w:sz w:val="29"/>
        </w:rPr>
      </w:pPr>
    </w:p>
    <w:p w:rsidR="00C261AC" w:rsidRDefault="00515E72">
      <w:pPr>
        <w:tabs>
          <w:tab w:val="left" w:pos="5490"/>
        </w:tabs>
        <w:ind w:left="451"/>
        <w:rPr>
          <w:sz w:val="28"/>
        </w:rPr>
      </w:pPr>
      <w:r>
        <w:rPr>
          <w:sz w:val="28"/>
        </w:rPr>
        <w:t>H.</w:t>
      </w:r>
      <w:r>
        <w:rPr>
          <w:spacing w:val="-5"/>
          <w:sz w:val="28"/>
        </w:rPr>
        <w:t xml:space="preserve"> </w:t>
      </w:r>
      <w:r>
        <w:rPr>
          <w:sz w:val="28"/>
        </w:rPr>
        <w:t>Diputado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República</w:t>
      </w:r>
      <w:r>
        <w:rPr>
          <w:sz w:val="28"/>
        </w:rPr>
        <w:tab/>
        <w:t>H.</w:t>
      </w:r>
      <w:r>
        <w:rPr>
          <w:spacing w:val="-7"/>
          <w:sz w:val="28"/>
        </w:rPr>
        <w:t xml:space="preserve"> </w:t>
      </w:r>
      <w:r>
        <w:rPr>
          <w:sz w:val="28"/>
        </w:rPr>
        <w:t>Diputado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República</w:t>
      </w:r>
    </w:p>
    <w:sectPr w:rsidR="00C261AC">
      <w:pgSz w:w="12240" w:h="15840"/>
      <w:pgMar w:top="172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1AC"/>
    <w:rsid w:val="00515E72"/>
    <w:rsid w:val="00C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8536078A-01A9-413D-8378-1D6C36FF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aumento a 24 hrs de flagrancia.docx</dc:title>
  <dc:creator>Leonardo Lueiza Ureta</dc:creator>
  <cp:lastModifiedBy>Leonardo Lueiza Ureta</cp:lastModifiedBy>
  <cp:revision>1</cp:revision>
  <dcterms:created xsi:type="dcterms:W3CDTF">2022-10-19T18:56:00Z</dcterms:created>
  <dcterms:modified xsi:type="dcterms:W3CDTF">2022-10-26T17:44:00Z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