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AEA" w:rsidRDefault="00E301A5">
      <w:pPr>
        <w:pStyle w:val="Ttulo1"/>
        <w:spacing w:before="16" w:line="360" w:lineRule="auto"/>
        <w:ind w:right="308"/>
      </w:pPr>
      <w:bookmarkStart w:id="0" w:name="_GoBack"/>
      <w:bookmarkEnd w:id="0"/>
      <w:r>
        <w:t>PROYECTO</w:t>
      </w:r>
      <w:r>
        <w:rPr>
          <w:spacing w:val="-1"/>
        </w:rPr>
        <w:t xml:space="preserve"> </w:t>
      </w:r>
      <w:r>
        <w:t>DE</w:t>
      </w:r>
      <w:r>
        <w:rPr>
          <w:spacing w:val="-6"/>
        </w:rPr>
        <w:t xml:space="preserve"> </w:t>
      </w:r>
      <w:r>
        <w:t>LEY QUE</w:t>
      </w:r>
      <w:r>
        <w:rPr>
          <w:spacing w:val="-5"/>
        </w:rPr>
        <w:t xml:space="preserve"> </w:t>
      </w:r>
      <w:r>
        <w:t>MODIFICA</w:t>
      </w:r>
      <w:r>
        <w:rPr>
          <w:spacing w:val="-1"/>
        </w:rPr>
        <w:t xml:space="preserve"> </w:t>
      </w:r>
      <w:r>
        <w:t>LA</w:t>
      </w:r>
      <w:r>
        <w:rPr>
          <w:spacing w:val="40"/>
        </w:rPr>
        <w:t xml:space="preserve"> </w:t>
      </w:r>
      <w:r>
        <w:t>LEY</w:t>
      </w:r>
      <w:r>
        <w:rPr>
          <w:spacing w:val="-5"/>
        </w:rPr>
        <w:t xml:space="preserve"> </w:t>
      </w:r>
      <w:r>
        <w:t>DE MIGRACIÓN</w:t>
      </w:r>
      <w:r>
        <w:rPr>
          <w:spacing w:val="40"/>
        </w:rPr>
        <w:t xml:space="preserve"> </w:t>
      </w:r>
      <w:r>
        <w:t>Y EXTRANJERÍA PARA EFECTOS DE RESTRINGIR EL RECURSO ADMINISTRATIVO ESPECIAL CONSAGRO</w:t>
      </w:r>
      <w:r>
        <w:rPr>
          <w:spacing w:val="-3"/>
        </w:rPr>
        <w:t xml:space="preserve"> </w:t>
      </w:r>
      <w:r>
        <w:t>EN</w:t>
      </w:r>
      <w:r>
        <w:rPr>
          <w:spacing w:val="-4"/>
        </w:rPr>
        <w:t xml:space="preserve"> </w:t>
      </w:r>
      <w:r>
        <w:t>EL</w:t>
      </w:r>
      <w:r>
        <w:rPr>
          <w:spacing w:val="-2"/>
        </w:rPr>
        <w:t xml:space="preserve"> </w:t>
      </w:r>
      <w:r>
        <w:t>ARTICULO</w:t>
      </w:r>
      <w:r>
        <w:rPr>
          <w:spacing w:val="-2"/>
        </w:rPr>
        <w:t xml:space="preserve"> </w:t>
      </w:r>
      <w:r>
        <w:t>35,</w:t>
      </w:r>
      <w:r>
        <w:rPr>
          <w:spacing w:val="-4"/>
        </w:rPr>
        <w:t xml:space="preserve"> </w:t>
      </w:r>
      <w:r>
        <w:t>EN</w:t>
      </w:r>
      <w:r>
        <w:rPr>
          <w:spacing w:val="-4"/>
        </w:rPr>
        <w:t xml:space="preserve"> </w:t>
      </w:r>
      <w:r>
        <w:t>DETERMINADOS</w:t>
      </w:r>
      <w:r>
        <w:rPr>
          <w:spacing w:val="-5"/>
        </w:rPr>
        <w:t xml:space="preserve"> </w:t>
      </w:r>
      <w:r>
        <w:t>CASOS</w:t>
      </w:r>
      <w:r>
        <w:rPr>
          <w:spacing w:val="-1"/>
        </w:rPr>
        <w:t xml:space="preserve"> </w:t>
      </w:r>
      <w:r>
        <w:t>PREVISTOS</w:t>
      </w:r>
      <w:r>
        <w:rPr>
          <w:spacing w:val="-4"/>
        </w:rPr>
        <w:t xml:space="preserve"> </w:t>
      </w:r>
      <w:r>
        <w:t>EN EL ART. 32 QUE SE INDICAN. -</w:t>
      </w:r>
    </w:p>
    <w:p w:rsidR="00BA4AEA" w:rsidRDefault="00BA4AEA">
      <w:pPr>
        <w:pStyle w:val="Textoindependiente"/>
        <w:rPr>
          <w:b/>
        </w:rPr>
      </w:pPr>
    </w:p>
    <w:p w:rsidR="00BA4AEA" w:rsidRDefault="00BA4AEA">
      <w:pPr>
        <w:pStyle w:val="Textoindependiente"/>
        <w:spacing w:before="2"/>
        <w:rPr>
          <w:b/>
        </w:rPr>
      </w:pPr>
    </w:p>
    <w:p w:rsidR="00BA4AEA" w:rsidRDefault="00E301A5">
      <w:pPr>
        <w:ind w:left="102"/>
        <w:rPr>
          <w:b/>
          <w:sz w:val="28"/>
        </w:rPr>
      </w:pPr>
      <w:r>
        <w:rPr>
          <w:b/>
          <w:spacing w:val="-2"/>
          <w:sz w:val="28"/>
          <w:u w:val="single"/>
        </w:rPr>
        <w:t>FUNDAMENTOS</w:t>
      </w:r>
    </w:p>
    <w:p w:rsidR="00BA4AEA" w:rsidRDefault="00BA4AEA">
      <w:pPr>
        <w:pStyle w:val="Textoindependiente"/>
        <w:rPr>
          <w:b/>
          <w:sz w:val="20"/>
        </w:rPr>
      </w:pPr>
    </w:p>
    <w:p w:rsidR="00BA4AEA" w:rsidRDefault="00BA4AEA">
      <w:pPr>
        <w:pStyle w:val="Textoindependiente"/>
        <w:spacing w:before="4"/>
        <w:rPr>
          <w:b/>
          <w:sz w:val="24"/>
        </w:rPr>
      </w:pPr>
    </w:p>
    <w:p w:rsidR="00BA4AEA" w:rsidRDefault="00E301A5">
      <w:pPr>
        <w:pStyle w:val="Textoindependiente"/>
        <w:spacing w:before="44" w:line="360" w:lineRule="auto"/>
        <w:ind w:left="102" w:right="116"/>
        <w:jc w:val="both"/>
      </w:pPr>
      <w:r>
        <w:t>La Ley de Migración y Extranjería promulgada el 11 de abril de 2021 y publicada en el Diario Oficial el día 20 del mismo mes, vino a zanjar la difícil problemática que ha tenido Chile durante los últimos años producto de la inmigración ilegal.</w:t>
      </w:r>
    </w:p>
    <w:p w:rsidR="00BA4AEA" w:rsidRDefault="00E301A5">
      <w:pPr>
        <w:pStyle w:val="Textoindependiente"/>
        <w:spacing w:before="242" w:line="360" w:lineRule="auto"/>
        <w:ind w:left="102" w:right="115"/>
        <w:jc w:val="both"/>
      </w:pPr>
      <w:r>
        <w:t>Dentro de la</w:t>
      </w:r>
      <w:r>
        <w:t xml:space="preserve">s distintas disposiciones de la ley en las que se establecen un catálogo amplio de derechos de los cuales son titulares los inmigrantes en Chile, se establecen también en los artículos 32 y 33 </w:t>
      </w:r>
      <w:r>
        <w:rPr>
          <w:u w:val="single"/>
        </w:rPr>
        <w:t>prohibiciones</w:t>
      </w:r>
      <w:r>
        <w:t xml:space="preserve"> </w:t>
      </w:r>
      <w:proofErr w:type="gramStart"/>
      <w:r>
        <w:rPr>
          <w:u w:val="single"/>
        </w:rPr>
        <w:t>imperativas</w:t>
      </w:r>
      <w:proofErr w:type="gramEnd"/>
      <w:r>
        <w:t xml:space="preserve"> y facultativas de ingreso. Entre las </w:t>
      </w:r>
      <w:r>
        <w:t>primeras, vale decir las imperativas, se prohíbe el ingreso al país a los extranjeros que:</w:t>
      </w:r>
    </w:p>
    <w:p w:rsidR="00BA4AEA" w:rsidRDefault="00BA4AEA">
      <w:pPr>
        <w:pStyle w:val="Textoindependiente"/>
        <w:spacing w:before="11"/>
        <w:rPr>
          <w:sz w:val="22"/>
        </w:rPr>
      </w:pPr>
    </w:p>
    <w:p w:rsidR="00BA4AEA" w:rsidRDefault="00E301A5">
      <w:pPr>
        <w:pStyle w:val="Prrafodelista"/>
        <w:numPr>
          <w:ilvl w:val="0"/>
          <w:numId w:val="1"/>
        </w:numPr>
        <w:tabs>
          <w:tab w:val="left" w:pos="388"/>
        </w:tabs>
        <w:spacing w:before="1" w:line="360" w:lineRule="auto"/>
        <w:ind w:firstLine="0"/>
        <w:jc w:val="both"/>
        <w:rPr>
          <w:sz w:val="28"/>
        </w:rPr>
      </w:pPr>
      <w:r>
        <w:rPr>
          <w:sz w:val="28"/>
        </w:rPr>
        <w:t xml:space="preserve">Hayan sido </w:t>
      </w:r>
      <w:r>
        <w:rPr>
          <w:b/>
          <w:sz w:val="28"/>
        </w:rPr>
        <w:t xml:space="preserve">condenados, se encuentren procesados, imputados, acusados o perseguidos judicialmente </w:t>
      </w:r>
      <w:r>
        <w:rPr>
          <w:sz w:val="28"/>
        </w:rPr>
        <w:t>en el extranjero, por pertenecer o financiar a movimientos o grupos</w:t>
      </w:r>
      <w:r>
        <w:rPr>
          <w:sz w:val="28"/>
        </w:rPr>
        <w:t xml:space="preserve"> terroristas o se encuentren registrados en la Organización Internacional de Policía Criminal (INTERPOL), o la organización que la reemplace o suceda por cualquiera de los hechos señalados anteriormente. Esta prohibición también recaerá sobre aquellas pers</w:t>
      </w:r>
      <w:r>
        <w:rPr>
          <w:sz w:val="28"/>
        </w:rPr>
        <w:t>onas</w:t>
      </w:r>
      <w:r>
        <w:rPr>
          <w:spacing w:val="40"/>
          <w:sz w:val="28"/>
        </w:rPr>
        <w:t xml:space="preserve"> </w:t>
      </w:r>
      <w:r>
        <w:rPr>
          <w:sz w:val="28"/>
        </w:rPr>
        <w:t xml:space="preserve">que ejecuten o hayan ejecutado hechos que las leyes chilenas califiquen de delito contra la seguridad exterior, la soberanía nacional o la seguridad </w:t>
      </w:r>
      <w:r>
        <w:rPr>
          <w:spacing w:val="-2"/>
          <w:sz w:val="28"/>
        </w:rPr>
        <w:t>interior.</w:t>
      </w:r>
    </w:p>
    <w:p w:rsidR="00BA4AEA" w:rsidRDefault="00BA4AEA">
      <w:pPr>
        <w:pStyle w:val="Textoindependiente"/>
        <w:spacing w:before="1"/>
        <w:rPr>
          <w:sz w:val="23"/>
        </w:rPr>
      </w:pPr>
    </w:p>
    <w:p w:rsidR="00BA4AEA" w:rsidRDefault="00E301A5">
      <w:pPr>
        <w:pStyle w:val="Prrafodelista"/>
        <w:numPr>
          <w:ilvl w:val="0"/>
          <w:numId w:val="1"/>
        </w:numPr>
        <w:tabs>
          <w:tab w:val="left" w:pos="503"/>
        </w:tabs>
        <w:spacing w:before="1" w:line="360" w:lineRule="auto"/>
        <w:ind w:firstLine="0"/>
        <w:jc w:val="both"/>
        <w:rPr>
          <w:sz w:val="28"/>
        </w:rPr>
      </w:pPr>
      <w:r>
        <w:rPr>
          <w:b/>
          <w:sz w:val="28"/>
        </w:rPr>
        <w:t xml:space="preserve">Padezcan enfermedades </w:t>
      </w:r>
      <w:r>
        <w:rPr>
          <w:sz w:val="28"/>
        </w:rPr>
        <w:t>que la autoridad sanitaria determine que constituyan causal de impedi</w:t>
      </w:r>
      <w:r>
        <w:rPr>
          <w:sz w:val="28"/>
        </w:rPr>
        <w:t>mento de ingreso a Chile, conforme a las</w:t>
      </w:r>
      <w:r>
        <w:rPr>
          <w:spacing w:val="40"/>
          <w:sz w:val="28"/>
        </w:rPr>
        <w:t xml:space="preserve"> </w:t>
      </w:r>
      <w:r>
        <w:rPr>
          <w:sz w:val="28"/>
        </w:rPr>
        <w:t>normas establecidas en el Código Sanitario.</w:t>
      </w:r>
    </w:p>
    <w:p w:rsidR="00BA4AEA" w:rsidRDefault="00BA4AEA">
      <w:pPr>
        <w:pStyle w:val="Textoindependiente"/>
        <w:rPr>
          <w:sz w:val="23"/>
        </w:rPr>
      </w:pPr>
    </w:p>
    <w:p w:rsidR="00BA4AEA" w:rsidRDefault="00E301A5">
      <w:pPr>
        <w:pStyle w:val="Prrafodelista"/>
        <w:numPr>
          <w:ilvl w:val="0"/>
          <w:numId w:val="1"/>
        </w:numPr>
        <w:tabs>
          <w:tab w:val="left" w:pos="405"/>
        </w:tabs>
        <w:spacing w:line="360" w:lineRule="auto"/>
        <w:ind w:right="119" w:firstLine="0"/>
        <w:jc w:val="both"/>
        <w:rPr>
          <w:sz w:val="28"/>
        </w:rPr>
      </w:pPr>
      <w:r>
        <w:rPr>
          <w:b/>
          <w:sz w:val="28"/>
        </w:rPr>
        <w:t>Intenten ingresar o egresar del país, o hayan ingresado o egresado, por un</w:t>
      </w:r>
      <w:r>
        <w:rPr>
          <w:b/>
          <w:spacing w:val="75"/>
          <w:sz w:val="28"/>
        </w:rPr>
        <w:t xml:space="preserve"> </w:t>
      </w:r>
      <w:r>
        <w:rPr>
          <w:b/>
          <w:sz w:val="28"/>
        </w:rPr>
        <w:t>paso</w:t>
      </w:r>
      <w:r>
        <w:rPr>
          <w:b/>
          <w:spacing w:val="73"/>
          <w:sz w:val="28"/>
        </w:rPr>
        <w:t xml:space="preserve"> </w:t>
      </w:r>
      <w:r>
        <w:rPr>
          <w:b/>
          <w:sz w:val="28"/>
        </w:rPr>
        <w:t>no</w:t>
      </w:r>
      <w:r>
        <w:rPr>
          <w:b/>
          <w:spacing w:val="75"/>
          <w:sz w:val="28"/>
        </w:rPr>
        <w:t xml:space="preserve"> </w:t>
      </w:r>
      <w:r>
        <w:rPr>
          <w:b/>
          <w:sz w:val="28"/>
        </w:rPr>
        <w:t>habilitado</w:t>
      </w:r>
      <w:r>
        <w:rPr>
          <w:sz w:val="28"/>
        </w:rPr>
        <w:t>,</w:t>
      </w:r>
      <w:r>
        <w:rPr>
          <w:spacing w:val="74"/>
          <w:sz w:val="28"/>
        </w:rPr>
        <w:t xml:space="preserve"> </w:t>
      </w:r>
      <w:r>
        <w:rPr>
          <w:sz w:val="28"/>
        </w:rPr>
        <w:t>eludiendo</w:t>
      </w:r>
      <w:r>
        <w:rPr>
          <w:spacing w:val="75"/>
          <w:sz w:val="28"/>
        </w:rPr>
        <w:t xml:space="preserve"> </w:t>
      </w:r>
      <w:r>
        <w:rPr>
          <w:sz w:val="28"/>
        </w:rPr>
        <w:t>el</w:t>
      </w:r>
      <w:r>
        <w:rPr>
          <w:spacing w:val="74"/>
          <w:sz w:val="28"/>
        </w:rPr>
        <w:t xml:space="preserve"> </w:t>
      </w:r>
      <w:r>
        <w:rPr>
          <w:sz w:val="28"/>
        </w:rPr>
        <w:t>control</w:t>
      </w:r>
      <w:r>
        <w:rPr>
          <w:spacing w:val="74"/>
          <w:sz w:val="28"/>
        </w:rPr>
        <w:t xml:space="preserve"> </w:t>
      </w:r>
      <w:r>
        <w:rPr>
          <w:sz w:val="28"/>
        </w:rPr>
        <w:t>migratorio</w:t>
      </w:r>
      <w:r>
        <w:rPr>
          <w:spacing w:val="73"/>
          <w:sz w:val="28"/>
        </w:rPr>
        <w:t xml:space="preserve"> </w:t>
      </w:r>
      <w:r>
        <w:rPr>
          <w:sz w:val="28"/>
        </w:rPr>
        <w:t>o</w:t>
      </w:r>
      <w:r>
        <w:rPr>
          <w:spacing w:val="73"/>
          <w:sz w:val="28"/>
        </w:rPr>
        <w:t xml:space="preserve"> </w:t>
      </w:r>
      <w:r>
        <w:rPr>
          <w:sz w:val="28"/>
        </w:rPr>
        <w:t>valiéndose</w:t>
      </w:r>
      <w:r>
        <w:rPr>
          <w:spacing w:val="72"/>
          <w:sz w:val="28"/>
        </w:rPr>
        <w:t xml:space="preserve"> </w:t>
      </w:r>
      <w:r>
        <w:rPr>
          <w:sz w:val="28"/>
        </w:rPr>
        <w:t>de</w:t>
      </w:r>
    </w:p>
    <w:p w:rsidR="00BA4AEA" w:rsidRDefault="00BA4AEA">
      <w:pPr>
        <w:spacing w:line="360" w:lineRule="auto"/>
        <w:jc w:val="both"/>
        <w:rPr>
          <w:sz w:val="28"/>
        </w:rPr>
        <w:sectPr w:rsidR="00BA4AEA">
          <w:type w:val="continuous"/>
          <w:pgSz w:w="12240" w:h="20160"/>
          <w:pgMar w:top="1500" w:right="1580" w:bottom="280" w:left="1600" w:header="720" w:footer="720" w:gutter="0"/>
          <w:cols w:space="720"/>
        </w:sectPr>
      </w:pPr>
    </w:p>
    <w:p w:rsidR="00BA4AEA" w:rsidRDefault="00E301A5">
      <w:pPr>
        <w:pStyle w:val="Textoindependiente"/>
        <w:spacing w:before="18" w:line="360" w:lineRule="auto"/>
        <w:ind w:left="102"/>
      </w:pPr>
      <w:proofErr w:type="gramStart"/>
      <w:r>
        <w:lastRenderedPageBreak/>
        <w:t>documentos</w:t>
      </w:r>
      <w:proofErr w:type="gramEnd"/>
      <w:r>
        <w:t xml:space="preserve"> falsificados, adulterados o expedidos a nombre de otra persona, en los cinco años anteriores.</w:t>
      </w:r>
    </w:p>
    <w:p w:rsidR="00BA4AEA" w:rsidRDefault="00BA4AEA">
      <w:pPr>
        <w:pStyle w:val="Textoindependiente"/>
        <w:rPr>
          <w:sz w:val="23"/>
        </w:rPr>
      </w:pPr>
    </w:p>
    <w:p w:rsidR="00BA4AEA" w:rsidRDefault="00E301A5">
      <w:pPr>
        <w:pStyle w:val="Prrafodelista"/>
        <w:numPr>
          <w:ilvl w:val="0"/>
          <w:numId w:val="1"/>
        </w:numPr>
        <w:tabs>
          <w:tab w:val="left" w:pos="402"/>
        </w:tabs>
        <w:spacing w:line="360" w:lineRule="auto"/>
        <w:ind w:right="115" w:firstLine="0"/>
        <w:jc w:val="both"/>
        <w:rPr>
          <w:sz w:val="28"/>
        </w:rPr>
      </w:pPr>
      <w:r>
        <w:rPr>
          <w:sz w:val="28"/>
        </w:rPr>
        <w:t xml:space="preserve">Tengan registrada una </w:t>
      </w:r>
      <w:r>
        <w:rPr>
          <w:b/>
          <w:sz w:val="28"/>
        </w:rPr>
        <w:t>resolución de prohibición de ingreso o una orden de abandono o expulsión firme y ejecutoriada</w:t>
      </w:r>
      <w:r>
        <w:rPr>
          <w:sz w:val="28"/>
        </w:rPr>
        <w:t>, y que se encuentre vigente, ya se</w:t>
      </w:r>
      <w:r>
        <w:rPr>
          <w:sz w:val="28"/>
        </w:rPr>
        <w:t>a de origen administrativo o judicial, mientras no se revoque o caduque la medida.</w:t>
      </w:r>
    </w:p>
    <w:p w:rsidR="00BA4AEA" w:rsidRDefault="00BA4AEA">
      <w:pPr>
        <w:pStyle w:val="Textoindependiente"/>
        <w:spacing w:before="11"/>
        <w:rPr>
          <w:sz w:val="22"/>
        </w:rPr>
      </w:pPr>
    </w:p>
    <w:p w:rsidR="00BA4AEA" w:rsidRDefault="00E301A5">
      <w:pPr>
        <w:pStyle w:val="Prrafodelista"/>
        <w:numPr>
          <w:ilvl w:val="0"/>
          <w:numId w:val="1"/>
        </w:numPr>
        <w:tabs>
          <w:tab w:val="left" w:pos="410"/>
        </w:tabs>
        <w:spacing w:line="360" w:lineRule="auto"/>
        <w:ind w:firstLine="0"/>
        <w:jc w:val="both"/>
        <w:rPr>
          <w:sz w:val="28"/>
        </w:rPr>
      </w:pPr>
      <w:r>
        <w:rPr>
          <w:sz w:val="28"/>
        </w:rPr>
        <w:t xml:space="preserve">Hayan sido </w:t>
      </w:r>
      <w:r>
        <w:rPr>
          <w:b/>
          <w:sz w:val="28"/>
        </w:rPr>
        <w:t>condenados en Chile o en el extranjero</w:t>
      </w:r>
      <w:r>
        <w:rPr>
          <w:sz w:val="28"/>
        </w:rPr>
        <w:t>, o se encuentren en procesos judiciales pendientes en el extranjero informados por la Organización Internacional de Policí</w:t>
      </w:r>
      <w:r>
        <w:rPr>
          <w:sz w:val="28"/>
        </w:rPr>
        <w:t>a Criminal (INTERPOL) o por los organismos de justicia con que Chile tiene convenios, por los delitos de</w:t>
      </w:r>
      <w:r>
        <w:rPr>
          <w:spacing w:val="40"/>
          <w:sz w:val="28"/>
        </w:rPr>
        <w:t xml:space="preserve"> </w:t>
      </w:r>
      <w:r>
        <w:rPr>
          <w:sz w:val="28"/>
        </w:rPr>
        <w:t>tráfico ilícito de estupefacientes o de armas, lavado de activos, tráfico ilícito de migrantes o trata de personas, trata de personas según lo dispuest</w:t>
      </w:r>
      <w:r>
        <w:rPr>
          <w:sz w:val="28"/>
        </w:rPr>
        <w:t xml:space="preserve">o en el artículo 411 </w:t>
      </w:r>
      <w:proofErr w:type="spellStart"/>
      <w:r>
        <w:rPr>
          <w:sz w:val="28"/>
        </w:rPr>
        <w:t>quáter</w:t>
      </w:r>
      <w:proofErr w:type="spellEnd"/>
      <w:r>
        <w:rPr>
          <w:sz w:val="28"/>
        </w:rPr>
        <w:t xml:space="preserve"> inciso segundo del Código Penal, lesa humanidad, genocidio, tortura, terrorismo, homicidio, </w:t>
      </w:r>
      <w:proofErr w:type="spellStart"/>
      <w:r>
        <w:rPr>
          <w:sz w:val="28"/>
        </w:rPr>
        <w:t>femicidio</w:t>
      </w:r>
      <w:proofErr w:type="spellEnd"/>
      <w:r>
        <w:rPr>
          <w:sz w:val="28"/>
        </w:rPr>
        <w:t>, parricidio, infanticidio, secuestro, sustracción o secuestro de menores considerando lo prescrito en el artículo 141 inciso q</w:t>
      </w:r>
      <w:r>
        <w:rPr>
          <w:sz w:val="28"/>
        </w:rPr>
        <w:t>uinto e inciso final del Código Penal, robo con intimidación o violencia, robo con homicidio y robo con violación; la comercialización, producción, importación, exportación, distribución, difusión, adquisición, almacenamiento o exhibición de material porno</w:t>
      </w:r>
      <w:r>
        <w:rPr>
          <w:sz w:val="28"/>
        </w:rPr>
        <w:t>gráfico, cualquiera sea su soporte, donde se utilice menores de edad; aquellos contemplados en los párrafos V y VI del Título séptimo y en los artículos 395, 396 y 397 numeral 1º, todos del Libro II del Código Penal.</w:t>
      </w:r>
    </w:p>
    <w:p w:rsidR="00BA4AEA" w:rsidRDefault="00BA4AEA">
      <w:pPr>
        <w:pStyle w:val="Textoindependiente"/>
        <w:spacing w:before="1"/>
        <w:rPr>
          <w:sz w:val="23"/>
        </w:rPr>
      </w:pPr>
    </w:p>
    <w:p w:rsidR="00BA4AEA" w:rsidRDefault="00E301A5">
      <w:pPr>
        <w:pStyle w:val="Prrafodelista"/>
        <w:numPr>
          <w:ilvl w:val="0"/>
          <w:numId w:val="1"/>
        </w:numPr>
        <w:tabs>
          <w:tab w:val="left" w:pos="386"/>
        </w:tabs>
        <w:spacing w:line="360" w:lineRule="auto"/>
        <w:ind w:right="116" w:firstLine="0"/>
        <w:jc w:val="both"/>
        <w:rPr>
          <w:sz w:val="28"/>
        </w:rPr>
      </w:pPr>
      <w:r>
        <w:rPr>
          <w:sz w:val="28"/>
        </w:rPr>
        <w:t xml:space="preserve">Hayan sido </w:t>
      </w:r>
      <w:r>
        <w:rPr>
          <w:b/>
          <w:sz w:val="28"/>
        </w:rPr>
        <w:t>condenados en Chile por cri</w:t>
      </w:r>
      <w:r>
        <w:rPr>
          <w:b/>
          <w:sz w:val="28"/>
        </w:rPr>
        <w:t>men o simple delito</w:t>
      </w:r>
      <w:r>
        <w:rPr>
          <w:sz w:val="28"/>
        </w:rPr>
        <w:t>, cuya pena no esté prescrita, o no haya sido efectivamente cumplida, con excepción de aquellos casos en que deban reingresar al país para efectos de dar cumplimiento a la condena.</w:t>
      </w:r>
    </w:p>
    <w:p w:rsidR="00BA4AEA" w:rsidRDefault="00BA4AEA">
      <w:pPr>
        <w:pStyle w:val="Textoindependiente"/>
        <w:spacing w:before="11"/>
        <w:rPr>
          <w:sz w:val="22"/>
        </w:rPr>
      </w:pPr>
    </w:p>
    <w:p w:rsidR="00BA4AEA" w:rsidRDefault="00E301A5">
      <w:pPr>
        <w:pStyle w:val="Prrafodelista"/>
        <w:numPr>
          <w:ilvl w:val="0"/>
          <w:numId w:val="1"/>
        </w:numPr>
        <w:tabs>
          <w:tab w:val="left" w:pos="391"/>
        </w:tabs>
        <w:spacing w:before="1"/>
        <w:ind w:left="390" w:right="0" w:hanging="289"/>
        <w:jc w:val="both"/>
        <w:rPr>
          <w:b/>
          <w:sz w:val="28"/>
        </w:rPr>
      </w:pPr>
      <w:r>
        <w:rPr>
          <w:sz w:val="28"/>
        </w:rPr>
        <w:t>Hayan</w:t>
      </w:r>
      <w:r>
        <w:rPr>
          <w:spacing w:val="5"/>
          <w:sz w:val="28"/>
        </w:rPr>
        <w:t xml:space="preserve"> </w:t>
      </w:r>
      <w:r>
        <w:rPr>
          <w:sz w:val="28"/>
        </w:rPr>
        <w:t>sido</w:t>
      </w:r>
      <w:r>
        <w:rPr>
          <w:spacing w:val="7"/>
          <w:sz w:val="28"/>
        </w:rPr>
        <w:t xml:space="preserve"> </w:t>
      </w:r>
      <w:r>
        <w:rPr>
          <w:sz w:val="28"/>
        </w:rPr>
        <w:t>sancionados</w:t>
      </w:r>
      <w:r>
        <w:rPr>
          <w:spacing w:val="8"/>
          <w:sz w:val="28"/>
        </w:rPr>
        <w:t xml:space="preserve"> </w:t>
      </w:r>
      <w:r>
        <w:rPr>
          <w:sz w:val="28"/>
        </w:rPr>
        <w:t>con</w:t>
      </w:r>
      <w:r>
        <w:rPr>
          <w:spacing w:val="7"/>
          <w:sz w:val="28"/>
        </w:rPr>
        <w:t xml:space="preserve"> </w:t>
      </w:r>
      <w:r>
        <w:rPr>
          <w:sz w:val="28"/>
        </w:rPr>
        <w:t>medidas</w:t>
      </w:r>
      <w:r>
        <w:rPr>
          <w:spacing w:val="8"/>
          <w:sz w:val="28"/>
        </w:rPr>
        <w:t xml:space="preserve"> </w:t>
      </w:r>
      <w:r>
        <w:rPr>
          <w:sz w:val="28"/>
        </w:rPr>
        <w:t>de</w:t>
      </w:r>
      <w:r>
        <w:rPr>
          <w:spacing w:val="11"/>
          <w:sz w:val="28"/>
        </w:rPr>
        <w:t xml:space="preserve"> </w:t>
      </w:r>
      <w:r>
        <w:rPr>
          <w:b/>
          <w:sz w:val="28"/>
        </w:rPr>
        <w:t>prohibición</w:t>
      </w:r>
      <w:r>
        <w:rPr>
          <w:b/>
          <w:spacing w:val="7"/>
          <w:sz w:val="28"/>
        </w:rPr>
        <w:t xml:space="preserve"> </w:t>
      </w:r>
      <w:r>
        <w:rPr>
          <w:b/>
          <w:sz w:val="28"/>
        </w:rPr>
        <w:t>de</w:t>
      </w:r>
      <w:r>
        <w:rPr>
          <w:b/>
          <w:spacing w:val="8"/>
          <w:sz w:val="28"/>
        </w:rPr>
        <w:t xml:space="preserve"> </w:t>
      </w:r>
      <w:r>
        <w:rPr>
          <w:b/>
          <w:sz w:val="28"/>
        </w:rPr>
        <w:t>ingreso</w:t>
      </w:r>
      <w:r>
        <w:rPr>
          <w:b/>
          <w:spacing w:val="7"/>
          <w:sz w:val="28"/>
        </w:rPr>
        <w:t xml:space="preserve"> </w:t>
      </w:r>
      <w:r>
        <w:rPr>
          <w:b/>
          <w:sz w:val="28"/>
        </w:rPr>
        <w:t>o</w:t>
      </w:r>
      <w:r>
        <w:rPr>
          <w:b/>
          <w:spacing w:val="8"/>
          <w:sz w:val="28"/>
        </w:rPr>
        <w:t xml:space="preserve"> </w:t>
      </w:r>
      <w:r>
        <w:rPr>
          <w:b/>
          <w:spacing w:val="-2"/>
          <w:sz w:val="28"/>
        </w:rPr>
        <w:t>tránsito</w:t>
      </w:r>
    </w:p>
    <w:p w:rsidR="00BA4AEA" w:rsidRDefault="00E301A5">
      <w:pPr>
        <w:pStyle w:val="Textoindependiente"/>
        <w:spacing w:before="169"/>
        <w:ind w:left="102"/>
      </w:pPr>
      <w:proofErr w:type="gramStart"/>
      <w:r>
        <w:t>mediante</w:t>
      </w:r>
      <w:proofErr w:type="gramEnd"/>
      <w:r>
        <w:rPr>
          <w:spacing w:val="-10"/>
        </w:rPr>
        <w:t xml:space="preserve"> </w:t>
      </w:r>
      <w:r>
        <w:t>una</w:t>
      </w:r>
      <w:r>
        <w:rPr>
          <w:spacing w:val="-3"/>
        </w:rPr>
        <w:t xml:space="preserve"> </w:t>
      </w:r>
      <w:r>
        <w:t>resolución</w:t>
      </w:r>
      <w:r>
        <w:rPr>
          <w:spacing w:val="-2"/>
        </w:rPr>
        <w:t xml:space="preserve"> </w:t>
      </w:r>
      <w:r>
        <w:t>del</w:t>
      </w:r>
      <w:r>
        <w:rPr>
          <w:spacing w:val="-4"/>
        </w:rPr>
        <w:t xml:space="preserve"> </w:t>
      </w:r>
      <w:r>
        <w:t>Consejo</w:t>
      </w:r>
      <w:r>
        <w:rPr>
          <w:spacing w:val="-3"/>
        </w:rPr>
        <w:t xml:space="preserve"> </w:t>
      </w:r>
      <w:r>
        <w:t>de</w:t>
      </w:r>
      <w:r>
        <w:rPr>
          <w:spacing w:val="-4"/>
        </w:rPr>
        <w:t xml:space="preserve"> </w:t>
      </w:r>
      <w:r>
        <w:t>Seguridad</w:t>
      </w:r>
      <w:r>
        <w:rPr>
          <w:spacing w:val="-3"/>
        </w:rPr>
        <w:t xml:space="preserve"> </w:t>
      </w:r>
      <w:r>
        <w:t>de</w:t>
      </w:r>
      <w:r>
        <w:rPr>
          <w:spacing w:val="-4"/>
        </w:rPr>
        <w:t xml:space="preserve"> </w:t>
      </w:r>
      <w:r>
        <w:t>las</w:t>
      </w:r>
      <w:r>
        <w:rPr>
          <w:spacing w:val="-5"/>
        </w:rPr>
        <w:t xml:space="preserve"> </w:t>
      </w:r>
      <w:r>
        <w:t>Naciones</w:t>
      </w:r>
      <w:r>
        <w:rPr>
          <w:spacing w:val="-3"/>
        </w:rPr>
        <w:t xml:space="preserve"> </w:t>
      </w:r>
      <w:r>
        <w:rPr>
          <w:spacing w:val="-2"/>
        </w:rPr>
        <w:t>Unidas.</w:t>
      </w:r>
    </w:p>
    <w:p w:rsidR="00BA4AEA" w:rsidRDefault="00BA4AEA">
      <w:pPr>
        <w:sectPr w:rsidR="00BA4AEA">
          <w:pgSz w:w="12240" w:h="20160"/>
          <w:pgMar w:top="1400" w:right="1580" w:bottom="280" w:left="1600" w:header="720" w:footer="720" w:gutter="0"/>
          <w:cols w:space="720"/>
        </w:sectPr>
      </w:pPr>
    </w:p>
    <w:p w:rsidR="00BA4AEA" w:rsidRDefault="00E301A5">
      <w:pPr>
        <w:pStyle w:val="Prrafodelista"/>
        <w:numPr>
          <w:ilvl w:val="0"/>
          <w:numId w:val="1"/>
        </w:numPr>
        <w:tabs>
          <w:tab w:val="left" w:pos="462"/>
        </w:tabs>
        <w:spacing w:before="18" w:line="360" w:lineRule="auto"/>
        <w:ind w:right="116" w:firstLine="0"/>
        <w:rPr>
          <w:sz w:val="28"/>
        </w:rPr>
      </w:pPr>
      <w:r>
        <w:rPr>
          <w:b/>
          <w:sz w:val="28"/>
        </w:rPr>
        <w:lastRenderedPageBreak/>
        <w:t>No</w:t>
      </w:r>
      <w:r>
        <w:rPr>
          <w:b/>
          <w:spacing w:val="80"/>
          <w:sz w:val="28"/>
        </w:rPr>
        <w:t xml:space="preserve"> </w:t>
      </w:r>
      <w:r>
        <w:rPr>
          <w:b/>
          <w:sz w:val="28"/>
        </w:rPr>
        <w:t>cumplan</w:t>
      </w:r>
      <w:r>
        <w:rPr>
          <w:b/>
          <w:spacing w:val="80"/>
          <w:sz w:val="28"/>
        </w:rPr>
        <w:t xml:space="preserve"> </w:t>
      </w:r>
      <w:r>
        <w:rPr>
          <w:b/>
          <w:sz w:val="28"/>
        </w:rPr>
        <w:t>los</w:t>
      </w:r>
      <w:r>
        <w:rPr>
          <w:b/>
          <w:spacing w:val="78"/>
          <w:sz w:val="28"/>
        </w:rPr>
        <w:t xml:space="preserve"> </w:t>
      </w:r>
      <w:r>
        <w:rPr>
          <w:b/>
          <w:sz w:val="28"/>
        </w:rPr>
        <w:t>requisitos</w:t>
      </w:r>
      <w:r>
        <w:rPr>
          <w:b/>
          <w:spacing w:val="80"/>
          <w:sz w:val="28"/>
        </w:rPr>
        <w:t xml:space="preserve"> </w:t>
      </w:r>
      <w:r>
        <w:rPr>
          <w:b/>
          <w:sz w:val="28"/>
        </w:rPr>
        <w:t>de</w:t>
      </w:r>
      <w:r>
        <w:rPr>
          <w:b/>
          <w:spacing w:val="80"/>
          <w:sz w:val="28"/>
        </w:rPr>
        <w:t xml:space="preserve"> </w:t>
      </w:r>
      <w:r>
        <w:rPr>
          <w:b/>
          <w:sz w:val="28"/>
        </w:rPr>
        <w:t>ingreso</w:t>
      </w:r>
      <w:r>
        <w:rPr>
          <w:b/>
          <w:spacing w:val="80"/>
          <w:sz w:val="28"/>
        </w:rPr>
        <w:t xml:space="preserve"> </w:t>
      </w:r>
      <w:r>
        <w:rPr>
          <w:sz w:val="28"/>
        </w:rPr>
        <w:t>establecidos</w:t>
      </w:r>
      <w:r>
        <w:rPr>
          <w:spacing w:val="80"/>
          <w:sz w:val="28"/>
        </w:rPr>
        <w:t xml:space="preserve"> </w:t>
      </w:r>
      <w:r>
        <w:rPr>
          <w:sz w:val="28"/>
        </w:rPr>
        <w:t>en</w:t>
      </w:r>
      <w:r>
        <w:rPr>
          <w:spacing w:val="78"/>
          <w:sz w:val="28"/>
        </w:rPr>
        <w:t xml:space="preserve"> </w:t>
      </w:r>
      <w:r>
        <w:rPr>
          <w:sz w:val="28"/>
        </w:rPr>
        <w:t>esta</w:t>
      </w:r>
      <w:r>
        <w:rPr>
          <w:spacing w:val="80"/>
          <w:sz w:val="28"/>
        </w:rPr>
        <w:t xml:space="preserve"> </w:t>
      </w:r>
      <w:r>
        <w:rPr>
          <w:sz w:val="28"/>
        </w:rPr>
        <w:t>ley</w:t>
      </w:r>
      <w:r>
        <w:rPr>
          <w:spacing w:val="80"/>
          <w:sz w:val="28"/>
        </w:rPr>
        <w:t xml:space="preserve"> </w:t>
      </w:r>
      <w:r>
        <w:rPr>
          <w:sz w:val="28"/>
        </w:rPr>
        <w:t>y</w:t>
      </w:r>
      <w:r>
        <w:rPr>
          <w:spacing w:val="80"/>
          <w:sz w:val="28"/>
        </w:rPr>
        <w:t xml:space="preserve"> </w:t>
      </w:r>
      <w:r>
        <w:rPr>
          <w:sz w:val="28"/>
        </w:rPr>
        <w:t>su reglamento y en los decretos respectivos que fijan las categorías migratorias.</w:t>
      </w:r>
    </w:p>
    <w:p w:rsidR="00BA4AEA" w:rsidRDefault="00BA4AEA">
      <w:pPr>
        <w:pStyle w:val="Textoindependiente"/>
        <w:rPr>
          <w:sz w:val="23"/>
        </w:rPr>
      </w:pPr>
    </w:p>
    <w:p w:rsidR="00BA4AEA" w:rsidRDefault="00E301A5">
      <w:pPr>
        <w:pStyle w:val="Prrafodelista"/>
        <w:numPr>
          <w:ilvl w:val="0"/>
          <w:numId w:val="1"/>
        </w:numPr>
        <w:tabs>
          <w:tab w:val="left" w:pos="383"/>
        </w:tabs>
        <w:spacing w:line="360" w:lineRule="auto"/>
        <w:ind w:right="114" w:firstLine="0"/>
        <w:rPr>
          <w:sz w:val="28"/>
        </w:rPr>
      </w:pPr>
      <w:r>
        <w:rPr>
          <w:sz w:val="28"/>
        </w:rPr>
        <w:t>Hubieren</w:t>
      </w:r>
      <w:r>
        <w:rPr>
          <w:spacing w:val="-1"/>
          <w:sz w:val="28"/>
        </w:rPr>
        <w:t xml:space="preserve"> </w:t>
      </w:r>
      <w:r>
        <w:rPr>
          <w:b/>
          <w:sz w:val="28"/>
        </w:rPr>
        <w:t>contravenido</w:t>
      </w:r>
      <w:r>
        <w:rPr>
          <w:b/>
          <w:spacing w:val="-3"/>
          <w:sz w:val="28"/>
        </w:rPr>
        <w:t xml:space="preserve"> </w:t>
      </w:r>
      <w:r>
        <w:rPr>
          <w:b/>
          <w:sz w:val="28"/>
        </w:rPr>
        <w:t>normas</w:t>
      </w:r>
      <w:r>
        <w:rPr>
          <w:b/>
          <w:spacing w:val="-2"/>
          <w:sz w:val="28"/>
        </w:rPr>
        <w:t xml:space="preserve"> </w:t>
      </w:r>
      <w:r>
        <w:rPr>
          <w:b/>
          <w:sz w:val="28"/>
        </w:rPr>
        <w:t>fundamentales</w:t>
      </w:r>
      <w:r>
        <w:rPr>
          <w:b/>
          <w:spacing w:val="-2"/>
          <w:sz w:val="28"/>
        </w:rPr>
        <w:t xml:space="preserve"> </w:t>
      </w:r>
      <w:r>
        <w:rPr>
          <w:b/>
          <w:sz w:val="28"/>
        </w:rPr>
        <w:t>del</w:t>
      </w:r>
      <w:r>
        <w:rPr>
          <w:b/>
          <w:spacing w:val="-3"/>
          <w:sz w:val="28"/>
        </w:rPr>
        <w:t xml:space="preserve"> </w:t>
      </w:r>
      <w:r>
        <w:rPr>
          <w:b/>
          <w:sz w:val="28"/>
        </w:rPr>
        <w:t>derecho</w:t>
      </w:r>
      <w:r>
        <w:rPr>
          <w:b/>
          <w:spacing w:val="-2"/>
          <w:sz w:val="28"/>
        </w:rPr>
        <w:t xml:space="preserve"> </w:t>
      </w:r>
      <w:r>
        <w:rPr>
          <w:b/>
          <w:sz w:val="28"/>
        </w:rPr>
        <w:t>internacional</w:t>
      </w:r>
      <w:r>
        <w:rPr>
          <w:sz w:val="28"/>
        </w:rPr>
        <w:t>, o estén procesados o condenados por el Tribunal Penal Internacional.</w:t>
      </w:r>
    </w:p>
    <w:p w:rsidR="00BA4AEA" w:rsidRDefault="00BA4AEA">
      <w:pPr>
        <w:pStyle w:val="Textoindependiente"/>
        <w:spacing w:before="11"/>
        <w:rPr>
          <w:sz w:val="22"/>
        </w:rPr>
      </w:pPr>
    </w:p>
    <w:p w:rsidR="00BA4AEA" w:rsidRDefault="00E301A5">
      <w:pPr>
        <w:pStyle w:val="Textoindependiente"/>
        <w:spacing w:line="360" w:lineRule="auto"/>
        <w:ind w:left="282" w:right="295"/>
        <w:jc w:val="both"/>
      </w:pPr>
      <w:r>
        <w:t xml:space="preserve">Como se puede apreciar, todas las prohibiciones antes mencionadas fueron establecidas en resguardo del orden público y la seguridad de las personas, mediante la prohibición objetiva establecida en la propia ley, impidiendo en forma categórica e imperativa </w:t>
      </w:r>
      <w:r>
        <w:t>el ingreso por causales que atentan gravemente contra leyes o tratados internacionales relativos a la pertenencia o financiamiento a movimientos o grupos terroristas, o personas que se encuentren registrados en la Organización Internacional de</w:t>
      </w:r>
      <w:r>
        <w:rPr>
          <w:spacing w:val="-4"/>
        </w:rPr>
        <w:t xml:space="preserve"> </w:t>
      </w:r>
      <w:r>
        <w:t>Policía</w:t>
      </w:r>
      <w:r>
        <w:rPr>
          <w:spacing w:val="-3"/>
        </w:rPr>
        <w:t xml:space="preserve"> </w:t>
      </w:r>
      <w:r>
        <w:t>Crim</w:t>
      </w:r>
      <w:r>
        <w:t>inal</w:t>
      </w:r>
      <w:r>
        <w:rPr>
          <w:spacing w:val="-3"/>
        </w:rPr>
        <w:t xml:space="preserve"> </w:t>
      </w:r>
      <w:r>
        <w:t>(INTERPOL),</w:t>
      </w:r>
      <w:r>
        <w:rPr>
          <w:spacing w:val="-4"/>
        </w:rPr>
        <w:t xml:space="preserve"> </w:t>
      </w:r>
      <w:r>
        <w:t>o</w:t>
      </w:r>
      <w:r>
        <w:rPr>
          <w:spacing w:val="-3"/>
        </w:rPr>
        <w:t xml:space="preserve"> </w:t>
      </w:r>
      <w:r>
        <w:t>respecto</w:t>
      </w:r>
      <w:r>
        <w:rPr>
          <w:spacing w:val="-3"/>
        </w:rPr>
        <w:t xml:space="preserve"> </w:t>
      </w:r>
      <w:r>
        <w:t>de</w:t>
      </w:r>
      <w:r>
        <w:rPr>
          <w:spacing w:val="-4"/>
        </w:rPr>
        <w:t xml:space="preserve"> </w:t>
      </w:r>
      <w:r>
        <w:t>delitos</w:t>
      </w:r>
      <w:r>
        <w:rPr>
          <w:spacing w:val="-2"/>
        </w:rPr>
        <w:t xml:space="preserve"> </w:t>
      </w:r>
      <w:r>
        <w:t>que</w:t>
      </w:r>
      <w:r>
        <w:rPr>
          <w:spacing w:val="-4"/>
        </w:rPr>
        <w:t xml:space="preserve"> </w:t>
      </w:r>
      <w:r>
        <w:t>las</w:t>
      </w:r>
      <w:r>
        <w:rPr>
          <w:spacing w:val="-2"/>
        </w:rPr>
        <w:t xml:space="preserve"> </w:t>
      </w:r>
      <w:r>
        <w:t>leyes</w:t>
      </w:r>
      <w:r>
        <w:rPr>
          <w:spacing w:val="-2"/>
        </w:rPr>
        <w:t xml:space="preserve"> </w:t>
      </w:r>
      <w:r>
        <w:t>chilenas hayan calificado de delito contra la seguridad exterior, la soberanía nacional o la seguridad interior.</w:t>
      </w:r>
    </w:p>
    <w:p w:rsidR="00BA4AEA" w:rsidRDefault="00BA4AEA">
      <w:pPr>
        <w:pStyle w:val="Textoindependiente"/>
      </w:pPr>
    </w:p>
    <w:p w:rsidR="00BA4AEA" w:rsidRDefault="00E301A5">
      <w:pPr>
        <w:pStyle w:val="Textoindependiente"/>
        <w:spacing w:before="172" w:line="360" w:lineRule="auto"/>
        <w:ind w:left="102" w:right="124"/>
        <w:jc w:val="both"/>
      </w:pPr>
      <w:r>
        <w:t>Sin embargo, el artículo 35 que crea un procedimiento de reclamación administrativa espec</w:t>
      </w:r>
      <w:r>
        <w:t>ial señala que:</w:t>
      </w:r>
    </w:p>
    <w:p w:rsidR="00BA4AEA" w:rsidRDefault="00BA4AEA">
      <w:pPr>
        <w:pStyle w:val="Textoindependiente"/>
      </w:pPr>
    </w:p>
    <w:p w:rsidR="00BA4AEA" w:rsidRDefault="00E301A5">
      <w:pPr>
        <w:spacing w:before="172" w:line="360" w:lineRule="auto"/>
        <w:ind w:left="102" w:right="114"/>
        <w:jc w:val="both"/>
        <w:rPr>
          <w:i/>
          <w:sz w:val="28"/>
        </w:rPr>
      </w:pPr>
      <w:r>
        <w:rPr>
          <w:sz w:val="28"/>
        </w:rPr>
        <w:t>“</w:t>
      </w:r>
      <w:r>
        <w:rPr>
          <w:i/>
          <w:sz w:val="28"/>
        </w:rPr>
        <w:t xml:space="preserve">En los casos previstos en el </w:t>
      </w:r>
      <w:proofErr w:type="spellStart"/>
      <w:r>
        <w:rPr>
          <w:i/>
          <w:sz w:val="28"/>
        </w:rPr>
        <w:t>articulo</w:t>
      </w:r>
      <w:proofErr w:type="spellEnd"/>
      <w:r>
        <w:rPr>
          <w:i/>
          <w:sz w:val="28"/>
        </w:rPr>
        <w:t xml:space="preserve"> 32 y 33, la Policía podrá permitir el ingreso previa autorización del Servicio, la que deberá realizarse de forma inmediata y por la vía más rápida, debiendo quedar registro de esta comunicación. Para</w:t>
      </w:r>
      <w:r>
        <w:rPr>
          <w:i/>
          <w:sz w:val="28"/>
        </w:rPr>
        <w:t xml:space="preserve"> estos efectos, la Subsecretaría del Interior podrá dictar instrucciones generales señalando los casos y condiciones en que la autorización previa no será necesaria. La Policía deberá informar al Servicio de las medidas adoptadas respecto de los extranjero</w:t>
      </w:r>
      <w:r>
        <w:rPr>
          <w:i/>
          <w:sz w:val="28"/>
        </w:rPr>
        <w:t>s que ingresaren conforme a este inciso.</w:t>
      </w:r>
    </w:p>
    <w:p w:rsidR="00BA4AEA" w:rsidRDefault="00BA4AEA">
      <w:pPr>
        <w:pStyle w:val="Textoindependiente"/>
        <w:rPr>
          <w:i/>
        </w:rPr>
      </w:pPr>
    </w:p>
    <w:p w:rsidR="00BA4AEA" w:rsidRDefault="00E301A5">
      <w:pPr>
        <w:pStyle w:val="Textoindependiente"/>
        <w:spacing w:before="172"/>
        <w:ind w:left="102"/>
        <w:jc w:val="both"/>
      </w:pPr>
      <w:r>
        <w:t>El</w:t>
      </w:r>
      <w:r>
        <w:rPr>
          <w:spacing w:val="-8"/>
        </w:rPr>
        <w:t xml:space="preserve"> </w:t>
      </w:r>
      <w:r>
        <w:t>inciso</w:t>
      </w:r>
      <w:r>
        <w:rPr>
          <w:spacing w:val="-5"/>
        </w:rPr>
        <w:t xml:space="preserve"> </w:t>
      </w:r>
      <w:r>
        <w:t>segundo</w:t>
      </w:r>
      <w:r>
        <w:rPr>
          <w:spacing w:val="-4"/>
        </w:rPr>
        <w:t xml:space="preserve"> </w:t>
      </w:r>
      <w:r>
        <w:t>del</w:t>
      </w:r>
      <w:r>
        <w:rPr>
          <w:spacing w:val="-5"/>
        </w:rPr>
        <w:t xml:space="preserve"> </w:t>
      </w:r>
      <w:r>
        <w:t>mismo</w:t>
      </w:r>
      <w:r>
        <w:rPr>
          <w:spacing w:val="-4"/>
        </w:rPr>
        <w:t xml:space="preserve"> </w:t>
      </w:r>
      <w:r>
        <w:t>artículo</w:t>
      </w:r>
      <w:r>
        <w:rPr>
          <w:spacing w:val="-5"/>
        </w:rPr>
        <w:t xml:space="preserve"> </w:t>
      </w:r>
      <w:r>
        <w:t>señala</w:t>
      </w:r>
      <w:r>
        <w:rPr>
          <w:spacing w:val="-5"/>
        </w:rPr>
        <w:t xml:space="preserve"> </w:t>
      </w:r>
      <w:r>
        <w:t xml:space="preserve">además </w:t>
      </w:r>
      <w:r>
        <w:rPr>
          <w:spacing w:val="-4"/>
        </w:rPr>
        <w:t>que:</w:t>
      </w:r>
    </w:p>
    <w:p w:rsidR="00BA4AEA" w:rsidRDefault="00BA4AEA">
      <w:pPr>
        <w:jc w:val="both"/>
        <w:sectPr w:rsidR="00BA4AEA">
          <w:pgSz w:w="12240" w:h="20160"/>
          <w:pgMar w:top="1400" w:right="1580" w:bottom="280" w:left="1600" w:header="720" w:footer="720" w:gutter="0"/>
          <w:cols w:space="720"/>
        </w:sectPr>
      </w:pPr>
    </w:p>
    <w:p w:rsidR="00BA4AEA" w:rsidRDefault="00E301A5">
      <w:pPr>
        <w:spacing w:before="18" w:line="360" w:lineRule="auto"/>
        <w:ind w:left="102" w:right="116"/>
        <w:jc w:val="both"/>
        <w:rPr>
          <w:i/>
          <w:sz w:val="28"/>
        </w:rPr>
      </w:pPr>
      <w:r>
        <w:rPr>
          <w:i/>
          <w:sz w:val="28"/>
        </w:rPr>
        <w:lastRenderedPageBreak/>
        <w:t>“En caso de prohibirse el ingreso de extranjeros al territorio nacional por</w:t>
      </w:r>
      <w:r>
        <w:rPr>
          <w:i/>
          <w:spacing w:val="40"/>
          <w:sz w:val="28"/>
        </w:rPr>
        <w:t xml:space="preserve"> </w:t>
      </w:r>
      <w:r>
        <w:rPr>
          <w:i/>
          <w:sz w:val="28"/>
        </w:rPr>
        <w:t>parte de la Policía en aplicación de las causales previstas en los artículos 32 y 33, tal decisión podrá ser recurrible desde el exterior para ante el Servicio, mediante presentación escrita efectuada por el afectado ante los consulados chilenos, los que d</w:t>
      </w:r>
      <w:r>
        <w:rPr>
          <w:i/>
          <w:sz w:val="28"/>
        </w:rPr>
        <w:t>eberán remitir los antecedentes al Servicio dentro de décimo día. El plazo para presentar el recurso será de quince días contado desde la notificación de la medida, y el procedimiento se regirá por las</w:t>
      </w:r>
      <w:r>
        <w:rPr>
          <w:i/>
          <w:spacing w:val="40"/>
          <w:sz w:val="28"/>
        </w:rPr>
        <w:t xml:space="preserve"> </w:t>
      </w:r>
      <w:r>
        <w:rPr>
          <w:i/>
          <w:sz w:val="28"/>
        </w:rPr>
        <w:t>normas de la ley Nº 19.880.</w:t>
      </w:r>
    </w:p>
    <w:p w:rsidR="00BA4AEA" w:rsidRDefault="00BA4AEA">
      <w:pPr>
        <w:pStyle w:val="Textoindependiente"/>
        <w:rPr>
          <w:i/>
        </w:rPr>
      </w:pPr>
    </w:p>
    <w:p w:rsidR="00BA4AEA" w:rsidRDefault="00E301A5">
      <w:pPr>
        <w:spacing w:before="172" w:line="360" w:lineRule="auto"/>
        <w:ind w:left="102" w:right="119"/>
        <w:jc w:val="both"/>
        <w:rPr>
          <w:i/>
          <w:sz w:val="28"/>
        </w:rPr>
      </w:pPr>
      <w:r>
        <w:rPr>
          <w:i/>
          <w:sz w:val="28"/>
        </w:rPr>
        <w:t>Todo lo anterior, sin per</w:t>
      </w:r>
      <w:r>
        <w:rPr>
          <w:i/>
          <w:sz w:val="28"/>
        </w:rPr>
        <w:t>juicio de lo establecido en la ley Nº 20.430 y de los demás recursos y acciones que procedan y que puedan ejercerse dentro del territorio nacional”</w:t>
      </w:r>
    </w:p>
    <w:p w:rsidR="00BA4AEA" w:rsidRDefault="00BA4AEA">
      <w:pPr>
        <w:pStyle w:val="Textoindependiente"/>
        <w:rPr>
          <w:i/>
        </w:rPr>
      </w:pPr>
    </w:p>
    <w:p w:rsidR="00BA4AEA" w:rsidRDefault="00E301A5">
      <w:pPr>
        <w:pStyle w:val="Textoindependiente"/>
        <w:spacing w:before="173" w:line="360" w:lineRule="auto"/>
        <w:ind w:left="102" w:right="118"/>
        <w:jc w:val="both"/>
      </w:pPr>
      <w:r>
        <w:t>La redacción, sin excepciones, del artículo 35, ha dejado a la discrecionalidad de la administración o gobi</w:t>
      </w:r>
      <w:r>
        <w:t>erno de turno, el decidir respecto del ingreso de extranjeros que se encuentran incluidos en las prohibiciones imperativas señaladas en el artículo 32 de la misma ley; prohibiciones que como ya se ha señalado tienen por objeto proteger, a toda costa la seg</w:t>
      </w:r>
      <w:r>
        <w:t>uridad interna del país y de sus ciudadanos.</w:t>
      </w:r>
    </w:p>
    <w:p w:rsidR="00BA4AEA" w:rsidRDefault="00BA4AEA">
      <w:pPr>
        <w:pStyle w:val="Textoindependiente"/>
        <w:spacing w:before="11"/>
        <w:rPr>
          <w:sz w:val="41"/>
        </w:rPr>
      </w:pPr>
    </w:p>
    <w:p w:rsidR="00BA4AEA" w:rsidRDefault="00E301A5">
      <w:pPr>
        <w:pStyle w:val="Textoindependiente"/>
        <w:spacing w:before="1" w:line="360" w:lineRule="auto"/>
        <w:ind w:left="102" w:right="114"/>
        <w:jc w:val="both"/>
      </w:pPr>
      <w:r>
        <w:t>En los hechos, se han encubierto las causales taxativas de prohibición de ingreso,</w:t>
      </w:r>
      <w:r>
        <w:rPr>
          <w:spacing w:val="-1"/>
        </w:rPr>
        <w:t xml:space="preserve"> </w:t>
      </w:r>
      <w:r>
        <w:t>por parte</w:t>
      </w:r>
      <w:r>
        <w:rPr>
          <w:spacing w:val="-1"/>
        </w:rPr>
        <w:t xml:space="preserve"> </w:t>
      </w:r>
      <w:r>
        <w:t>de</w:t>
      </w:r>
      <w:r>
        <w:rPr>
          <w:spacing w:val="-3"/>
        </w:rPr>
        <w:t xml:space="preserve"> </w:t>
      </w:r>
      <w:r>
        <w:t>personas que</w:t>
      </w:r>
      <w:r>
        <w:rPr>
          <w:spacing w:val="-1"/>
        </w:rPr>
        <w:t xml:space="preserve"> </w:t>
      </w:r>
      <w:r>
        <w:t>se</w:t>
      </w:r>
      <w:r>
        <w:rPr>
          <w:spacing w:val="-1"/>
        </w:rPr>
        <w:t xml:space="preserve"> </w:t>
      </w:r>
      <w:r>
        <w:t xml:space="preserve">encuentran en las situaciones descritas en los numerales del </w:t>
      </w:r>
      <w:proofErr w:type="spellStart"/>
      <w:r>
        <w:t>articulo</w:t>
      </w:r>
      <w:proofErr w:type="spellEnd"/>
      <w:r>
        <w:t xml:space="preserve"> 32, en especial respecto del numeral 1; acudiendo a las protecciones que le confieren las características de </w:t>
      </w:r>
      <w:r>
        <w:rPr>
          <w:spacing w:val="-2"/>
        </w:rPr>
        <w:t>“refugiado”.</w:t>
      </w:r>
    </w:p>
    <w:p w:rsidR="00BA4AEA" w:rsidRDefault="00BA4AEA">
      <w:pPr>
        <w:pStyle w:val="Textoindependiente"/>
      </w:pPr>
    </w:p>
    <w:p w:rsidR="00BA4AEA" w:rsidRDefault="00E301A5">
      <w:pPr>
        <w:pStyle w:val="Ttulo1"/>
        <w:spacing w:before="172"/>
        <w:rPr>
          <w:b w:val="0"/>
        </w:rPr>
      </w:pPr>
      <w:r>
        <w:t>IDEA</w:t>
      </w:r>
      <w:r>
        <w:rPr>
          <w:spacing w:val="-2"/>
        </w:rPr>
        <w:t xml:space="preserve"> MATRIZ</w:t>
      </w:r>
      <w:r>
        <w:rPr>
          <w:b w:val="0"/>
          <w:spacing w:val="-2"/>
        </w:rPr>
        <w:t>:</w:t>
      </w:r>
    </w:p>
    <w:p w:rsidR="00BA4AEA" w:rsidRDefault="00BA4AEA">
      <w:pPr>
        <w:pStyle w:val="Textoindependiente"/>
      </w:pPr>
    </w:p>
    <w:p w:rsidR="00BA4AEA" w:rsidRDefault="00BA4AEA">
      <w:pPr>
        <w:pStyle w:val="Textoindependiente"/>
        <w:spacing w:before="11"/>
        <w:rPr>
          <w:sz w:val="27"/>
        </w:rPr>
      </w:pPr>
    </w:p>
    <w:p w:rsidR="00BA4AEA" w:rsidRDefault="00E301A5">
      <w:pPr>
        <w:pStyle w:val="Textoindependiente"/>
        <w:spacing w:line="360" w:lineRule="auto"/>
        <w:ind w:left="102" w:right="117"/>
        <w:jc w:val="both"/>
      </w:pPr>
      <w:r>
        <w:t>El proyecto tiene por objeto reforzar el texto l</w:t>
      </w:r>
      <w:r>
        <w:t xml:space="preserve">iteral e imperativo del </w:t>
      </w:r>
      <w:proofErr w:type="spellStart"/>
      <w:proofErr w:type="gramStart"/>
      <w:r>
        <w:t>articulo</w:t>
      </w:r>
      <w:proofErr w:type="spellEnd"/>
      <w:proofErr w:type="gramEnd"/>
      <w:r>
        <w:t xml:space="preserve"> 32, y dar congruencia a lo dispuesto en el artículo 16 de la ley Nº 20.430 que establece “Disposiciones sobre Protección de Refugiados”.</w:t>
      </w:r>
    </w:p>
    <w:p w:rsidR="00BA4AEA" w:rsidRDefault="00BA4AEA">
      <w:pPr>
        <w:spacing w:line="360" w:lineRule="auto"/>
        <w:jc w:val="both"/>
        <w:sectPr w:rsidR="00BA4AEA">
          <w:pgSz w:w="12240" w:h="20160"/>
          <w:pgMar w:top="1400" w:right="1580" w:bottom="280" w:left="1600" w:header="720" w:footer="720" w:gutter="0"/>
          <w:cols w:space="720"/>
        </w:sectPr>
      </w:pPr>
    </w:p>
    <w:p w:rsidR="00BA4AEA" w:rsidRDefault="00E301A5">
      <w:pPr>
        <w:pStyle w:val="Textoindependiente"/>
        <w:spacing w:before="18" w:line="360" w:lineRule="auto"/>
        <w:ind w:left="102" w:right="115"/>
        <w:jc w:val="both"/>
      </w:pPr>
      <w:r>
        <w:lastRenderedPageBreak/>
        <w:t>Por ello se hace necesario modificar el artículo 35 de la ley Nº 21.235 de</w:t>
      </w:r>
      <w:r>
        <w:t xml:space="preserve"> Migración</w:t>
      </w:r>
      <w:r>
        <w:rPr>
          <w:spacing w:val="-1"/>
        </w:rPr>
        <w:t xml:space="preserve"> </w:t>
      </w:r>
      <w:r>
        <w:t>y</w:t>
      </w:r>
      <w:r>
        <w:rPr>
          <w:spacing w:val="-2"/>
        </w:rPr>
        <w:t xml:space="preserve"> </w:t>
      </w:r>
      <w:r>
        <w:t>Extranjería,</w:t>
      </w:r>
      <w:r>
        <w:rPr>
          <w:spacing w:val="-3"/>
        </w:rPr>
        <w:t xml:space="preserve"> </w:t>
      </w:r>
      <w:r>
        <w:t>estableciendo</w:t>
      </w:r>
      <w:r>
        <w:rPr>
          <w:spacing w:val="-2"/>
        </w:rPr>
        <w:t xml:space="preserve"> </w:t>
      </w:r>
      <w:r>
        <w:t>una</w:t>
      </w:r>
      <w:r>
        <w:rPr>
          <w:spacing w:val="-4"/>
        </w:rPr>
        <w:t xml:space="preserve"> </w:t>
      </w:r>
      <w:r>
        <w:t>prohibición</w:t>
      </w:r>
      <w:r>
        <w:rPr>
          <w:spacing w:val="-1"/>
        </w:rPr>
        <w:t xml:space="preserve"> </w:t>
      </w:r>
      <w:r>
        <w:t>expresa</w:t>
      </w:r>
      <w:r>
        <w:rPr>
          <w:spacing w:val="-2"/>
        </w:rPr>
        <w:t xml:space="preserve"> </w:t>
      </w:r>
      <w:r>
        <w:t>en</w:t>
      </w:r>
      <w:r>
        <w:rPr>
          <w:spacing w:val="-1"/>
        </w:rPr>
        <w:t xml:space="preserve"> </w:t>
      </w:r>
      <w:r>
        <w:t>cuanto</w:t>
      </w:r>
      <w:r>
        <w:rPr>
          <w:spacing w:val="-2"/>
        </w:rPr>
        <w:t xml:space="preserve"> </w:t>
      </w:r>
      <w:r>
        <w:t>a</w:t>
      </w:r>
      <w:r>
        <w:rPr>
          <w:spacing w:val="-2"/>
        </w:rPr>
        <w:t xml:space="preserve"> </w:t>
      </w:r>
      <w:r>
        <w:t xml:space="preserve">la procedencia del recurso administrativo especial consagrado en el inciso primero y segundo de este </w:t>
      </w:r>
      <w:proofErr w:type="spellStart"/>
      <w:r>
        <w:t>articulo</w:t>
      </w:r>
      <w:proofErr w:type="spellEnd"/>
      <w:r>
        <w:t>.</w:t>
      </w:r>
    </w:p>
    <w:p w:rsidR="00BA4AEA" w:rsidRDefault="00BA4AEA">
      <w:pPr>
        <w:pStyle w:val="Textoindependiente"/>
      </w:pPr>
    </w:p>
    <w:p w:rsidR="00BA4AEA" w:rsidRDefault="00E301A5">
      <w:pPr>
        <w:pStyle w:val="Textoindependiente"/>
        <w:spacing w:before="173" w:line="360" w:lineRule="auto"/>
        <w:ind w:left="102" w:right="125"/>
        <w:jc w:val="both"/>
      </w:pPr>
      <w:r>
        <w:t>Por tanto, y con el mérito de lo expuesto, se propone el siguiente Proyecto</w:t>
      </w:r>
      <w:r>
        <w:rPr>
          <w:spacing w:val="40"/>
        </w:rPr>
        <w:t xml:space="preserve"> </w:t>
      </w:r>
      <w:r>
        <w:t>de Ley.</w:t>
      </w:r>
    </w:p>
    <w:p w:rsidR="00BA4AEA" w:rsidRDefault="00BA4AEA">
      <w:pPr>
        <w:pStyle w:val="Textoindependiente"/>
      </w:pPr>
    </w:p>
    <w:p w:rsidR="00BA4AEA" w:rsidRDefault="00BA4AEA">
      <w:pPr>
        <w:pStyle w:val="Textoindependiente"/>
      </w:pPr>
    </w:p>
    <w:p w:rsidR="00BA4AEA" w:rsidRDefault="00BA4AEA">
      <w:pPr>
        <w:pStyle w:val="Textoindependiente"/>
        <w:spacing w:before="1"/>
        <w:rPr>
          <w:sz w:val="34"/>
        </w:rPr>
      </w:pPr>
    </w:p>
    <w:p w:rsidR="00BA4AEA" w:rsidRDefault="00E301A5">
      <w:pPr>
        <w:spacing w:before="1"/>
        <w:ind w:left="3089" w:right="3282"/>
        <w:jc w:val="center"/>
        <w:rPr>
          <w:b/>
          <w:sz w:val="36"/>
        </w:rPr>
      </w:pPr>
      <w:r>
        <w:rPr>
          <w:b/>
          <w:sz w:val="36"/>
          <w:u w:val="single"/>
        </w:rPr>
        <w:t>PROYECTO</w:t>
      </w:r>
      <w:r>
        <w:rPr>
          <w:b/>
          <w:spacing w:val="-18"/>
          <w:sz w:val="36"/>
          <w:u w:val="single"/>
        </w:rPr>
        <w:t xml:space="preserve"> </w:t>
      </w:r>
      <w:r>
        <w:rPr>
          <w:b/>
          <w:sz w:val="36"/>
          <w:u w:val="single"/>
        </w:rPr>
        <w:t>DE</w:t>
      </w:r>
      <w:r>
        <w:rPr>
          <w:b/>
          <w:spacing w:val="-12"/>
          <w:sz w:val="36"/>
          <w:u w:val="single"/>
        </w:rPr>
        <w:t xml:space="preserve"> </w:t>
      </w:r>
      <w:r>
        <w:rPr>
          <w:b/>
          <w:spacing w:val="-5"/>
          <w:sz w:val="36"/>
          <w:u w:val="single"/>
        </w:rPr>
        <w:t>LEY</w:t>
      </w:r>
    </w:p>
    <w:p w:rsidR="00BA4AEA" w:rsidRDefault="00BA4AEA">
      <w:pPr>
        <w:pStyle w:val="Textoindependiente"/>
        <w:rPr>
          <w:b/>
          <w:sz w:val="20"/>
        </w:rPr>
      </w:pPr>
    </w:p>
    <w:p w:rsidR="00BA4AEA" w:rsidRDefault="00BA4AEA">
      <w:pPr>
        <w:pStyle w:val="Textoindependiente"/>
        <w:rPr>
          <w:b/>
          <w:sz w:val="20"/>
        </w:rPr>
      </w:pPr>
    </w:p>
    <w:p w:rsidR="00BA4AEA" w:rsidRDefault="00BA4AEA">
      <w:pPr>
        <w:pStyle w:val="Textoindependiente"/>
        <w:rPr>
          <w:b/>
          <w:sz w:val="20"/>
        </w:rPr>
      </w:pPr>
    </w:p>
    <w:p w:rsidR="00BA4AEA" w:rsidRDefault="00BA4AEA">
      <w:pPr>
        <w:pStyle w:val="Textoindependiente"/>
        <w:rPr>
          <w:b/>
          <w:sz w:val="20"/>
        </w:rPr>
      </w:pPr>
    </w:p>
    <w:p w:rsidR="00BA4AEA" w:rsidRDefault="00BA4AEA">
      <w:pPr>
        <w:pStyle w:val="Textoindependiente"/>
        <w:spacing w:before="2"/>
        <w:rPr>
          <w:b/>
          <w:sz w:val="27"/>
        </w:rPr>
      </w:pPr>
    </w:p>
    <w:p w:rsidR="00BA4AEA" w:rsidRDefault="00E301A5">
      <w:pPr>
        <w:pStyle w:val="Textoindependiente"/>
        <w:spacing w:before="44" w:line="360" w:lineRule="auto"/>
        <w:ind w:left="222" w:right="241"/>
        <w:jc w:val="both"/>
      </w:pPr>
      <w:r>
        <w:rPr>
          <w:b/>
        </w:rPr>
        <w:t>Artículo</w:t>
      </w:r>
      <w:r>
        <w:rPr>
          <w:b/>
          <w:spacing w:val="-4"/>
        </w:rPr>
        <w:t xml:space="preserve"> </w:t>
      </w:r>
      <w:r>
        <w:rPr>
          <w:b/>
        </w:rPr>
        <w:t>Único</w:t>
      </w:r>
      <w:r>
        <w:t>:</w:t>
      </w:r>
      <w:r>
        <w:rPr>
          <w:spacing w:val="-8"/>
        </w:rPr>
        <w:t xml:space="preserve"> </w:t>
      </w:r>
      <w:r>
        <w:t>Introdúzcase un inciso cuarto al artículo 35 de la ley 21.235 de extranjería y migraciones, del siguiente tenor:</w:t>
      </w:r>
    </w:p>
    <w:p w:rsidR="00BA4AEA" w:rsidRDefault="00E301A5">
      <w:pPr>
        <w:pStyle w:val="Textoindependiente"/>
        <w:spacing w:before="98" w:line="360" w:lineRule="auto"/>
        <w:ind w:left="222" w:right="235"/>
        <w:jc w:val="both"/>
      </w:pPr>
      <w:r>
        <w:t>“No</w:t>
      </w:r>
      <w:r>
        <w:rPr>
          <w:spacing w:val="-3"/>
        </w:rPr>
        <w:t xml:space="preserve"> </w:t>
      </w:r>
      <w:r>
        <w:t>obstante,</w:t>
      </w:r>
      <w:r>
        <w:rPr>
          <w:spacing w:val="-4"/>
        </w:rPr>
        <w:t xml:space="preserve"> </w:t>
      </w:r>
      <w:r>
        <w:t>las</w:t>
      </w:r>
      <w:r>
        <w:rPr>
          <w:spacing w:val="-2"/>
        </w:rPr>
        <w:t xml:space="preserve"> </w:t>
      </w:r>
      <w:r>
        <w:t>autorizaciones</w:t>
      </w:r>
      <w:r>
        <w:rPr>
          <w:spacing w:val="-3"/>
        </w:rPr>
        <w:t xml:space="preserve"> </w:t>
      </w:r>
      <w:r>
        <w:t>previas</w:t>
      </w:r>
      <w:r>
        <w:rPr>
          <w:spacing w:val="-2"/>
        </w:rPr>
        <w:t xml:space="preserve"> </w:t>
      </w:r>
      <w:r>
        <w:t>por</w:t>
      </w:r>
      <w:r>
        <w:rPr>
          <w:spacing w:val="-3"/>
        </w:rPr>
        <w:t xml:space="preserve"> </w:t>
      </w:r>
      <w:r>
        <w:t>parte</w:t>
      </w:r>
      <w:r>
        <w:rPr>
          <w:spacing w:val="-4"/>
        </w:rPr>
        <w:t xml:space="preserve"> </w:t>
      </w:r>
      <w:r>
        <w:t>del</w:t>
      </w:r>
      <w:r>
        <w:rPr>
          <w:spacing w:val="-3"/>
        </w:rPr>
        <w:t xml:space="preserve"> </w:t>
      </w:r>
      <w:r>
        <w:t>Servicio</w:t>
      </w:r>
      <w:r>
        <w:rPr>
          <w:spacing w:val="-5"/>
        </w:rPr>
        <w:t xml:space="preserve"> </w:t>
      </w:r>
      <w:r>
        <w:t>señaladas</w:t>
      </w:r>
      <w:r>
        <w:rPr>
          <w:spacing w:val="-2"/>
        </w:rPr>
        <w:t xml:space="preserve"> </w:t>
      </w:r>
      <w:r>
        <w:t>en el inciso primero, y el recurso especial señalado en el inciso segundo, éstos no procederán, en caso alguno, respecto de las causales imperativas señaladas en el Nº 1, 5, 7 del artículo 32 de la pr</w:t>
      </w:r>
      <w:r>
        <w:t>esente ley.</w:t>
      </w:r>
    </w:p>
    <w:p w:rsidR="00BA4AEA" w:rsidRDefault="00BA4AEA">
      <w:pPr>
        <w:pStyle w:val="Textoindependiente"/>
      </w:pPr>
    </w:p>
    <w:p w:rsidR="00BA4AEA" w:rsidRDefault="00BA4AEA">
      <w:pPr>
        <w:pStyle w:val="Textoindependiente"/>
      </w:pPr>
    </w:p>
    <w:p w:rsidR="00BA4AEA" w:rsidRDefault="00BA4AEA">
      <w:pPr>
        <w:pStyle w:val="Textoindependiente"/>
        <w:spacing w:before="2"/>
        <w:rPr>
          <w:sz w:val="32"/>
        </w:rPr>
      </w:pPr>
    </w:p>
    <w:p w:rsidR="00BA4AEA" w:rsidRDefault="00E301A5">
      <w:pPr>
        <w:ind w:left="2598"/>
        <w:rPr>
          <w:rFonts w:ascii="Bookman Old Style"/>
          <w:b/>
          <w:sz w:val="26"/>
        </w:rPr>
      </w:pPr>
      <w:r>
        <w:rPr>
          <w:rFonts w:ascii="Bookman Old Style"/>
          <w:b/>
          <w:sz w:val="26"/>
        </w:rPr>
        <w:t>BERNARDO</w:t>
      </w:r>
      <w:r>
        <w:rPr>
          <w:rFonts w:ascii="Bookman Old Style"/>
          <w:b/>
          <w:spacing w:val="-15"/>
          <w:sz w:val="26"/>
        </w:rPr>
        <w:t xml:space="preserve"> </w:t>
      </w:r>
      <w:r>
        <w:rPr>
          <w:rFonts w:ascii="Bookman Old Style"/>
          <w:b/>
          <w:sz w:val="26"/>
        </w:rPr>
        <w:t>BERGER</w:t>
      </w:r>
      <w:r>
        <w:rPr>
          <w:rFonts w:ascii="Bookman Old Style"/>
          <w:b/>
          <w:spacing w:val="-12"/>
          <w:sz w:val="26"/>
        </w:rPr>
        <w:t xml:space="preserve"> </w:t>
      </w:r>
      <w:r>
        <w:rPr>
          <w:rFonts w:ascii="Bookman Old Style"/>
          <w:b/>
          <w:spacing w:val="-4"/>
          <w:sz w:val="26"/>
        </w:rPr>
        <w:t>FETT.</w:t>
      </w:r>
    </w:p>
    <w:p w:rsidR="00BA4AEA" w:rsidRDefault="00E301A5">
      <w:pPr>
        <w:spacing w:before="151"/>
        <w:ind w:left="2421"/>
        <w:rPr>
          <w:rFonts w:ascii="Bookman Old Style" w:hAnsi="Bookman Old Style"/>
          <w:b/>
          <w:sz w:val="26"/>
        </w:rPr>
      </w:pPr>
      <w:r>
        <w:rPr>
          <w:rFonts w:ascii="Bookman Old Style" w:hAnsi="Bookman Old Style"/>
          <w:b/>
          <w:sz w:val="26"/>
        </w:rPr>
        <w:t>H.</w:t>
      </w:r>
      <w:r>
        <w:rPr>
          <w:rFonts w:ascii="Bookman Old Style" w:hAnsi="Bookman Old Style"/>
          <w:b/>
          <w:spacing w:val="-18"/>
          <w:sz w:val="26"/>
        </w:rPr>
        <w:t xml:space="preserve"> </w:t>
      </w:r>
      <w:r>
        <w:rPr>
          <w:rFonts w:ascii="Bookman Old Style" w:hAnsi="Bookman Old Style"/>
          <w:b/>
          <w:sz w:val="26"/>
        </w:rPr>
        <w:t>DIPUTADO</w:t>
      </w:r>
      <w:r>
        <w:rPr>
          <w:rFonts w:ascii="Bookman Old Style" w:hAnsi="Bookman Old Style"/>
          <w:b/>
          <w:spacing w:val="-11"/>
          <w:sz w:val="26"/>
        </w:rPr>
        <w:t xml:space="preserve"> </w:t>
      </w:r>
      <w:r>
        <w:rPr>
          <w:rFonts w:ascii="Bookman Old Style" w:hAnsi="Bookman Old Style"/>
          <w:b/>
          <w:sz w:val="26"/>
        </w:rPr>
        <w:t>DE</w:t>
      </w:r>
      <w:r>
        <w:rPr>
          <w:rFonts w:ascii="Bookman Old Style" w:hAnsi="Bookman Old Style"/>
          <w:b/>
          <w:spacing w:val="-13"/>
          <w:sz w:val="26"/>
        </w:rPr>
        <w:t xml:space="preserve"> </w:t>
      </w:r>
      <w:r>
        <w:rPr>
          <w:rFonts w:ascii="Bookman Old Style" w:hAnsi="Bookman Old Style"/>
          <w:b/>
          <w:sz w:val="26"/>
        </w:rPr>
        <w:t>LA</w:t>
      </w:r>
      <w:r>
        <w:rPr>
          <w:rFonts w:ascii="Bookman Old Style" w:hAnsi="Bookman Old Style"/>
          <w:b/>
          <w:spacing w:val="-9"/>
          <w:sz w:val="26"/>
        </w:rPr>
        <w:t xml:space="preserve"> </w:t>
      </w:r>
      <w:r>
        <w:rPr>
          <w:rFonts w:ascii="Bookman Old Style" w:hAnsi="Bookman Old Style"/>
          <w:b/>
          <w:spacing w:val="-2"/>
          <w:sz w:val="26"/>
        </w:rPr>
        <w:t>REPÚBLICA</w:t>
      </w:r>
    </w:p>
    <w:sectPr w:rsidR="00BA4AEA">
      <w:pgSz w:w="12240" w:h="20160"/>
      <w:pgMar w:top="14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E6971"/>
    <w:multiLevelType w:val="hybridMultilevel"/>
    <w:tmpl w:val="A022B2C4"/>
    <w:lvl w:ilvl="0" w:tplc="97A63640">
      <w:start w:val="1"/>
      <w:numFmt w:val="decimal"/>
      <w:lvlText w:val="%1."/>
      <w:lvlJc w:val="left"/>
      <w:pPr>
        <w:ind w:left="102" w:hanging="286"/>
        <w:jc w:val="left"/>
      </w:pPr>
      <w:rPr>
        <w:rFonts w:ascii="Calibri" w:eastAsia="Calibri" w:hAnsi="Calibri" w:cs="Calibri" w:hint="default"/>
        <w:b w:val="0"/>
        <w:bCs w:val="0"/>
        <w:i w:val="0"/>
        <w:iCs w:val="0"/>
        <w:w w:val="100"/>
        <w:sz w:val="28"/>
        <w:szCs w:val="28"/>
        <w:lang w:val="es-ES" w:eastAsia="en-US" w:bidi="ar-SA"/>
      </w:rPr>
    </w:lvl>
    <w:lvl w:ilvl="1" w:tplc="B8C295A0">
      <w:numFmt w:val="bullet"/>
      <w:lvlText w:val="•"/>
      <w:lvlJc w:val="left"/>
      <w:pPr>
        <w:ind w:left="996" w:hanging="286"/>
      </w:pPr>
      <w:rPr>
        <w:rFonts w:hint="default"/>
        <w:lang w:val="es-ES" w:eastAsia="en-US" w:bidi="ar-SA"/>
      </w:rPr>
    </w:lvl>
    <w:lvl w:ilvl="2" w:tplc="A32C4120">
      <w:numFmt w:val="bullet"/>
      <w:lvlText w:val="•"/>
      <w:lvlJc w:val="left"/>
      <w:pPr>
        <w:ind w:left="1892" w:hanging="286"/>
      </w:pPr>
      <w:rPr>
        <w:rFonts w:hint="default"/>
        <w:lang w:val="es-ES" w:eastAsia="en-US" w:bidi="ar-SA"/>
      </w:rPr>
    </w:lvl>
    <w:lvl w:ilvl="3" w:tplc="B588C7CC">
      <w:numFmt w:val="bullet"/>
      <w:lvlText w:val="•"/>
      <w:lvlJc w:val="left"/>
      <w:pPr>
        <w:ind w:left="2788" w:hanging="286"/>
      </w:pPr>
      <w:rPr>
        <w:rFonts w:hint="default"/>
        <w:lang w:val="es-ES" w:eastAsia="en-US" w:bidi="ar-SA"/>
      </w:rPr>
    </w:lvl>
    <w:lvl w:ilvl="4" w:tplc="9402A992">
      <w:numFmt w:val="bullet"/>
      <w:lvlText w:val="•"/>
      <w:lvlJc w:val="left"/>
      <w:pPr>
        <w:ind w:left="3684" w:hanging="286"/>
      </w:pPr>
      <w:rPr>
        <w:rFonts w:hint="default"/>
        <w:lang w:val="es-ES" w:eastAsia="en-US" w:bidi="ar-SA"/>
      </w:rPr>
    </w:lvl>
    <w:lvl w:ilvl="5" w:tplc="D30AA3F0">
      <w:numFmt w:val="bullet"/>
      <w:lvlText w:val="•"/>
      <w:lvlJc w:val="left"/>
      <w:pPr>
        <w:ind w:left="4580" w:hanging="286"/>
      </w:pPr>
      <w:rPr>
        <w:rFonts w:hint="default"/>
        <w:lang w:val="es-ES" w:eastAsia="en-US" w:bidi="ar-SA"/>
      </w:rPr>
    </w:lvl>
    <w:lvl w:ilvl="6" w:tplc="B22A7932">
      <w:numFmt w:val="bullet"/>
      <w:lvlText w:val="•"/>
      <w:lvlJc w:val="left"/>
      <w:pPr>
        <w:ind w:left="5476" w:hanging="286"/>
      </w:pPr>
      <w:rPr>
        <w:rFonts w:hint="default"/>
        <w:lang w:val="es-ES" w:eastAsia="en-US" w:bidi="ar-SA"/>
      </w:rPr>
    </w:lvl>
    <w:lvl w:ilvl="7" w:tplc="00C4A2F8">
      <w:numFmt w:val="bullet"/>
      <w:lvlText w:val="•"/>
      <w:lvlJc w:val="left"/>
      <w:pPr>
        <w:ind w:left="6372" w:hanging="286"/>
      </w:pPr>
      <w:rPr>
        <w:rFonts w:hint="default"/>
        <w:lang w:val="es-ES" w:eastAsia="en-US" w:bidi="ar-SA"/>
      </w:rPr>
    </w:lvl>
    <w:lvl w:ilvl="8" w:tplc="7FD8E9D4">
      <w:numFmt w:val="bullet"/>
      <w:lvlText w:val="•"/>
      <w:lvlJc w:val="left"/>
      <w:pPr>
        <w:ind w:left="7268" w:hanging="28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A4AEA"/>
    <w:rsid w:val="00BA4AEA"/>
    <w:rsid w:val="00E301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E4E46-EB66-42F1-8029-57283DB3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02"/>
      <w:jc w:val="both"/>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ind w:left="102" w:right="11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6613</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Gabriel D</dc:creator>
  <cp:lastModifiedBy>Leonardo Lueiza Ureta</cp:lastModifiedBy>
  <cp:revision>1</cp:revision>
  <dcterms:created xsi:type="dcterms:W3CDTF">2022-10-20T13:03:00Z</dcterms:created>
  <dcterms:modified xsi:type="dcterms:W3CDTF">2022-11-07T21:14:00Z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LTSC</vt:lpwstr>
  </property>
  <property fmtid="{D5CDD505-2E9C-101B-9397-08002B2CF9AE}" pid="4" name="LastSaved">
    <vt:filetime>2022-10-20T00:00:00Z</vt:filetime>
  </property>
  <property fmtid="{D5CDD505-2E9C-101B-9397-08002B2CF9AE}" pid="5" name="Producer">
    <vt:lpwstr>Microsoft® Word LTSC</vt:lpwstr>
  </property>
</Properties>
</file>