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15C" w:rsidRDefault="0000015C">
      <w:pPr>
        <w:pStyle w:val="Textoindependiente"/>
        <w:rPr>
          <w:rFonts w:ascii="Times New Roman"/>
          <w:sz w:val="20"/>
        </w:rPr>
      </w:pPr>
      <w:bookmarkStart w:id="0" w:name="_GoBack"/>
      <w:bookmarkEnd w:id="0"/>
    </w:p>
    <w:p w:rsidR="0000015C" w:rsidRDefault="00485183">
      <w:pPr>
        <w:pStyle w:val="Ttulo1"/>
        <w:spacing w:before="221" w:line="360" w:lineRule="auto"/>
        <w:ind w:left="119"/>
        <w:jc w:val="both"/>
      </w:pPr>
      <w:r>
        <w:t>PROYECTO QUE MODIFICA LA LEY 12.927 SOBRE SEGURIDAD DEL ESTADO CUYO TEXTO ACTUALIZADO Y REFUNDIDO SE ENCUENTRA CONTENIDO EN</w:t>
      </w:r>
      <w:r>
        <w:rPr>
          <w:spacing w:val="-1"/>
        </w:rPr>
        <w:t xml:space="preserve"> </w:t>
      </w:r>
      <w:r>
        <w:t>EL</w:t>
      </w:r>
      <w:r>
        <w:rPr>
          <w:spacing w:val="-1"/>
        </w:rPr>
        <w:t xml:space="preserve"> </w:t>
      </w:r>
      <w:r>
        <w:t>DECRETO</w:t>
      </w:r>
      <w:r>
        <w:rPr>
          <w:spacing w:val="-1"/>
        </w:rPr>
        <w:t xml:space="preserve"> </w:t>
      </w:r>
      <w:r>
        <w:t>890</w:t>
      </w:r>
      <w:r>
        <w:rPr>
          <w:spacing w:val="-2"/>
        </w:rPr>
        <w:t xml:space="preserve"> </w:t>
      </w:r>
      <w:r>
        <w:t>DEL</w:t>
      </w:r>
      <w:r>
        <w:rPr>
          <w:spacing w:val="-1"/>
        </w:rPr>
        <w:t xml:space="preserve"> </w:t>
      </w:r>
      <w:r>
        <w:t>AÑO</w:t>
      </w:r>
      <w:r>
        <w:rPr>
          <w:spacing w:val="-1"/>
        </w:rPr>
        <w:t xml:space="preserve"> </w:t>
      </w:r>
      <w:r>
        <w:t>1975,</w:t>
      </w:r>
      <w:r>
        <w:rPr>
          <w:spacing w:val="-1"/>
        </w:rPr>
        <w:t xml:space="preserve"> </w:t>
      </w:r>
      <w:r>
        <w:t>EN</w:t>
      </w:r>
      <w:r>
        <w:rPr>
          <w:spacing w:val="-5"/>
        </w:rPr>
        <w:t xml:space="preserve"> </w:t>
      </w:r>
      <w:r>
        <w:t>ORDEN</w:t>
      </w:r>
      <w:r>
        <w:rPr>
          <w:spacing w:val="-1"/>
        </w:rPr>
        <w:t xml:space="preserve"> </w:t>
      </w:r>
      <w:r>
        <w:t>A FACULTAR A LOS GOBERNADORES REGIONALES PARA PRESENTAR DENUNCIA O QUERELLA POR LOS HECHOS CONSTITUTIVOS DE LOS DELITOS DESCRITOS Y SANCIONADOS EN VIRTUD DE ESTA LEY.</w:t>
      </w:r>
    </w:p>
    <w:p w:rsidR="0000015C" w:rsidRDefault="0000015C">
      <w:pPr>
        <w:pStyle w:val="Textoindependiente"/>
        <w:spacing w:before="3"/>
        <w:rPr>
          <w:b/>
          <w:sz w:val="36"/>
        </w:rPr>
      </w:pPr>
    </w:p>
    <w:p w:rsidR="0000015C" w:rsidRDefault="00485183">
      <w:pPr>
        <w:ind w:left="119"/>
        <w:rPr>
          <w:b/>
          <w:sz w:val="24"/>
        </w:rPr>
      </w:pPr>
      <w:r>
        <w:rPr>
          <w:b/>
          <w:spacing w:val="-2"/>
          <w:sz w:val="24"/>
          <w:u w:val="single"/>
        </w:rPr>
        <w:t>Fundamentos:</w:t>
      </w:r>
    </w:p>
    <w:p w:rsidR="0000015C" w:rsidRDefault="0000015C">
      <w:pPr>
        <w:pStyle w:val="Textoindependiente"/>
        <w:rPr>
          <w:b/>
          <w:sz w:val="20"/>
        </w:rPr>
      </w:pPr>
    </w:p>
    <w:p w:rsidR="0000015C" w:rsidRDefault="0000015C">
      <w:pPr>
        <w:pStyle w:val="Textoindependiente"/>
        <w:spacing w:before="8"/>
        <w:rPr>
          <w:b/>
          <w:sz w:val="19"/>
        </w:rPr>
      </w:pPr>
    </w:p>
    <w:p w:rsidR="0000015C" w:rsidRDefault="00485183">
      <w:pPr>
        <w:pStyle w:val="Textoindependiente"/>
        <w:spacing w:before="100" w:line="360" w:lineRule="auto"/>
        <w:ind w:left="119" w:right="121"/>
        <w:jc w:val="both"/>
      </w:pPr>
      <w:r>
        <w:rPr>
          <w:b/>
        </w:rPr>
        <w:t xml:space="preserve">1.- </w:t>
      </w:r>
      <w:r>
        <w:t>Con la</w:t>
      </w:r>
      <w:r>
        <w:rPr>
          <w:spacing w:val="-2"/>
        </w:rPr>
        <w:t xml:space="preserve"> </w:t>
      </w:r>
      <w:r>
        <w:t>dictación</w:t>
      </w:r>
      <w:r>
        <w:rPr>
          <w:spacing w:val="-1"/>
        </w:rPr>
        <w:t xml:space="preserve"> </w:t>
      </w:r>
      <w:r>
        <w:t>de</w:t>
      </w:r>
      <w:r>
        <w:rPr>
          <w:spacing w:val="-2"/>
        </w:rPr>
        <w:t xml:space="preserve"> </w:t>
      </w:r>
      <w:r>
        <w:t>las</w:t>
      </w:r>
      <w:r>
        <w:rPr>
          <w:spacing w:val="-2"/>
        </w:rPr>
        <w:t xml:space="preserve"> </w:t>
      </w:r>
      <w:r>
        <w:t>leyes</w:t>
      </w:r>
      <w:r>
        <w:rPr>
          <w:spacing w:val="-2"/>
        </w:rPr>
        <w:t xml:space="preserve"> </w:t>
      </w:r>
      <w:r>
        <w:t>21.073</w:t>
      </w:r>
      <w:r>
        <w:rPr>
          <w:spacing w:val="-2"/>
        </w:rPr>
        <w:t xml:space="preserve"> </w:t>
      </w:r>
      <w:r>
        <w:t>que</w:t>
      </w:r>
      <w:r>
        <w:rPr>
          <w:spacing w:val="-2"/>
        </w:rPr>
        <w:t xml:space="preserve"> </w:t>
      </w:r>
      <w:r>
        <w:t>regula</w:t>
      </w:r>
      <w:r>
        <w:rPr>
          <w:spacing w:val="-2"/>
        </w:rPr>
        <w:t xml:space="preserve"> </w:t>
      </w:r>
      <w:r>
        <w:t>la</w:t>
      </w:r>
      <w:r>
        <w:rPr>
          <w:spacing w:val="-2"/>
        </w:rPr>
        <w:t xml:space="preserve"> </w:t>
      </w:r>
      <w:r>
        <w:t>elección</w:t>
      </w:r>
      <w:r>
        <w:rPr>
          <w:spacing w:val="-1"/>
        </w:rPr>
        <w:t xml:space="preserve"> </w:t>
      </w:r>
      <w:r>
        <w:t>de</w:t>
      </w:r>
      <w:r>
        <w:rPr>
          <w:spacing w:val="-2"/>
        </w:rPr>
        <w:t xml:space="preserve"> </w:t>
      </w:r>
      <w:r>
        <w:t>los</w:t>
      </w:r>
      <w:r>
        <w:rPr>
          <w:spacing w:val="-3"/>
        </w:rPr>
        <w:t xml:space="preserve"> </w:t>
      </w:r>
      <w:r>
        <w:t>Go</w:t>
      </w:r>
      <w:r>
        <w:t>bernadores Regionales, y la ley 21.074 sobre Fortalecimiento de la Regionalización del país, ambas normas del año 2018, nuestro país dio un importante paso para consagrar un sentir que venía arrastrándose hace décadas: lograr descentralizar la organización</w:t>
      </w:r>
      <w:r>
        <w:t xml:space="preserve"> administrativa del Estado. En ese sentido, uno de los hitos más importantes de la ley ha sido el reemplazo de la figura del Intendente Regional,</w:t>
      </w:r>
      <w:r>
        <w:rPr>
          <w:spacing w:val="40"/>
        </w:rPr>
        <w:t xml:space="preserve"> </w:t>
      </w:r>
      <w:proofErr w:type="gramStart"/>
      <w:r>
        <w:t>por</w:t>
      </w:r>
      <w:proofErr w:type="gramEnd"/>
      <w:r>
        <w:t xml:space="preserve"> la del Gobernador Regional. Con esto, la máxima autoridad en cada una de las regiones ya no depende ni tam</w:t>
      </w:r>
      <w:r>
        <w:t>poco consulta al gobierno central respecto de sus decisiones o políticas públicas llevadas a cabo, puesto que dicho cargo ya no es designado</w:t>
      </w:r>
      <w:r>
        <w:rPr>
          <w:spacing w:val="-3"/>
        </w:rPr>
        <w:t xml:space="preserve"> </w:t>
      </w:r>
      <w:r>
        <w:t>directamente</w:t>
      </w:r>
      <w:r>
        <w:rPr>
          <w:spacing w:val="-3"/>
        </w:rPr>
        <w:t xml:space="preserve"> </w:t>
      </w:r>
      <w:r>
        <w:t>por</w:t>
      </w:r>
      <w:r>
        <w:rPr>
          <w:spacing w:val="-3"/>
        </w:rPr>
        <w:t xml:space="preserve"> </w:t>
      </w:r>
      <w:r>
        <w:t>el</w:t>
      </w:r>
      <w:r>
        <w:rPr>
          <w:spacing w:val="-4"/>
        </w:rPr>
        <w:t xml:space="preserve"> </w:t>
      </w:r>
      <w:r>
        <w:t>Presidente</w:t>
      </w:r>
      <w:r>
        <w:rPr>
          <w:spacing w:val="-3"/>
        </w:rPr>
        <w:t xml:space="preserve"> </w:t>
      </w:r>
      <w:r>
        <w:t>de</w:t>
      </w:r>
      <w:r>
        <w:rPr>
          <w:spacing w:val="-3"/>
        </w:rPr>
        <w:t xml:space="preserve"> </w:t>
      </w:r>
      <w:r>
        <w:t>la</w:t>
      </w:r>
      <w:r>
        <w:rPr>
          <w:spacing w:val="-3"/>
        </w:rPr>
        <w:t xml:space="preserve"> </w:t>
      </w:r>
      <w:r>
        <w:t>República,</w:t>
      </w:r>
      <w:r>
        <w:rPr>
          <w:spacing w:val="-3"/>
        </w:rPr>
        <w:t xml:space="preserve"> </w:t>
      </w:r>
      <w:r>
        <w:t>sino</w:t>
      </w:r>
      <w:r>
        <w:rPr>
          <w:spacing w:val="-2"/>
        </w:rPr>
        <w:t xml:space="preserve"> </w:t>
      </w:r>
      <w:r>
        <w:t>más</w:t>
      </w:r>
      <w:r>
        <w:rPr>
          <w:spacing w:val="-3"/>
        </w:rPr>
        <w:t xml:space="preserve"> </w:t>
      </w:r>
      <w:r>
        <w:t>bien</w:t>
      </w:r>
      <w:r>
        <w:rPr>
          <w:spacing w:val="-1"/>
        </w:rPr>
        <w:t xml:space="preserve"> </w:t>
      </w:r>
      <w:r>
        <w:t>es</w:t>
      </w:r>
      <w:r>
        <w:rPr>
          <w:spacing w:val="-3"/>
        </w:rPr>
        <w:t xml:space="preserve"> </w:t>
      </w:r>
      <w:r>
        <w:t>elegido democráticamente por la ciudadanía vía voto popular.</w:t>
      </w:r>
    </w:p>
    <w:p w:rsidR="0000015C" w:rsidRDefault="0000015C">
      <w:pPr>
        <w:pStyle w:val="Textoindependiente"/>
        <w:rPr>
          <w:sz w:val="36"/>
        </w:rPr>
      </w:pPr>
    </w:p>
    <w:p w:rsidR="0000015C" w:rsidRDefault="00485183">
      <w:pPr>
        <w:pStyle w:val="Textoindependiente"/>
        <w:spacing w:line="360" w:lineRule="auto"/>
        <w:ind w:left="119" w:right="116"/>
        <w:jc w:val="both"/>
      </w:pPr>
      <w:r>
        <w:rPr>
          <w:b/>
        </w:rPr>
        <w:t xml:space="preserve">2.- </w:t>
      </w:r>
      <w:r>
        <w:t>Con la entrada en vigencia de las normas mencionadas, también se adecuaron una serie de leyes relacionadas con las competencias que detentaban los Intendentes Regionales, con el fin de radic</w:t>
      </w:r>
      <w:r>
        <w:t>arlas en la nueva autoridad regional.</w:t>
      </w:r>
      <w:r>
        <w:rPr>
          <w:spacing w:val="40"/>
        </w:rPr>
        <w:t xml:space="preserve"> </w:t>
      </w:r>
      <w:r>
        <w:t>Así, por ejemplo, la ley 21.074 realiza una serie de modificaciones a la ley Nº 18.695, Orgánica Constitucional de Municipalidades relacionadas con los convenios entre los Gobiernos Regionales y los Municipios. También</w:t>
      </w:r>
      <w:r>
        <w:t xml:space="preserve"> se modifica el Código Procesal Penal, la ley de Bases Generales de la Administración del Estado y la nueva Ley General de Urbanismo y Construcciones. En todos esos cuerpos normativos, existían regulaciones donde los Intendentes Regionales tenían incumbenc</w:t>
      </w:r>
      <w:r>
        <w:t>ia,</w:t>
      </w:r>
      <w:r>
        <w:rPr>
          <w:spacing w:val="-4"/>
        </w:rPr>
        <w:t xml:space="preserve"> </w:t>
      </w:r>
      <w:r>
        <w:t>por</w:t>
      </w:r>
      <w:r>
        <w:rPr>
          <w:spacing w:val="-4"/>
        </w:rPr>
        <w:t xml:space="preserve"> </w:t>
      </w:r>
      <w:r>
        <w:t>lo</w:t>
      </w:r>
      <w:r>
        <w:rPr>
          <w:spacing w:val="-4"/>
        </w:rPr>
        <w:t xml:space="preserve"> </w:t>
      </w:r>
      <w:r>
        <w:t>que</w:t>
      </w:r>
      <w:r>
        <w:rPr>
          <w:spacing w:val="-4"/>
        </w:rPr>
        <w:t xml:space="preserve"> </w:t>
      </w:r>
      <w:r>
        <w:t>lógicamente</w:t>
      </w:r>
      <w:r>
        <w:rPr>
          <w:spacing w:val="-4"/>
        </w:rPr>
        <w:t xml:space="preserve"> </w:t>
      </w:r>
      <w:r>
        <w:t>se</w:t>
      </w:r>
      <w:r>
        <w:rPr>
          <w:spacing w:val="-4"/>
        </w:rPr>
        <w:t xml:space="preserve"> </w:t>
      </w:r>
      <w:r>
        <w:t>debió adecuar</w:t>
      </w:r>
      <w:r>
        <w:rPr>
          <w:spacing w:val="-3"/>
        </w:rPr>
        <w:t xml:space="preserve"> </w:t>
      </w:r>
      <w:r>
        <w:t>la</w:t>
      </w:r>
      <w:r>
        <w:rPr>
          <w:spacing w:val="-4"/>
        </w:rPr>
        <w:t xml:space="preserve"> </w:t>
      </w:r>
      <w:r>
        <w:t>ley</w:t>
      </w:r>
      <w:r>
        <w:rPr>
          <w:spacing w:val="-2"/>
        </w:rPr>
        <w:t xml:space="preserve"> </w:t>
      </w:r>
      <w:r>
        <w:t>de</w:t>
      </w:r>
      <w:r>
        <w:rPr>
          <w:spacing w:val="-4"/>
        </w:rPr>
        <w:t xml:space="preserve"> </w:t>
      </w:r>
      <w:r>
        <w:t>conformidad</w:t>
      </w:r>
      <w:r>
        <w:rPr>
          <w:spacing w:val="-1"/>
        </w:rPr>
        <w:t xml:space="preserve"> </w:t>
      </w:r>
      <w:r>
        <w:t>con</w:t>
      </w:r>
      <w:r>
        <w:rPr>
          <w:spacing w:val="-2"/>
        </w:rPr>
        <w:t xml:space="preserve"> </w:t>
      </w:r>
      <w:r>
        <w:t>la nueva organización regional.</w:t>
      </w:r>
    </w:p>
    <w:p w:rsidR="0000015C" w:rsidRDefault="00485183">
      <w:pPr>
        <w:pStyle w:val="Textoindependiente"/>
        <w:spacing w:before="2" w:line="360" w:lineRule="auto"/>
        <w:ind w:left="119" w:right="118"/>
        <w:jc w:val="both"/>
      </w:pPr>
      <w:r>
        <w:rPr>
          <w:b/>
        </w:rPr>
        <w:t xml:space="preserve">3.- </w:t>
      </w:r>
      <w:r>
        <w:t>Sin embargo, las adecuaciones señaladas no abarcaron la totalidad de las normas en las cuales los antiguos Intendentes Regionales mantenían sus atribu</w:t>
      </w:r>
      <w:r>
        <w:t>ciones, para depositarlas en los actuales Gobernadores Regionales, o bien, algunas de ellas fueron radicadas en el Delegado Presidencial Regional. Así se dispuso</w:t>
      </w:r>
      <w:r>
        <w:rPr>
          <w:spacing w:val="29"/>
        </w:rPr>
        <w:t xml:space="preserve"> </w:t>
      </w:r>
      <w:r>
        <w:t>en</w:t>
      </w:r>
      <w:r>
        <w:rPr>
          <w:spacing w:val="31"/>
        </w:rPr>
        <w:t xml:space="preserve"> </w:t>
      </w:r>
      <w:r>
        <w:t>la</w:t>
      </w:r>
      <w:r>
        <w:rPr>
          <w:spacing w:val="31"/>
        </w:rPr>
        <w:t xml:space="preserve"> </w:t>
      </w:r>
      <w:r>
        <w:t>ley</w:t>
      </w:r>
      <w:r>
        <w:rPr>
          <w:spacing w:val="31"/>
        </w:rPr>
        <w:t xml:space="preserve"> </w:t>
      </w:r>
      <w:r>
        <w:t>21.324</w:t>
      </w:r>
      <w:r>
        <w:rPr>
          <w:spacing w:val="29"/>
        </w:rPr>
        <w:t xml:space="preserve"> </w:t>
      </w:r>
      <w:r>
        <w:t>que</w:t>
      </w:r>
      <w:r>
        <w:rPr>
          <w:spacing w:val="30"/>
        </w:rPr>
        <w:t xml:space="preserve"> </w:t>
      </w:r>
      <w:r>
        <w:t>reformó</w:t>
      </w:r>
      <w:r>
        <w:rPr>
          <w:spacing w:val="30"/>
        </w:rPr>
        <w:t xml:space="preserve"> </w:t>
      </w:r>
      <w:r>
        <w:t>la</w:t>
      </w:r>
      <w:r>
        <w:rPr>
          <w:spacing w:val="29"/>
        </w:rPr>
        <w:t xml:space="preserve"> </w:t>
      </w:r>
      <w:r>
        <w:t>Constitución</w:t>
      </w:r>
      <w:r>
        <w:rPr>
          <w:spacing w:val="30"/>
        </w:rPr>
        <w:t xml:space="preserve"> </w:t>
      </w:r>
      <w:r>
        <w:t>Política</w:t>
      </w:r>
      <w:r>
        <w:rPr>
          <w:spacing w:val="34"/>
        </w:rPr>
        <w:t xml:space="preserve"> </w:t>
      </w:r>
      <w:r>
        <w:t>de</w:t>
      </w:r>
      <w:r>
        <w:rPr>
          <w:spacing w:val="29"/>
        </w:rPr>
        <w:t xml:space="preserve"> </w:t>
      </w:r>
      <w:r>
        <w:t>la</w:t>
      </w:r>
      <w:r>
        <w:rPr>
          <w:spacing w:val="29"/>
        </w:rPr>
        <w:t xml:space="preserve"> </w:t>
      </w:r>
      <w:r>
        <w:t>República</w:t>
      </w:r>
      <w:r>
        <w:rPr>
          <w:spacing w:val="29"/>
        </w:rPr>
        <w:t xml:space="preserve"> </w:t>
      </w:r>
      <w:r>
        <w:rPr>
          <w:spacing w:val="-5"/>
        </w:rPr>
        <w:t>de</w:t>
      </w:r>
    </w:p>
    <w:p w:rsidR="0000015C" w:rsidRDefault="0000015C">
      <w:pPr>
        <w:spacing w:line="360" w:lineRule="auto"/>
        <w:jc w:val="both"/>
        <w:sectPr w:rsidR="0000015C">
          <w:headerReference w:type="default" r:id="rId6"/>
          <w:type w:val="continuous"/>
          <w:pgSz w:w="12240" w:h="20160"/>
          <w:pgMar w:top="2140" w:right="1580" w:bottom="280" w:left="1580" w:header="725" w:footer="0" w:gutter="0"/>
          <w:pgNumType w:start="1"/>
          <w:cols w:space="720"/>
        </w:sectPr>
      </w:pPr>
    </w:p>
    <w:p w:rsidR="0000015C" w:rsidRDefault="00485183">
      <w:pPr>
        <w:spacing w:before="19" w:line="345" w:lineRule="auto"/>
        <w:ind w:left="119" w:right="115"/>
        <w:jc w:val="both"/>
        <w:rPr>
          <w:sz w:val="24"/>
        </w:rPr>
      </w:pPr>
      <w:r>
        <w:rPr>
          <w:sz w:val="24"/>
        </w:rPr>
        <w:lastRenderedPageBreak/>
        <w:t xml:space="preserve">Chile, al incorporar en nuestra Carta Fundamental la Disposición Transitoria Vigésimo Novena, la cual en su inciso séptimo señala: </w:t>
      </w:r>
      <w:r>
        <w:rPr>
          <w:b/>
          <w:i/>
          <w:sz w:val="25"/>
        </w:rPr>
        <w:t xml:space="preserve">“Los gobernadores regionales electos, desde que asuman, tendrán las funciones y </w:t>
      </w:r>
      <w:r>
        <w:rPr>
          <w:b/>
          <w:i/>
          <w:spacing w:val="-2"/>
          <w:sz w:val="25"/>
        </w:rPr>
        <w:t>atribuciones</w:t>
      </w:r>
      <w:r>
        <w:rPr>
          <w:b/>
          <w:i/>
          <w:spacing w:val="-13"/>
          <w:sz w:val="25"/>
        </w:rPr>
        <w:t xml:space="preserve"> </w:t>
      </w:r>
      <w:r>
        <w:rPr>
          <w:b/>
          <w:i/>
          <w:spacing w:val="-2"/>
          <w:sz w:val="25"/>
        </w:rPr>
        <w:t>que</w:t>
      </w:r>
      <w:r>
        <w:rPr>
          <w:b/>
          <w:i/>
          <w:spacing w:val="-10"/>
          <w:sz w:val="25"/>
        </w:rPr>
        <w:t xml:space="preserve"> </w:t>
      </w:r>
      <w:r>
        <w:rPr>
          <w:b/>
          <w:i/>
          <w:spacing w:val="-2"/>
          <w:sz w:val="25"/>
        </w:rPr>
        <w:t>las</w:t>
      </w:r>
      <w:r>
        <w:rPr>
          <w:b/>
          <w:i/>
          <w:spacing w:val="-14"/>
          <w:sz w:val="25"/>
        </w:rPr>
        <w:t xml:space="preserve"> </w:t>
      </w:r>
      <w:r>
        <w:rPr>
          <w:b/>
          <w:i/>
          <w:spacing w:val="-2"/>
          <w:sz w:val="25"/>
        </w:rPr>
        <w:t>leyes</w:t>
      </w:r>
      <w:r>
        <w:rPr>
          <w:b/>
          <w:i/>
          <w:spacing w:val="-10"/>
          <w:sz w:val="25"/>
        </w:rPr>
        <w:t xml:space="preserve"> </w:t>
      </w:r>
      <w:r>
        <w:rPr>
          <w:b/>
          <w:i/>
          <w:spacing w:val="-2"/>
          <w:sz w:val="25"/>
        </w:rPr>
        <w:t>otorgan</w:t>
      </w:r>
      <w:r>
        <w:rPr>
          <w:b/>
          <w:i/>
          <w:spacing w:val="-10"/>
          <w:sz w:val="25"/>
        </w:rPr>
        <w:t xml:space="preserve"> </w:t>
      </w:r>
      <w:r>
        <w:rPr>
          <w:b/>
          <w:i/>
          <w:spacing w:val="-2"/>
          <w:sz w:val="25"/>
        </w:rPr>
        <w:t>expresamente</w:t>
      </w:r>
      <w:r>
        <w:rPr>
          <w:b/>
          <w:i/>
          <w:spacing w:val="-10"/>
          <w:sz w:val="25"/>
        </w:rPr>
        <w:t xml:space="preserve"> </w:t>
      </w:r>
      <w:r>
        <w:rPr>
          <w:b/>
          <w:i/>
          <w:spacing w:val="-2"/>
          <w:sz w:val="25"/>
        </w:rPr>
        <w:t>al</w:t>
      </w:r>
      <w:r>
        <w:rPr>
          <w:b/>
          <w:i/>
          <w:spacing w:val="-15"/>
          <w:sz w:val="25"/>
        </w:rPr>
        <w:t xml:space="preserve"> </w:t>
      </w:r>
      <w:r>
        <w:rPr>
          <w:b/>
          <w:i/>
          <w:spacing w:val="-2"/>
          <w:sz w:val="25"/>
        </w:rPr>
        <w:t>intendente</w:t>
      </w:r>
      <w:r>
        <w:rPr>
          <w:b/>
          <w:i/>
          <w:spacing w:val="-7"/>
          <w:sz w:val="25"/>
        </w:rPr>
        <w:t xml:space="preserve"> </w:t>
      </w:r>
      <w:r>
        <w:rPr>
          <w:b/>
          <w:i/>
          <w:spacing w:val="-2"/>
          <w:sz w:val="25"/>
          <w:u w:val="single"/>
        </w:rPr>
        <w:t>en</w:t>
      </w:r>
      <w:r>
        <w:rPr>
          <w:b/>
          <w:i/>
          <w:spacing w:val="-15"/>
          <w:sz w:val="25"/>
          <w:u w:val="single"/>
        </w:rPr>
        <w:t xml:space="preserve"> </w:t>
      </w:r>
      <w:r>
        <w:rPr>
          <w:b/>
          <w:i/>
          <w:spacing w:val="-2"/>
          <w:sz w:val="25"/>
          <w:u w:val="single"/>
        </w:rPr>
        <w:t>tanto</w:t>
      </w:r>
      <w:r>
        <w:rPr>
          <w:b/>
          <w:i/>
          <w:spacing w:val="-2"/>
          <w:sz w:val="25"/>
        </w:rPr>
        <w:t xml:space="preserve"> </w:t>
      </w:r>
      <w:r>
        <w:rPr>
          <w:b/>
          <w:i/>
          <w:sz w:val="25"/>
          <w:u w:val="single"/>
        </w:rPr>
        <w:t>órgano ejecutivo del gobierno regional</w:t>
      </w:r>
      <w:r>
        <w:rPr>
          <w:b/>
          <w:i/>
          <w:sz w:val="25"/>
        </w:rPr>
        <w:t xml:space="preserve">. Las restantes funciones y atribuciones que las leyes entregan al </w:t>
      </w:r>
      <w:r>
        <w:rPr>
          <w:b/>
          <w:i/>
          <w:sz w:val="25"/>
        </w:rPr>
        <w:t>intendente se entenderán referidas</w:t>
      </w:r>
      <w:r>
        <w:rPr>
          <w:b/>
          <w:i/>
          <w:spacing w:val="-19"/>
          <w:sz w:val="25"/>
        </w:rPr>
        <w:t xml:space="preserve"> </w:t>
      </w:r>
      <w:r>
        <w:rPr>
          <w:b/>
          <w:i/>
          <w:sz w:val="25"/>
        </w:rPr>
        <w:t>al</w:t>
      </w:r>
      <w:r>
        <w:rPr>
          <w:b/>
          <w:i/>
          <w:spacing w:val="-18"/>
          <w:sz w:val="25"/>
        </w:rPr>
        <w:t xml:space="preserve"> </w:t>
      </w:r>
      <w:r>
        <w:rPr>
          <w:b/>
          <w:i/>
          <w:sz w:val="25"/>
        </w:rPr>
        <w:t>delegado</w:t>
      </w:r>
      <w:r>
        <w:rPr>
          <w:b/>
          <w:i/>
          <w:spacing w:val="-18"/>
          <w:sz w:val="25"/>
        </w:rPr>
        <w:t xml:space="preserve"> </w:t>
      </w:r>
      <w:r>
        <w:rPr>
          <w:b/>
          <w:i/>
          <w:sz w:val="25"/>
        </w:rPr>
        <w:t>presidencial</w:t>
      </w:r>
      <w:r>
        <w:rPr>
          <w:b/>
          <w:i/>
          <w:spacing w:val="-19"/>
          <w:sz w:val="25"/>
        </w:rPr>
        <w:t xml:space="preserve"> </w:t>
      </w:r>
      <w:r>
        <w:rPr>
          <w:b/>
          <w:i/>
          <w:sz w:val="25"/>
        </w:rPr>
        <w:t>regional</w:t>
      </w:r>
      <w:r>
        <w:rPr>
          <w:b/>
          <w:i/>
          <w:spacing w:val="-18"/>
          <w:sz w:val="25"/>
        </w:rPr>
        <w:t xml:space="preserve"> </w:t>
      </w:r>
      <w:r>
        <w:rPr>
          <w:b/>
          <w:i/>
          <w:sz w:val="25"/>
        </w:rPr>
        <w:t>que</w:t>
      </w:r>
      <w:r>
        <w:rPr>
          <w:b/>
          <w:i/>
          <w:spacing w:val="-18"/>
          <w:sz w:val="25"/>
        </w:rPr>
        <w:t xml:space="preserve"> </w:t>
      </w:r>
      <w:r>
        <w:rPr>
          <w:b/>
          <w:i/>
          <w:sz w:val="25"/>
        </w:rPr>
        <w:t>corresponda.</w:t>
      </w:r>
      <w:r>
        <w:rPr>
          <w:b/>
          <w:i/>
          <w:spacing w:val="-19"/>
          <w:sz w:val="25"/>
        </w:rPr>
        <w:t xml:space="preserve"> </w:t>
      </w:r>
      <w:r>
        <w:rPr>
          <w:b/>
          <w:i/>
          <w:sz w:val="25"/>
        </w:rPr>
        <w:t xml:space="preserve">Asimismo, las funciones y atribuciones que las leyes entregan al gobernador se </w:t>
      </w:r>
      <w:r>
        <w:rPr>
          <w:b/>
          <w:i/>
          <w:spacing w:val="-2"/>
          <w:sz w:val="25"/>
        </w:rPr>
        <w:t>entenderán</w:t>
      </w:r>
      <w:r>
        <w:rPr>
          <w:b/>
          <w:i/>
          <w:spacing w:val="-13"/>
          <w:sz w:val="25"/>
        </w:rPr>
        <w:t xml:space="preserve"> </w:t>
      </w:r>
      <w:r>
        <w:rPr>
          <w:b/>
          <w:i/>
          <w:spacing w:val="-2"/>
          <w:sz w:val="25"/>
        </w:rPr>
        <w:t>atribuidas</w:t>
      </w:r>
      <w:r>
        <w:rPr>
          <w:b/>
          <w:i/>
          <w:spacing w:val="-12"/>
          <w:sz w:val="25"/>
        </w:rPr>
        <w:t xml:space="preserve"> </w:t>
      </w:r>
      <w:r>
        <w:rPr>
          <w:b/>
          <w:i/>
          <w:spacing w:val="-2"/>
          <w:sz w:val="25"/>
        </w:rPr>
        <w:t>al</w:t>
      </w:r>
      <w:r>
        <w:rPr>
          <w:b/>
          <w:i/>
          <w:spacing w:val="-9"/>
          <w:sz w:val="25"/>
        </w:rPr>
        <w:t xml:space="preserve"> </w:t>
      </w:r>
      <w:r>
        <w:rPr>
          <w:b/>
          <w:i/>
          <w:spacing w:val="-2"/>
          <w:sz w:val="25"/>
        </w:rPr>
        <w:t>delegado</w:t>
      </w:r>
      <w:r>
        <w:rPr>
          <w:b/>
          <w:i/>
          <w:spacing w:val="-9"/>
          <w:sz w:val="25"/>
        </w:rPr>
        <w:t xml:space="preserve"> </w:t>
      </w:r>
      <w:r>
        <w:rPr>
          <w:b/>
          <w:i/>
          <w:spacing w:val="-2"/>
          <w:sz w:val="25"/>
        </w:rPr>
        <w:t>presidencial</w:t>
      </w:r>
      <w:r>
        <w:rPr>
          <w:b/>
          <w:i/>
          <w:spacing w:val="-10"/>
          <w:sz w:val="25"/>
        </w:rPr>
        <w:t xml:space="preserve"> </w:t>
      </w:r>
      <w:r>
        <w:rPr>
          <w:b/>
          <w:i/>
          <w:spacing w:val="-2"/>
          <w:sz w:val="25"/>
        </w:rPr>
        <w:t>provincial”</w:t>
      </w:r>
      <w:r>
        <w:rPr>
          <w:spacing w:val="-2"/>
          <w:sz w:val="24"/>
        </w:rPr>
        <w:t>.</w:t>
      </w:r>
    </w:p>
    <w:p w:rsidR="0000015C" w:rsidRDefault="00485183">
      <w:pPr>
        <w:pStyle w:val="Textoindependiente"/>
        <w:spacing w:before="20" w:line="360" w:lineRule="auto"/>
        <w:ind w:left="119" w:right="116"/>
        <w:jc w:val="both"/>
      </w:pPr>
      <w:r>
        <w:rPr>
          <w:b/>
        </w:rPr>
        <w:t xml:space="preserve">4.- </w:t>
      </w:r>
      <w:r>
        <w:t>En el caso de la ley 12.927 sobre Seguridad del Estado, cuyo texto actualizado y refundido se encuentra contenido en el decreto 890 del año 1975, específicamente en su artículo 26, se facultaba a los Intendentes Regionales para presentar denuncia o querell</w:t>
      </w:r>
      <w:r>
        <w:t>a respecto de hechos constitutivos de los delitos descritos</w:t>
      </w:r>
      <w:r>
        <w:rPr>
          <w:spacing w:val="-1"/>
        </w:rPr>
        <w:t xml:space="preserve"> </w:t>
      </w:r>
      <w:r>
        <w:t>y sancionados</w:t>
      </w:r>
      <w:r>
        <w:rPr>
          <w:spacing w:val="-1"/>
        </w:rPr>
        <w:t xml:space="preserve"> </w:t>
      </w:r>
      <w:r>
        <w:t>en la mencionada ley, así</w:t>
      </w:r>
      <w:r>
        <w:rPr>
          <w:spacing w:val="-1"/>
        </w:rPr>
        <w:t xml:space="preserve"> </w:t>
      </w:r>
      <w:r>
        <w:t>como también en los</w:t>
      </w:r>
      <w:r>
        <w:rPr>
          <w:spacing w:val="-1"/>
        </w:rPr>
        <w:t xml:space="preserve"> </w:t>
      </w:r>
      <w:r>
        <w:t>Títulos</w:t>
      </w:r>
      <w:r>
        <w:rPr>
          <w:spacing w:val="-1"/>
        </w:rPr>
        <w:t xml:space="preserve"> </w:t>
      </w:r>
      <w:r>
        <w:t>I,</w:t>
      </w:r>
      <w:r>
        <w:rPr>
          <w:spacing w:val="-5"/>
        </w:rPr>
        <w:t xml:space="preserve"> </w:t>
      </w:r>
      <w:r>
        <w:t>II y VI, Párrafo 1° del Libro II del Código Penal y en el Título IV del Libro III del Código de Justicia Militar. Bajo ese or</w:t>
      </w:r>
      <w:r>
        <w:t>den de cosas, las materias señaladas no se relacionan con las atribuciones de los intendentes como órganos ejecutivos del gobierno regional, por tanto, en virtud de lo regulado por la disposición transitoria vigésima novena de la Constitución, la posibilid</w:t>
      </w:r>
      <w:r>
        <w:t>ad de presentar querella en virtud de la ley sobre Seguridad del Estado recaería en los Delegados Presidenciales Regionales, más no en los Gobernadores Regionales.</w:t>
      </w:r>
    </w:p>
    <w:p w:rsidR="0000015C" w:rsidRDefault="00485183">
      <w:pPr>
        <w:pStyle w:val="Textoindependiente"/>
        <w:spacing w:line="360" w:lineRule="auto"/>
        <w:ind w:left="119" w:right="115"/>
        <w:jc w:val="both"/>
      </w:pPr>
      <w:r>
        <w:rPr>
          <w:b/>
        </w:rPr>
        <w:t xml:space="preserve">5.- </w:t>
      </w:r>
      <w:r>
        <w:t>Esta situación, en la práctica, podría generar que en la actualidad los</w:t>
      </w:r>
      <w:r>
        <w:rPr>
          <w:spacing w:val="40"/>
        </w:rPr>
        <w:t xml:space="preserve"> </w:t>
      </w:r>
      <w:r>
        <w:t>Tribunales de Ju</w:t>
      </w:r>
      <w:r>
        <w:t xml:space="preserve">sticia declaren inadmisibles querellas promovidas desde los Gobiernos Regionales, fundamentando falta de legitimación activa para dichos </w:t>
      </w:r>
      <w:r>
        <w:rPr>
          <w:spacing w:val="-2"/>
        </w:rPr>
        <w:t>efectos.</w:t>
      </w:r>
    </w:p>
    <w:p w:rsidR="0000015C" w:rsidRDefault="00485183">
      <w:pPr>
        <w:pStyle w:val="Textoindependiente"/>
        <w:spacing w:line="360" w:lineRule="auto"/>
        <w:ind w:left="119" w:right="118"/>
        <w:jc w:val="both"/>
      </w:pPr>
      <w:r>
        <w:rPr>
          <w:b/>
        </w:rPr>
        <w:t xml:space="preserve">6.- </w:t>
      </w:r>
      <w:r>
        <w:t>Por lo anterior, las Diputadas y Diputados firmantes venimos en proponer una modificación al artículo 26 d</w:t>
      </w:r>
      <w:r>
        <w:t>e la ley sobre seguridad del Estado, en el sentido de complementar su contenido con el fin de dotar de la plena facultad a los Gobernadores Regionales para presentar denuncia o querella en virtud de los hechos constitutivos de delitos señalados en la propi</w:t>
      </w:r>
      <w:r>
        <w:t>a ley de seguridad del Estado, y en los delitos establecidos en el Código Penal y en el Código de Justicia militar. Con</w:t>
      </w:r>
      <w:r>
        <w:rPr>
          <w:spacing w:val="-1"/>
        </w:rPr>
        <w:t xml:space="preserve"> </w:t>
      </w:r>
      <w:r>
        <w:t>ello,</w:t>
      </w:r>
      <w:r>
        <w:rPr>
          <w:spacing w:val="-3"/>
        </w:rPr>
        <w:t xml:space="preserve"> </w:t>
      </w:r>
      <w:r>
        <w:t>consideramos</w:t>
      </w:r>
      <w:r>
        <w:rPr>
          <w:spacing w:val="-3"/>
        </w:rPr>
        <w:t xml:space="preserve"> </w:t>
      </w:r>
      <w:r>
        <w:t>que</w:t>
      </w:r>
      <w:r>
        <w:rPr>
          <w:spacing w:val="-3"/>
        </w:rPr>
        <w:t xml:space="preserve"> </w:t>
      </w:r>
      <w:r>
        <w:t>se</w:t>
      </w:r>
      <w:r>
        <w:rPr>
          <w:spacing w:val="-3"/>
        </w:rPr>
        <w:t xml:space="preserve"> </w:t>
      </w:r>
      <w:r>
        <w:t>abre</w:t>
      </w:r>
      <w:r>
        <w:rPr>
          <w:spacing w:val="-3"/>
        </w:rPr>
        <w:t xml:space="preserve"> </w:t>
      </w:r>
      <w:r>
        <w:t>un</w:t>
      </w:r>
      <w:r>
        <w:rPr>
          <w:spacing w:val="-1"/>
        </w:rPr>
        <w:t xml:space="preserve"> </w:t>
      </w:r>
      <w:r>
        <w:t>importante</w:t>
      </w:r>
      <w:r>
        <w:rPr>
          <w:spacing w:val="-3"/>
        </w:rPr>
        <w:t xml:space="preserve"> </w:t>
      </w:r>
      <w:r>
        <w:t>hito</w:t>
      </w:r>
      <w:r>
        <w:rPr>
          <w:spacing w:val="-3"/>
        </w:rPr>
        <w:t xml:space="preserve"> </w:t>
      </w:r>
      <w:r>
        <w:t>en</w:t>
      </w:r>
      <w:r>
        <w:rPr>
          <w:spacing w:val="-1"/>
        </w:rPr>
        <w:t xml:space="preserve"> </w:t>
      </w:r>
      <w:r>
        <w:t>la</w:t>
      </w:r>
      <w:r>
        <w:rPr>
          <w:spacing w:val="-3"/>
        </w:rPr>
        <w:t xml:space="preserve"> </w:t>
      </w:r>
      <w:r>
        <w:t>persecución</w:t>
      </w:r>
      <w:r>
        <w:rPr>
          <w:spacing w:val="-2"/>
        </w:rPr>
        <w:t xml:space="preserve"> </w:t>
      </w:r>
      <w:r>
        <w:t>de</w:t>
      </w:r>
      <w:r>
        <w:rPr>
          <w:spacing w:val="-3"/>
        </w:rPr>
        <w:t xml:space="preserve"> </w:t>
      </w:r>
      <w:r>
        <w:t>delitos de alta connotación pública, ya que la figura del Goberna</w:t>
      </w:r>
      <w:r>
        <w:t>dor Regional goza de pleno conocimiento de las situaciones que se presentan dentro de su región y puede reaccionar con mayor agilidad para la persecución de hechos punibles.</w:t>
      </w:r>
    </w:p>
    <w:p w:rsidR="0000015C" w:rsidRDefault="0000015C">
      <w:pPr>
        <w:spacing w:line="360" w:lineRule="auto"/>
        <w:jc w:val="both"/>
        <w:sectPr w:rsidR="0000015C">
          <w:pgSz w:w="12240" w:h="20160"/>
          <w:pgMar w:top="2140" w:right="1580" w:bottom="280" w:left="1580" w:header="725" w:footer="0" w:gutter="0"/>
          <w:cols w:space="720"/>
        </w:sectPr>
      </w:pPr>
    </w:p>
    <w:p w:rsidR="0000015C" w:rsidRDefault="00485183">
      <w:pPr>
        <w:pStyle w:val="Textoindependiente"/>
        <w:spacing w:before="19" w:line="357" w:lineRule="auto"/>
        <w:ind w:left="119" w:right="124"/>
        <w:jc w:val="both"/>
      </w:pPr>
      <w:r>
        <w:lastRenderedPageBreak/>
        <w:t xml:space="preserve">Por estos motivos, las Diputadas y Diputados firmantes tenemos el </w:t>
      </w:r>
      <w:r>
        <w:t>honor de someter al conocimiento de la Honorable Cámara de Diputados el siguiente</w:t>
      </w:r>
    </w:p>
    <w:p w:rsidR="0000015C" w:rsidRDefault="0000015C">
      <w:pPr>
        <w:pStyle w:val="Textoindependiente"/>
        <w:rPr>
          <w:sz w:val="28"/>
        </w:rPr>
      </w:pPr>
    </w:p>
    <w:p w:rsidR="0000015C" w:rsidRDefault="0000015C">
      <w:pPr>
        <w:pStyle w:val="Textoindependiente"/>
        <w:rPr>
          <w:sz w:val="28"/>
        </w:rPr>
      </w:pPr>
    </w:p>
    <w:p w:rsidR="0000015C" w:rsidRDefault="00485183">
      <w:pPr>
        <w:pStyle w:val="Ttulo1"/>
        <w:spacing w:before="199"/>
        <w:ind w:right="2372"/>
      </w:pPr>
      <w:r>
        <w:t>PROYECTO DE</w:t>
      </w:r>
      <w:r>
        <w:rPr>
          <w:spacing w:val="-3"/>
        </w:rPr>
        <w:t xml:space="preserve"> </w:t>
      </w:r>
      <w:r>
        <w:rPr>
          <w:spacing w:val="-5"/>
        </w:rPr>
        <w:t>LEY</w:t>
      </w:r>
    </w:p>
    <w:p w:rsidR="0000015C" w:rsidRDefault="0000015C">
      <w:pPr>
        <w:pStyle w:val="Textoindependiente"/>
        <w:rPr>
          <w:b/>
          <w:sz w:val="28"/>
        </w:rPr>
      </w:pPr>
    </w:p>
    <w:p w:rsidR="0000015C" w:rsidRDefault="00485183">
      <w:pPr>
        <w:spacing w:before="241" w:line="360" w:lineRule="auto"/>
        <w:ind w:left="119" w:right="116"/>
        <w:jc w:val="both"/>
        <w:rPr>
          <w:b/>
          <w:sz w:val="24"/>
        </w:rPr>
      </w:pPr>
      <w:r>
        <w:rPr>
          <w:b/>
          <w:sz w:val="24"/>
        </w:rPr>
        <w:t xml:space="preserve">Artículo Único: </w:t>
      </w:r>
      <w:r>
        <w:rPr>
          <w:sz w:val="24"/>
        </w:rPr>
        <w:t>Modifíquese el inciso primero del artículo 26° de la ley 12.927 sobre seguridad del Estado, cuyo texto actualizado y refundido se encuentra</w:t>
      </w:r>
      <w:r>
        <w:rPr>
          <w:sz w:val="24"/>
        </w:rPr>
        <w:t xml:space="preserve"> contenido en el decreto 890 del año 1975, de la manera que sigue: Entre la frase “del Intendente Regional respectivo”, y la frase “o de la autoridad o persona afectada” incorpórese lo siguiente: </w:t>
      </w:r>
      <w:r>
        <w:rPr>
          <w:b/>
          <w:sz w:val="24"/>
        </w:rPr>
        <w:t>“del Gobernador Regional por hechos acontecidos dentro de la</w:t>
      </w:r>
      <w:r>
        <w:rPr>
          <w:b/>
          <w:sz w:val="24"/>
        </w:rPr>
        <w:t xml:space="preserve"> región que representan”.</w:t>
      </w:r>
    </w:p>
    <w:p w:rsidR="0000015C" w:rsidRDefault="0000015C">
      <w:pPr>
        <w:pStyle w:val="Textoindependiente"/>
        <w:rPr>
          <w:b/>
          <w:sz w:val="28"/>
        </w:rPr>
      </w:pPr>
    </w:p>
    <w:p w:rsidR="0000015C" w:rsidRDefault="0000015C">
      <w:pPr>
        <w:pStyle w:val="Textoindependiente"/>
        <w:rPr>
          <w:b/>
          <w:sz w:val="28"/>
        </w:rPr>
      </w:pPr>
    </w:p>
    <w:p w:rsidR="0000015C" w:rsidRDefault="0000015C">
      <w:pPr>
        <w:pStyle w:val="Textoindependiente"/>
        <w:rPr>
          <w:b/>
          <w:sz w:val="28"/>
        </w:rPr>
      </w:pPr>
    </w:p>
    <w:p w:rsidR="0000015C" w:rsidRDefault="0000015C">
      <w:pPr>
        <w:pStyle w:val="Textoindependiente"/>
        <w:rPr>
          <w:b/>
          <w:sz w:val="28"/>
        </w:rPr>
      </w:pPr>
    </w:p>
    <w:p w:rsidR="0000015C" w:rsidRDefault="0000015C">
      <w:pPr>
        <w:pStyle w:val="Textoindependiente"/>
        <w:rPr>
          <w:b/>
          <w:sz w:val="28"/>
        </w:rPr>
      </w:pPr>
    </w:p>
    <w:p w:rsidR="0000015C" w:rsidRDefault="0000015C">
      <w:pPr>
        <w:pStyle w:val="Textoindependiente"/>
        <w:rPr>
          <w:b/>
          <w:sz w:val="28"/>
        </w:rPr>
      </w:pPr>
    </w:p>
    <w:p w:rsidR="0000015C" w:rsidRDefault="0000015C">
      <w:pPr>
        <w:pStyle w:val="Textoindependiente"/>
        <w:rPr>
          <w:b/>
          <w:sz w:val="28"/>
        </w:rPr>
      </w:pPr>
    </w:p>
    <w:p w:rsidR="0000015C" w:rsidRDefault="0000015C">
      <w:pPr>
        <w:pStyle w:val="Textoindependiente"/>
        <w:rPr>
          <w:b/>
          <w:sz w:val="28"/>
        </w:rPr>
      </w:pPr>
    </w:p>
    <w:p w:rsidR="0000015C" w:rsidRDefault="0000015C">
      <w:pPr>
        <w:pStyle w:val="Textoindependiente"/>
        <w:rPr>
          <w:b/>
          <w:sz w:val="28"/>
        </w:rPr>
      </w:pPr>
    </w:p>
    <w:p w:rsidR="0000015C" w:rsidRDefault="0000015C">
      <w:pPr>
        <w:pStyle w:val="Textoindependiente"/>
        <w:rPr>
          <w:b/>
          <w:sz w:val="28"/>
        </w:rPr>
      </w:pPr>
    </w:p>
    <w:p w:rsidR="0000015C" w:rsidRDefault="0000015C">
      <w:pPr>
        <w:pStyle w:val="Textoindependiente"/>
        <w:rPr>
          <w:b/>
          <w:sz w:val="28"/>
        </w:rPr>
      </w:pPr>
    </w:p>
    <w:p w:rsidR="0000015C" w:rsidRDefault="0000015C">
      <w:pPr>
        <w:pStyle w:val="Textoindependiente"/>
        <w:rPr>
          <w:b/>
          <w:sz w:val="28"/>
        </w:rPr>
      </w:pPr>
    </w:p>
    <w:p w:rsidR="0000015C" w:rsidRDefault="0000015C">
      <w:pPr>
        <w:pStyle w:val="Textoindependiente"/>
        <w:rPr>
          <w:b/>
        </w:rPr>
      </w:pPr>
    </w:p>
    <w:p w:rsidR="0000015C" w:rsidRDefault="00485183">
      <w:pPr>
        <w:pStyle w:val="Ttulo1"/>
        <w:ind w:right="2378"/>
      </w:pPr>
      <w:r>
        <w:t>JAIME</w:t>
      </w:r>
      <w:r>
        <w:rPr>
          <w:spacing w:val="-1"/>
        </w:rPr>
        <w:t xml:space="preserve"> </w:t>
      </w:r>
      <w:r>
        <w:t>ARAYA</w:t>
      </w:r>
      <w:r>
        <w:rPr>
          <w:spacing w:val="-3"/>
        </w:rPr>
        <w:t xml:space="preserve"> </w:t>
      </w:r>
      <w:r>
        <w:rPr>
          <w:spacing w:val="-2"/>
        </w:rPr>
        <w:t>GUERRERO</w:t>
      </w:r>
    </w:p>
    <w:p w:rsidR="0000015C" w:rsidRDefault="00485183">
      <w:pPr>
        <w:spacing w:before="147" w:line="357" w:lineRule="auto"/>
        <w:ind w:left="2372" w:right="2381"/>
        <w:jc w:val="center"/>
        <w:rPr>
          <w:b/>
          <w:sz w:val="24"/>
        </w:rPr>
      </w:pPr>
      <w:r>
        <w:rPr>
          <w:b/>
          <w:sz w:val="24"/>
        </w:rPr>
        <w:t>Honorable</w:t>
      </w:r>
      <w:r>
        <w:rPr>
          <w:b/>
          <w:spacing w:val="-13"/>
          <w:sz w:val="24"/>
        </w:rPr>
        <w:t xml:space="preserve"> </w:t>
      </w:r>
      <w:r>
        <w:rPr>
          <w:b/>
          <w:sz w:val="24"/>
        </w:rPr>
        <w:t>Diputado</w:t>
      </w:r>
      <w:r>
        <w:rPr>
          <w:b/>
          <w:spacing w:val="-10"/>
          <w:sz w:val="24"/>
        </w:rPr>
        <w:t xml:space="preserve"> </w:t>
      </w:r>
      <w:r>
        <w:rPr>
          <w:b/>
          <w:sz w:val="24"/>
        </w:rPr>
        <w:t>de</w:t>
      </w:r>
      <w:r>
        <w:rPr>
          <w:b/>
          <w:spacing w:val="-9"/>
          <w:sz w:val="24"/>
        </w:rPr>
        <w:t xml:space="preserve"> </w:t>
      </w:r>
      <w:r>
        <w:rPr>
          <w:b/>
          <w:sz w:val="24"/>
        </w:rPr>
        <w:t>la</w:t>
      </w:r>
      <w:r>
        <w:rPr>
          <w:b/>
          <w:spacing w:val="-10"/>
          <w:sz w:val="24"/>
        </w:rPr>
        <w:t xml:space="preserve"> </w:t>
      </w:r>
      <w:r>
        <w:rPr>
          <w:b/>
          <w:sz w:val="24"/>
        </w:rPr>
        <w:t>República Distrito Número 3.</w:t>
      </w:r>
    </w:p>
    <w:p w:rsidR="0000015C" w:rsidRDefault="00485183">
      <w:pPr>
        <w:spacing w:before="6"/>
        <w:ind w:left="2609" w:right="2613"/>
        <w:jc w:val="center"/>
        <w:rPr>
          <w:b/>
          <w:sz w:val="24"/>
        </w:rPr>
      </w:pPr>
      <w:r>
        <w:rPr>
          <w:b/>
          <w:sz w:val="24"/>
        </w:rPr>
        <w:t>Bancada</w:t>
      </w:r>
      <w:r>
        <w:rPr>
          <w:b/>
          <w:spacing w:val="-1"/>
          <w:sz w:val="24"/>
        </w:rPr>
        <w:t xml:space="preserve"> </w:t>
      </w:r>
      <w:r>
        <w:rPr>
          <w:b/>
          <w:sz w:val="24"/>
        </w:rPr>
        <w:t xml:space="preserve">PPD e </w:t>
      </w:r>
      <w:r>
        <w:rPr>
          <w:b/>
          <w:spacing w:val="-2"/>
          <w:sz w:val="24"/>
        </w:rPr>
        <w:t>Independientes.</w:t>
      </w:r>
    </w:p>
    <w:sectPr w:rsidR="0000015C">
      <w:pgSz w:w="12240" w:h="20160"/>
      <w:pgMar w:top="2140" w:right="1580" w:bottom="280" w:left="1580" w:header="72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183" w:rsidRDefault="00485183">
      <w:r>
        <w:separator/>
      </w:r>
    </w:p>
  </w:endnote>
  <w:endnote w:type="continuationSeparator" w:id="0">
    <w:p w:rsidR="00485183" w:rsidRDefault="00485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183" w:rsidRDefault="00485183">
      <w:r>
        <w:separator/>
      </w:r>
    </w:p>
  </w:footnote>
  <w:footnote w:type="continuationSeparator" w:id="0">
    <w:p w:rsidR="00485183" w:rsidRDefault="00485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15C" w:rsidRDefault="00485183">
    <w:pPr>
      <w:pStyle w:val="Textoindependiente"/>
      <w:spacing w:line="14" w:lineRule="auto"/>
      <w:rPr>
        <w:sz w:val="20"/>
      </w:rPr>
    </w:pPr>
    <w:r>
      <w:rPr>
        <w:noProof/>
        <w:lang w:val="es-CL" w:eastAsia="es-CL"/>
      </w:rPr>
      <w:drawing>
        <wp:anchor distT="0" distB="0" distL="0" distR="0" simplePos="0" relativeHeight="487552000" behindDoc="1" locked="0" layoutInCell="1" allowOverlap="1">
          <wp:simplePos x="0" y="0"/>
          <wp:positionH relativeFrom="page">
            <wp:posOffset>3435350</wp:posOffset>
          </wp:positionH>
          <wp:positionV relativeFrom="page">
            <wp:posOffset>460182</wp:posOffset>
          </wp:positionV>
          <wp:extent cx="904875" cy="9052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04875" cy="90525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00015C"/>
    <w:rsid w:val="0000015C"/>
    <w:rsid w:val="00485183"/>
    <w:rsid w:val="00BD1D8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851A4B-9A40-44D1-ACAC-12265F41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val="es-ES"/>
    </w:rPr>
  </w:style>
  <w:style w:type="paragraph" w:styleId="Ttulo1">
    <w:name w:val="heading 1"/>
    <w:basedOn w:val="Normal"/>
    <w:uiPriority w:val="1"/>
    <w:qFormat/>
    <w:pPr>
      <w:ind w:left="2372" w:right="119"/>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4825</Characters>
  <Application>Microsoft Office Word</Application>
  <DocSecurity>0</DocSecurity>
  <Lines>40</Lines>
  <Paragraphs>11</Paragraphs>
  <ScaleCrop>false</ScaleCrop>
  <Company/>
  <LinksUpToDate>false</LinksUpToDate>
  <CharactersWithSpaces>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ComitePPD.04</dc:creator>
  <cp:lastModifiedBy>Leonardo Lueiza Ureta</cp:lastModifiedBy>
  <cp:revision>1</cp:revision>
  <dcterms:created xsi:type="dcterms:W3CDTF">2022-11-02T20:16:00Z</dcterms:created>
  <dcterms:modified xsi:type="dcterms:W3CDTF">2022-11-09T15:07:00Z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2022-11-02T00:00:00Z</vt:filetime>
  </property>
  <property fmtid="{D5CDD505-2E9C-101B-9397-08002B2CF9AE}" pid="3" name="Creator">
    <vt:lpwstr>Microsoft® Word 2016</vt:lpwstr>
  </property>
  <property fmtid="{D5CDD505-2E9C-101B-9397-08002B2CF9AE}" pid="4" name="LastSaved">
    <vt:filetime>2022-11-02T00:00:00Z</vt:filetime>
  </property>
  <property fmtid="{D5CDD505-2E9C-101B-9397-08002B2CF9AE}" pid="5" name="Producer">
    <vt:lpwstr>www.ilovepdf.com</vt:lpwstr>
  </property>
</Properties>
</file>