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2C" w:rsidRDefault="00AA0B2C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AA0B2C" w:rsidRDefault="00937EDB">
      <w:pPr>
        <w:pStyle w:val="Ttulo1"/>
        <w:spacing w:before="221" w:line="360" w:lineRule="auto"/>
        <w:ind w:left="119"/>
        <w:jc w:val="both"/>
      </w:pPr>
      <w:r>
        <w:t>PROYECTO QUE MODIFICA EL ARTÍCULO 10° DE LA LEY 18.314 QUE DETERMINA CONDUCTAS TERRORISTAS Y FIJA SU PENALIDAD, EN ORDEN A FACULTAR A LOS GOBERNADORES REGIONALES PARA PRESENTAR DENUNCIA O QUERELLA POR LOS HECHOS CONSTITUTIVOS DE LOS DELITOS DESCRITOS Y SAN</w:t>
      </w:r>
      <w:r>
        <w:t>CIONADOS EN VIRTUD DE ESTA LEY.</w:t>
      </w:r>
    </w:p>
    <w:p w:rsidR="00AA0B2C" w:rsidRDefault="00AA0B2C">
      <w:pPr>
        <w:pStyle w:val="Textoindependiente"/>
        <w:spacing w:before="5"/>
        <w:rPr>
          <w:b/>
          <w:sz w:val="36"/>
        </w:rPr>
      </w:pPr>
    </w:p>
    <w:p w:rsidR="00AA0B2C" w:rsidRDefault="00937EDB">
      <w:pPr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Fundamentos:</w:t>
      </w: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spacing w:before="8"/>
        <w:rPr>
          <w:b/>
          <w:sz w:val="19"/>
        </w:rPr>
      </w:pPr>
    </w:p>
    <w:p w:rsidR="00AA0B2C" w:rsidRDefault="00937EDB">
      <w:pPr>
        <w:pStyle w:val="Textoindependiente"/>
        <w:spacing w:before="101" w:line="360" w:lineRule="auto"/>
        <w:ind w:left="119" w:right="116"/>
        <w:jc w:val="both"/>
      </w:pPr>
      <w:r>
        <w:rPr>
          <w:b/>
        </w:rPr>
        <w:t xml:space="preserve">1.- </w:t>
      </w:r>
      <w:r>
        <w:t>El terrorismo es una de las manifestaciones antisociales más violentas por las cuales grupos determinados de personas, generalmente con ideologías extremas, manifiestan sus posturas e intentan incidir pol</w:t>
      </w:r>
      <w:r>
        <w:t>íticamente en la sociedad,</w:t>
      </w:r>
      <w:r>
        <w:rPr>
          <w:spacing w:val="40"/>
        </w:rPr>
        <w:t xml:space="preserve"> </w:t>
      </w:r>
      <w:r>
        <w:t>sembrando el terror y el miedo en la población. Lamentablemente en Chile y en el resto del mundo, la humanidad ha sufrido la comisión de este tipo de actos promovidos desde la radicalidad del pensamiento, lo que ha costado la vid</w:t>
      </w:r>
      <w:r>
        <w:t>a de miles de personas. En el mundo, estas trágicas experiencias han tenido lugar tanto en países desarrollados como en países sub desarrollados o en vías de desarrollo, lo que da cuenta lo complejo de estas situaciones que no obedecen a la capacidad econó</w:t>
      </w:r>
      <w:r>
        <w:t>mica social de cada nación, sino más bien a un ambiente jurídico y político desafiante al orden constitucional establecido, promovido por un individuo o un grupo de individuos.</w:t>
      </w:r>
    </w:p>
    <w:p w:rsidR="00AA0B2C" w:rsidRDefault="00AA0B2C">
      <w:pPr>
        <w:pStyle w:val="Textoindependiente"/>
        <w:spacing w:before="9"/>
        <w:rPr>
          <w:sz w:val="35"/>
        </w:rPr>
      </w:pPr>
    </w:p>
    <w:p w:rsidR="00AA0B2C" w:rsidRDefault="00937EDB">
      <w:pPr>
        <w:pStyle w:val="Textoindependiente"/>
        <w:spacing w:line="360" w:lineRule="auto"/>
        <w:ind w:left="119" w:right="117"/>
        <w:jc w:val="both"/>
      </w:pPr>
      <w:r>
        <w:rPr>
          <w:b/>
        </w:rPr>
        <w:t xml:space="preserve">2.- </w:t>
      </w:r>
      <w:r>
        <w:t>En la experiencia nacional, históricamente se han presentado diversos grup</w:t>
      </w:r>
      <w:r>
        <w:t xml:space="preserve">os que han promovido atentados terroristas atrincherados en ideologías o causas políticas extremas (de derecha y de izquierda). Así, por ejemplo, el secuestro del vuelo 87 de </w:t>
      </w:r>
      <w:proofErr w:type="spellStart"/>
      <w:r>
        <w:t>Lan</w:t>
      </w:r>
      <w:proofErr w:type="spellEnd"/>
      <w:r>
        <w:t xml:space="preserve"> Chile en el año 1967 por los denominados “piratas aéreos”, los actos del movi</w:t>
      </w:r>
      <w:r>
        <w:t>miento “Patria y Libertad” durante la época de la “Unidad Popular”, los diversos atentados acaecidos en la década de los años 80 o el ataque a la estación Escuela Militar del Metro de Santiago en el año 2014, son claros ejemplos de que nuestro país ha sufr</w:t>
      </w:r>
      <w:r>
        <w:t>ido y sufre atentados terroristas que deben ser perseguidos y penados duramente por la ley.</w:t>
      </w:r>
    </w:p>
    <w:p w:rsidR="00AA0B2C" w:rsidRDefault="00AA0B2C">
      <w:pPr>
        <w:pStyle w:val="Textoindependiente"/>
        <w:spacing w:before="4"/>
        <w:rPr>
          <w:sz w:val="36"/>
        </w:rPr>
      </w:pPr>
    </w:p>
    <w:p w:rsidR="00AA0B2C" w:rsidRDefault="00937EDB">
      <w:pPr>
        <w:spacing w:before="1" w:line="350" w:lineRule="auto"/>
        <w:ind w:left="119" w:right="122"/>
        <w:jc w:val="both"/>
        <w:rPr>
          <w:i/>
          <w:sz w:val="25"/>
        </w:rPr>
      </w:pPr>
      <w:r>
        <w:rPr>
          <w:b/>
          <w:sz w:val="24"/>
        </w:rPr>
        <w:t xml:space="preserve">3.- </w:t>
      </w:r>
      <w:r>
        <w:rPr>
          <w:sz w:val="24"/>
        </w:rPr>
        <w:t xml:space="preserve">Dentro de nuestro ordenamiento jurídico, la ley 18.314 dictada en el año 1984 no define legalmente al “terrorismo”. Más bien, en su artículo primero establece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delito</w:t>
      </w:r>
      <w:r>
        <w:rPr>
          <w:spacing w:val="-13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terrorista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5"/>
        </w:rPr>
        <w:t>cuando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hecho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cometa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finalidad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producir en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población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parte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ella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temor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justificado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ser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>víctima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20"/>
          <w:sz w:val="25"/>
        </w:rPr>
        <w:t xml:space="preserve"> </w:t>
      </w:r>
      <w:r>
        <w:rPr>
          <w:i/>
          <w:sz w:val="25"/>
        </w:rPr>
        <w:t xml:space="preserve">delitos </w:t>
      </w:r>
      <w:r>
        <w:rPr>
          <w:i/>
          <w:spacing w:val="-2"/>
          <w:sz w:val="25"/>
        </w:rPr>
        <w:t>de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misma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especie,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sea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por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naturaleza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y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efectos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los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medios</w:t>
      </w:r>
      <w:r>
        <w:rPr>
          <w:i/>
          <w:spacing w:val="-16"/>
          <w:sz w:val="25"/>
        </w:rPr>
        <w:t xml:space="preserve"> </w:t>
      </w:r>
      <w:r>
        <w:rPr>
          <w:i/>
          <w:spacing w:val="-2"/>
          <w:sz w:val="25"/>
        </w:rPr>
        <w:t>empleados,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 xml:space="preserve">sea </w:t>
      </w:r>
      <w:r>
        <w:rPr>
          <w:i/>
          <w:sz w:val="25"/>
        </w:rPr>
        <w:t>por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evidencia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que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obedece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plan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premeditado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14"/>
          <w:sz w:val="25"/>
        </w:rPr>
        <w:t xml:space="preserve"> </w:t>
      </w:r>
      <w:r>
        <w:rPr>
          <w:i/>
          <w:sz w:val="25"/>
        </w:rPr>
        <w:t>atentar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contra</w:t>
      </w:r>
      <w:r>
        <w:rPr>
          <w:i/>
          <w:spacing w:val="16"/>
          <w:sz w:val="25"/>
        </w:rPr>
        <w:t xml:space="preserve"> </w:t>
      </w:r>
      <w:r>
        <w:rPr>
          <w:i/>
          <w:spacing w:val="-5"/>
          <w:sz w:val="25"/>
        </w:rPr>
        <w:t>una</w:t>
      </w:r>
    </w:p>
    <w:p w:rsidR="00AA0B2C" w:rsidRDefault="00AA0B2C">
      <w:pPr>
        <w:spacing w:line="350" w:lineRule="auto"/>
        <w:jc w:val="both"/>
        <w:rPr>
          <w:sz w:val="25"/>
        </w:rPr>
        <w:sectPr w:rsidR="00AA0B2C">
          <w:headerReference w:type="default" r:id="rId6"/>
          <w:type w:val="continuous"/>
          <w:pgSz w:w="12240" w:h="20160"/>
          <w:pgMar w:top="2140" w:right="1580" w:bottom="280" w:left="1580" w:header="725" w:footer="0" w:gutter="0"/>
          <w:pgNumType w:start="1"/>
          <w:cols w:space="720"/>
        </w:sectPr>
      </w:pPr>
    </w:p>
    <w:p w:rsidR="00AA0B2C" w:rsidRDefault="00937EDB">
      <w:pPr>
        <w:spacing w:before="9" w:line="357" w:lineRule="auto"/>
        <w:ind w:left="119" w:right="115"/>
        <w:jc w:val="both"/>
        <w:rPr>
          <w:sz w:val="24"/>
        </w:rPr>
      </w:pPr>
      <w:proofErr w:type="gramStart"/>
      <w:r>
        <w:rPr>
          <w:i/>
          <w:spacing w:val="-4"/>
          <w:sz w:val="25"/>
        </w:rPr>
        <w:lastRenderedPageBreak/>
        <w:t>categoría</w:t>
      </w:r>
      <w:proofErr w:type="gramEnd"/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grupo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determinado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personas,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porque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cometa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arrancar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 xml:space="preserve">o </w:t>
      </w:r>
      <w:r>
        <w:rPr>
          <w:i/>
          <w:sz w:val="25"/>
        </w:rPr>
        <w:t xml:space="preserve">inhibir resoluciones de la autoridad o imponerle exigencias”. </w:t>
      </w:r>
      <w:r>
        <w:rPr>
          <w:sz w:val="24"/>
        </w:rPr>
        <w:t>A continuación, de manera complementaria a lo señalado, el artículo segundo consagra un catálogo</w:t>
      </w:r>
      <w:r>
        <w:rPr>
          <w:spacing w:val="40"/>
          <w:sz w:val="24"/>
        </w:rPr>
        <w:t xml:space="preserve"> </w:t>
      </w:r>
      <w:r>
        <w:rPr>
          <w:sz w:val="24"/>
        </w:rPr>
        <w:t>de conductas o actuaciones tipificadas como delitos terroristas, entre los cuales se encuentran l</w:t>
      </w:r>
      <w:r>
        <w:rPr>
          <w:sz w:val="24"/>
        </w:rPr>
        <w:t>os delitos de homicidio, lesiones, sustracción de menores, envío de cartas explosivas, descarrilamiento de trenes, atentar contra aeronaves, atentar contra la vida del presidente de la República, la detonación de bombas o</w:t>
      </w:r>
      <w:r>
        <w:rPr>
          <w:spacing w:val="40"/>
          <w:sz w:val="24"/>
        </w:rPr>
        <w:t xml:space="preserve"> </w:t>
      </w:r>
      <w:r>
        <w:rPr>
          <w:sz w:val="24"/>
        </w:rPr>
        <w:t>elementos incendiarios, entre otro</w:t>
      </w:r>
      <w:r>
        <w:rPr>
          <w:sz w:val="24"/>
        </w:rPr>
        <w:t>s.</w:t>
      </w:r>
    </w:p>
    <w:p w:rsidR="00AA0B2C" w:rsidRDefault="00AA0B2C">
      <w:pPr>
        <w:pStyle w:val="Textoindependiente"/>
        <w:rPr>
          <w:sz w:val="36"/>
        </w:rPr>
      </w:pPr>
    </w:p>
    <w:p w:rsidR="00AA0B2C" w:rsidRDefault="00937EDB">
      <w:pPr>
        <w:pStyle w:val="Textoindependiente"/>
        <w:spacing w:line="360" w:lineRule="auto"/>
        <w:ind w:left="119" w:right="117"/>
        <w:jc w:val="both"/>
      </w:pPr>
      <w:r>
        <w:rPr>
          <w:b/>
        </w:rPr>
        <w:t xml:space="preserve">4.- </w:t>
      </w:r>
      <w:r>
        <w:t>Mucho se ha opinado respecto al sentido y alcance de la legislación nacional vigente en materia de terrorismo. También ha sido materia de debate sobre quiénes son los legitimados activos para presentar denuncia o querella ante este tipo de hechos i</w:t>
      </w:r>
      <w:r>
        <w:t>lícitos, a fin de iniciar las investigaciones correspondientes. En principio, el inciso primero del artículo 10° de la ley 18.314 establece como legitimario</w:t>
      </w:r>
      <w:r>
        <w:rPr>
          <w:spacing w:val="-2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querella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 las reglas generales, entendidas como tales, las contenidas en el Código Procesal Penal. A su vez, el inciso segundo del mencionado artículo 10° señala que las investigaciones también podrán iniciarse por querella del Ministro del Interior, de los Inte</w:t>
      </w:r>
      <w:r>
        <w:t>ndentes Regionales, de los Gobernadores Provinciales y de los Comandantes de Guarnición. Como podemos ver, la norma refiere a los “intendentes Regionales” y Gobernadores Provinciales”, autoridades que fueron reemplazadas por el Gobernador Regional y el Del</w:t>
      </w:r>
      <w:r>
        <w:t>egado Presidencial Provincial respectivamente, en virtud de las leyes 21.073 y 21.074.</w:t>
      </w:r>
    </w:p>
    <w:p w:rsidR="00AA0B2C" w:rsidRDefault="00AA0B2C">
      <w:pPr>
        <w:pStyle w:val="Textoindependiente"/>
        <w:spacing w:before="9"/>
        <w:rPr>
          <w:sz w:val="35"/>
        </w:rPr>
      </w:pPr>
    </w:p>
    <w:p w:rsidR="00AA0B2C" w:rsidRDefault="00937EDB">
      <w:pPr>
        <w:spacing w:line="350" w:lineRule="auto"/>
        <w:ind w:left="119" w:right="114"/>
        <w:jc w:val="both"/>
        <w:rPr>
          <w:sz w:val="24"/>
        </w:rPr>
      </w:pPr>
      <w:r>
        <w:rPr>
          <w:b/>
          <w:sz w:val="24"/>
        </w:rPr>
        <w:t xml:space="preserve">5.- </w:t>
      </w:r>
      <w:r>
        <w:rPr>
          <w:sz w:val="24"/>
        </w:rPr>
        <w:t>Ante ello, se adecuaron una serie de leyes relacionadas con las competencias que detentaban los Intendentes Regionales, con el fin de radicarlas en las nuevas autor</w:t>
      </w:r>
      <w:r>
        <w:rPr>
          <w:sz w:val="24"/>
        </w:rPr>
        <w:t>idades regionales. Sin embargo, en lo que respecta al objeto y alcance de la ley 18.314 no se ha hecho mención específica. Ante ello, debemos recurrir a lo establecido en la disposición transitoria vigésima octava de la Constitución Política de la Repúblic</w:t>
      </w:r>
      <w:r>
        <w:rPr>
          <w:sz w:val="24"/>
        </w:rPr>
        <w:t xml:space="preserve">a, donde se señala: </w:t>
      </w:r>
      <w:r>
        <w:rPr>
          <w:b/>
          <w:i/>
          <w:sz w:val="25"/>
        </w:rPr>
        <w:t xml:space="preserve">“Los gobernadores regionales electos, desde que asuman, tendrán las funciones y atribuciones que las leyes otorgan expresamente al intendente </w:t>
      </w:r>
      <w:r>
        <w:rPr>
          <w:b/>
          <w:i/>
          <w:sz w:val="25"/>
          <w:u w:val="single"/>
        </w:rPr>
        <w:t>en tanto órgano ejecutivo del</w:t>
      </w:r>
      <w:r>
        <w:rPr>
          <w:b/>
          <w:i/>
          <w:sz w:val="25"/>
        </w:rPr>
        <w:t xml:space="preserve"> </w:t>
      </w:r>
      <w:r>
        <w:rPr>
          <w:b/>
          <w:i/>
          <w:sz w:val="25"/>
          <w:u w:val="single"/>
        </w:rPr>
        <w:t>gobierno</w:t>
      </w:r>
      <w:r>
        <w:rPr>
          <w:b/>
          <w:i/>
          <w:spacing w:val="-7"/>
          <w:sz w:val="25"/>
          <w:u w:val="single"/>
        </w:rPr>
        <w:t xml:space="preserve"> </w:t>
      </w:r>
      <w:r>
        <w:rPr>
          <w:b/>
          <w:i/>
          <w:sz w:val="25"/>
          <w:u w:val="single"/>
        </w:rPr>
        <w:t>regional</w:t>
      </w:r>
      <w:r>
        <w:rPr>
          <w:b/>
          <w:i/>
          <w:sz w:val="25"/>
        </w:rPr>
        <w:t>.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Las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restantes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funciones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y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atribuciones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que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la</w:t>
      </w:r>
      <w:r>
        <w:rPr>
          <w:b/>
          <w:i/>
          <w:sz w:val="25"/>
        </w:rPr>
        <w:t>s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 xml:space="preserve">leyes </w:t>
      </w:r>
      <w:r>
        <w:rPr>
          <w:b/>
          <w:i/>
          <w:spacing w:val="-2"/>
          <w:sz w:val="25"/>
        </w:rPr>
        <w:t>entregan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al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intendente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se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entenderán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referidas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al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>delegado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presidencial </w:t>
      </w:r>
      <w:r>
        <w:rPr>
          <w:b/>
          <w:i/>
          <w:spacing w:val="-4"/>
          <w:sz w:val="25"/>
        </w:rPr>
        <w:t>regional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4"/>
          <w:sz w:val="25"/>
        </w:rPr>
        <w:t>que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4"/>
          <w:sz w:val="25"/>
        </w:rPr>
        <w:t>corresponda.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Asimismo,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las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>funciones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y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>atribuciones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que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 xml:space="preserve">las </w:t>
      </w:r>
      <w:r>
        <w:rPr>
          <w:b/>
          <w:i/>
          <w:sz w:val="25"/>
        </w:rPr>
        <w:t>leyes entregan al gobernador se entenderán atribuidas al delegado presidencial provincial”</w:t>
      </w:r>
      <w:r>
        <w:rPr>
          <w:sz w:val="24"/>
        </w:rPr>
        <w:t>. A ese respecto, resulta ambiguo dilucidar si la actual autoridad regional, esto es, el Gobernador Regional, detenta o no la atribución de</w:t>
      </w:r>
    </w:p>
    <w:p w:rsidR="00AA0B2C" w:rsidRDefault="00AA0B2C">
      <w:pPr>
        <w:spacing w:line="350" w:lineRule="auto"/>
        <w:jc w:val="both"/>
        <w:rPr>
          <w:sz w:val="24"/>
        </w:rPr>
        <w:sectPr w:rsidR="00AA0B2C">
          <w:pgSz w:w="12240" w:h="20160"/>
          <w:pgMar w:top="2140" w:right="1580" w:bottom="280" w:left="1580" w:header="725" w:footer="0" w:gutter="0"/>
          <w:cols w:space="720"/>
        </w:sectPr>
      </w:pPr>
    </w:p>
    <w:p w:rsidR="00AA0B2C" w:rsidRDefault="00937EDB">
      <w:pPr>
        <w:pStyle w:val="Textoindependiente"/>
        <w:spacing w:before="19" w:line="360" w:lineRule="auto"/>
        <w:ind w:left="119" w:right="128"/>
        <w:jc w:val="both"/>
      </w:pPr>
      <w:proofErr w:type="gramStart"/>
      <w:r>
        <w:lastRenderedPageBreak/>
        <w:t>presentar</w:t>
      </w:r>
      <w:proofErr w:type="gramEnd"/>
      <w:r>
        <w:t xml:space="preserve"> denuncias o querellas por delitos terroristas, entendiendo tal situación como una función </w:t>
      </w:r>
      <w:r>
        <w:t xml:space="preserve">de carácter ejecutiva del gobierno regional, como lo señala la </w:t>
      </w:r>
      <w:r>
        <w:rPr>
          <w:spacing w:val="-2"/>
        </w:rPr>
        <w:t>Constitución.</w:t>
      </w:r>
    </w:p>
    <w:p w:rsidR="00AA0B2C" w:rsidRDefault="00AA0B2C">
      <w:pPr>
        <w:pStyle w:val="Textoindependiente"/>
        <w:rPr>
          <w:sz w:val="36"/>
        </w:rPr>
      </w:pPr>
    </w:p>
    <w:p w:rsidR="00AA0B2C" w:rsidRDefault="00937EDB">
      <w:pPr>
        <w:pStyle w:val="Textoindependiente"/>
        <w:spacing w:line="360" w:lineRule="auto"/>
        <w:ind w:left="119" w:right="115"/>
        <w:jc w:val="both"/>
      </w:pPr>
      <w:r>
        <w:rPr>
          <w:b/>
        </w:rPr>
        <w:t xml:space="preserve">6.- </w:t>
      </w:r>
      <w:r>
        <w:t>Bajo ese orden de cosas, queda al criterio de cada Tribunal declarar admisible</w:t>
      </w:r>
      <w:r>
        <w:rPr>
          <w:spacing w:val="40"/>
        </w:rPr>
        <w:t xml:space="preserve"> </w:t>
      </w:r>
      <w:r>
        <w:t>y acoger a trámite eventuales denuncias o querellas presentadas en virtud de la</w:t>
      </w:r>
      <w:r>
        <w:rPr>
          <w:spacing w:val="40"/>
        </w:rPr>
        <w:t xml:space="preserve"> </w:t>
      </w:r>
      <w:r>
        <w:t xml:space="preserve">ley 18.314 por </w:t>
      </w:r>
      <w:r>
        <w:t>Gobernador Regional en virtud de hechos acontecidos dentro de la región que representan, lo cual genera incertezas indeseables al momento de investigar y sancionar actos terroristas. A raíz de la gravedad de este tipo de hechos, es de suma importancia seña</w:t>
      </w:r>
      <w:r>
        <w:t>lar explícitamente en la ley que las autoridades regionales tienen legitimación activa para presentar querellas o denuncias para perseguir a individuos o grupos de individuos antisociales que, mediante la perpetración de actos terroristas, siembren el mied</w:t>
      </w:r>
      <w:r>
        <w:t xml:space="preserve">o y el terror en la </w:t>
      </w:r>
      <w:r>
        <w:rPr>
          <w:spacing w:val="-2"/>
        </w:rPr>
        <w:t>población.</w:t>
      </w:r>
    </w:p>
    <w:p w:rsidR="00AA0B2C" w:rsidRDefault="00AA0B2C">
      <w:pPr>
        <w:pStyle w:val="Textoindependiente"/>
        <w:spacing w:before="2"/>
        <w:rPr>
          <w:sz w:val="36"/>
        </w:rPr>
      </w:pPr>
    </w:p>
    <w:p w:rsidR="00AA0B2C" w:rsidRDefault="00937EDB">
      <w:pPr>
        <w:pStyle w:val="Textoindependiente"/>
        <w:spacing w:line="360" w:lineRule="auto"/>
        <w:ind w:left="119" w:right="118"/>
        <w:jc w:val="both"/>
      </w:pPr>
      <w:r>
        <w:rPr>
          <w:b/>
        </w:rPr>
        <w:t xml:space="preserve">7.- </w:t>
      </w:r>
      <w:r>
        <w:t>En consecuencia, las Diputadas y Diputados firmantes, venimos en proponer el presente proyecto que modifica la ley 18.314 que determina conductas terroristas</w:t>
      </w:r>
      <w:r>
        <w:rPr>
          <w:spacing w:val="40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penalidad,</w:t>
      </w:r>
      <w:r>
        <w:rPr>
          <w:spacing w:val="-3"/>
        </w:rPr>
        <w:t xml:space="preserve"> </w:t>
      </w:r>
      <w:r>
        <w:t>específicamente en</w:t>
      </w:r>
      <w:r>
        <w:rPr>
          <w:spacing w:val="-1"/>
        </w:rPr>
        <w:t xml:space="preserve"> </w:t>
      </w:r>
      <w:r>
        <w:t>el inciso</w:t>
      </w:r>
      <w:r>
        <w:rPr>
          <w:spacing w:val="-3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 10°,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 de dotar expresamente en la ley la posibilidad de que Gobernadores Regionales puedan presentar</w:t>
      </w:r>
      <w:r>
        <w:rPr>
          <w:spacing w:val="-3"/>
        </w:rPr>
        <w:t xml:space="preserve"> </w:t>
      </w:r>
      <w:r>
        <w:t>denuncia o</w:t>
      </w:r>
      <w:r>
        <w:rPr>
          <w:spacing w:val="-4"/>
        </w:rPr>
        <w:t xml:space="preserve"> </w:t>
      </w:r>
      <w:r>
        <w:t>querella en virtud</w:t>
      </w:r>
      <w:r>
        <w:rPr>
          <w:spacing w:val="-1"/>
        </w:rPr>
        <w:t xml:space="preserve"> </w:t>
      </w:r>
      <w:r>
        <w:t>de esta ley, para la</w:t>
      </w:r>
      <w:r>
        <w:rPr>
          <w:spacing w:val="-4"/>
        </w:rPr>
        <w:t xml:space="preserve"> </w:t>
      </w:r>
      <w:r>
        <w:t>persecución de delitos terroristas acontecidos dentro de la región que representan. D</w:t>
      </w:r>
      <w:r>
        <w:t>e esta manera, podrán actuar y comparecer judicialmente de manera conjunta o complementaria con las autoridades del Ministerio del Interior, el Ministerio Público o con los familiares directos de las víctimas del terrorismo.</w:t>
      </w:r>
    </w:p>
    <w:p w:rsidR="00AA0B2C" w:rsidRDefault="00AA0B2C">
      <w:pPr>
        <w:pStyle w:val="Textoindependiente"/>
        <w:rPr>
          <w:sz w:val="28"/>
        </w:rPr>
      </w:pPr>
    </w:p>
    <w:p w:rsidR="00AA0B2C" w:rsidRDefault="00AA0B2C">
      <w:pPr>
        <w:pStyle w:val="Textoindependiente"/>
        <w:rPr>
          <w:sz w:val="28"/>
        </w:rPr>
      </w:pPr>
    </w:p>
    <w:p w:rsidR="00AA0B2C" w:rsidRDefault="00AA0B2C">
      <w:pPr>
        <w:pStyle w:val="Textoindependiente"/>
        <w:rPr>
          <w:sz w:val="28"/>
        </w:rPr>
      </w:pPr>
    </w:p>
    <w:p w:rsidR="00AA0B2C" w:rsidRDefault="00AA0B2C">
      <w:pPr>
        <w:pStyle w:val="Textoindependiente"/>
      </w:pPr>
    </w:p>
    <w:p w:rsidR="00AA0B2C" w:rsidRDefault="00937EDB">
      <w:pPr>
        <w:pStyle w:val="Textoindependiente"/>
        <w:spacing w:line="362" w:lineRule="auto"/>
        <w:ind w:left="119" w:right="121"/>
        <w:jc w:val="both"/>
      </w:pPr>
      <w:r>
        <w:t>Por estos motivos, las Diputadas y Diputados firmantes tenemos el honor de someter al conocimiento de la Honorable Cámara de Diputados el siguiente</w:t>
      </w:r>
    </w:p>
    <w:p w:rsidR="00AA0B2C" w:rsidRDefault="00AA0B2C">
      <w:pPr>
        <w:pStyle w:val="Textoindependiente"/>
        <w:rPr>
          <w:sz w:val="28"/>
        </w:rPr>
      </w:pPr>
    </w:p>
    <w:p w:rsidR="00AA0B2C" w:rsidRDefault="00AA0B2C">
      <w:pPr>
        <w:pStyle w:val="Textoindependiente"/>
        <w:rPr>
          <w:sz w:val="28"/>
        </w:rPr>
      </w:pPr>
    </w:p>
    <w:p w:rsidR="00AA0B2C" w:rsidRDefault="00937EDB">
      <w:pPr>
        <w:pStyle w:val="Ttulo1"/>
        <w:spacing w:before="187"/>
        <w:ind w:right="2372"/>
      </w:pPr>
      <w:r>
        <w:t>PROYECTO 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AA0B2C" w:rsidRDefault="00AA0B2C">
      <w:pPr>
        <w:pStyle w:val="Textoindependiente"/>
        <w:rPr>
          <w:b/>
          <w:sz w:val="28"/>
        </w:rPr>
      </w:pPr>
    </w:p>
    <w:p w:rsidR="00AA0B2C" w:rsidRDefault="00937EDB">
      <w:pPr>
        <w:spacing w:before="241" w:line="360" w:lineRule="auto"/>
        <w:ind w:left="119" w:right="116"/>
        <w:jc w:val="both"/>
        <w:rPr>
          <w:b/>
          <w:sz w:val="24"/>
        </w:rPr>
      </w:pPr>
      <w:r>
        <w:rPr>
          <w:b/>
          <w:sz w:val="24"/>
        </w:rPr>
        <w:t xml:space="preserve">Artículo Único: </w:t>
      </w:r>
      <w:r>
        <w:rPr>
          <w:sz w:val="24"/>
        </w:rPr>
        <w:t>Modifíquese el inciso segundo del artículo 10° de la ley 18.314 que deter</w:t>
      </w:r>
      <w:r>
        <w:rPr>
          <w:sz w:val="24"/>
        </w:rPr>
        <w:t xml:space="preserve">mina conductas terroristas y fija su penalidad, de la manera que sigue: Entre la frase “de los Intendentes Regionales”, y la frase “de los Gobernadores Provinciales” incorpórese lo siguiente: </w:t>
      </w:r>
      <w:r>
        <w:rPr>
          <w:b/>
          <w:sz w:val="24"/>
        </w:rPr>
        <w:t>“del Gobernador Regional por hechos acontecidos dentro de la reg</w:t>
      </w:r>
      <w:r>
        <w:rPr>
          <w:b/>
          <w:sz w:val="24"/>
        </w:rPr>
        <w:t>ión que representan”.</w:t>
      </w:r>
    </w:p>
    <w:p w:rsidR="00AA0B2C" w:rsidRDefault="00AA0B2C">
      <w:pPr>
        <w:spacing w:line="360" w:lineRule="auto"/>
        <w:jc w:val="both"/>
        <w:rPr>
          <w:sz w:val="24"/>
        </w:rPr>
        <w:sectPr w:rsidR="00AA0B2C">
          <w:pgSz w:w="12240" w:h="20160"/>
          <w:pgMar w:top="2140" w:right="1580" w:bottom="280" w:left="1580" w:header="725" w:footer="0" w:gutter="0"/>
          <w:cols w:space="720"/>
        </w:sect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rPr>
          <w:b/>
          <w:sz w:val="20"/>
        </w:rPr>
      </w:pPr>
    </w:p>
    <w:p w:rsidR="00AA0B2C" w:rsidRDefault="00AA0B2C">
      <w:pPr>
        <w:pStyle w:val="Textoindependiente"/>
        <w:spacing w:before="4"/>
        <w:rPr>
          <w:b/>
          <w:sz w:val="21"/>
        </w:rPr>
      </w:pPr>
    </w:p>
    <w:p w:rsidR="00AA0B2C" w:rsidRDefault="00937EDB">
      <w:pPr>
        <w:pStyle w:val="Ttulo1"/>
        <w:ind w:right="2379"/>
      </w:pPr>
      <w:r>
        <w:t>JAIME</w:t>
      </w:r>
      <w:r>
        <w:rPr>
          <w:spacing w:val="-2"/>
        </w:rPr>
        <w:t xml:space="preserve"> </w:t>
      </w:r>
      <w:r>
        <w:t>ARAYA</w:t>
      </w:r>
      <w:r>
        <w:rPr>
          <w:spacing w:val="-3"/>
        </w:rPr>
        <w:t xml:space="preserve"> </w:t>
      </w:r>
      <w:r>
        <w:rPr>
          <w:spacing w:val="-2"/>
        </w:rPr>
        <w:t>GUERRERO</w:t>
      </w:r>
    </w:p>
    <w:p w:rsidR="00AA0B2C" w:rsidRDefault="00937EDB">
      <w:pPr>
        <w:spacing w:before="147" w:line="357" w:lineRule="auto"/>
        <w:ind w:left="2372" w:right="2381"/>
        <w:jc w:val="center"/>
        <w:rPr>
          <w:b/>
          <w:sz w:val="24"/>
        </w:rPr>
      </w:pPr>
      <w:r>
        <w:rPr>
          <w:b/>
          <w:sz w:val="24"/>
        </w:rPr>
        <w:t>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República Distrito Número 3.</w:t>
      </w:r>
    </w:p>
    <w:p w:rsidR="00AA0B2C" w:rsidRDefault="00937EDB">
      <w:pPr>
        <w:spacing w:before="5"/>
        <w:ind w:left="2609" w:right="2613"/>
        <w:jc w:val="center"/>
        <w:rPr>
          <w:b/>
          <w:sz w:val="24"/>
        </w:rPr>
      </w:pPr>
      <w:r>
        <w:rPr>
          <w:b/>
          <w:sz w:val="24"/>
        </w:rPr>
        <w:t>Bancada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PPD e </w:t>
      </w:r>
      <w:r>
        <w:rPr>
          <w:b/>
          <w:spacing w:val="-2"/>
          <w:sz w:val="24"/>
        </w:rPr>
        <w:t>Independientes.</w:t>
      </w:r>
    </w:p>
    <w:sectPr w:rsidR="00AA0B2C">
      <w:pgSz w:w="12240" w:h="20160"/>
      <w:pgMar w:top="2140" w:right="158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DB" w:rsidRDefault="00937EDB">
      <w:r>
        <w:separator/>
      </w:r>
    </w:p>
  </w:endnote>
  <w:endnote w:type="continuationSeparator" w:id="0">
    <w:p w:rsidR="00937EDB" w:rsidRDefault="0093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DB" w:rsidRDefault="00937EDB">
      <w:r>
        <w:separator/>
      </w:r>
    </w:p>
  </w:footnote>
  <w:footnote w:type="continuationSeparator" w:id="0">
    <w:p w:rsidR="00937EDB" w:rsidRDefault="00937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2C" w:rsidRDefault="00937ED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44320" behindDoc="1" locked="0" layoutInCell="1" allowOverlap="1">
          <wp:simplePos x="0" y="0"/>
          <wp:positionH relativeFrom="page">
            <wp:posOffset>3435350</wp:posOffset>
          </wp:positionH>
          <wp:positionV relativeFrom="page">
            <wp:posOffset>460182</wp:posOffset>
          </wp:positionV>
          <wp:extent cx="904875" cy="9052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B2C"/>
    <w:rsid w:val="005F2517"/>
    <w:rsid w:val="00937EDB"/>
    <w:rsid w:val="00A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450BD5-A800-42BB-80CC-B99B86E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2372" w:right="11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ComitePPD.04</dc:creator>
  <cp:lastModifiedBy>Leonardo Lueiza Ureta</cp:lastModifiedBy>
  <cp:revision>1</cp:revision>
  <dcterms:created xsi:type="dcterms:W3CDTF">2022-11-08T20:58:00Z</dcterms:created>
  <dcterms:modified xsi:type="dcterms:W3CDTF">2022-11-09T15:08:00Z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  <property fmtid="{D5CDD505-2E9C-101B-9397-08002B2CF9AE}" pid="5" name="Producer">
    <vt:lpwstr>www.ilovepdf.com</vt:lpwstr>
  </property>
</Properties>
</file>