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5B" w:rsidRDefault="00883432">
      <w:pPr>
        <w:tabs>
          <w:tab w:val="left" w:pos="7675"/>
        </w:tabs>
        <w:ind w:left="100"/>
        <w:rPr>
          <w:rFonts w:ascii="Times New Roman"/>
          <w:sz w:val="20"/>
        </w:rPr>
      </w:pPr>
      <w:bookmarkStart w:id="0" w:name="_GoBack"/>
      <w:bookmarkEnd w:id="0"/>
      <w:r>
        <w:rPr>
          <w:rFonts w:ascii="Times New Roman"/>
          <w:noProof/>
          <w:sz w:val="20"/>
          <w:lang w:val="es-CL" w:eastAsia="es-CL"/>
        </w:rPr>
        <w:drawing>
          <wp:inline distT="0" distB="0" distL="0" distR="0">
            <wp:extent cx="978647" cy="92163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lang w:val="es-CL" w:eastAsia="es-CL"/>
        </w:rPr>
        <w:drawing>
          <wp:inline distT="0" distB="0" distL="0" distR="0">
            <wp:extent cx="914400" cy="914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14400" cy="914400"/>
                    </a:xfrm>
                    <a:prstGeom prst="rect">
                      <a:avLst/>
                    </a:prstGeom>
                  </pic:spPr>
                </pic:pic>
              </a:graphicData>
            </a:graphic>
          </wp:inline>
        </w:drawing>
      </w:r>
    </w:p>
    <w:p w:rsidR="00D32C5B" w:rsidRDefault="00D32C5B">
      <w:pPr>
        <w:pStyle w:val="Textoindependiente"/>
        <w:rPr>
          <w:rFonts w:ascii="Times New Roman"/>
          <w:sz w:val="20"/>
        </w:rPr>
      </w:pPr>
    </w:p>
    <w:p w:rsidR="00D32C5B" w:rsidRDefault="00D32C5B">
      <w:pPr>
        <w:pStyle w:val="Textoindependiente"/>
        <w:rPr>
          <w:rFonts w:ascii="Times New Roman"/>
          <w:sz w:val="20"/>
        </w:rPr>
      </w:pPr>
    </w:p>
    <w:p w:rsidR="00D32C5B" w:rsidRDefault="00D32C5B">
      <w:pPr>
        <w:pStyle w:val="Textoindependiente"/>
        <w:spacing w:before="2"/>
        <w:rPr>
          <w:rFonts w:ascii="Times New Roman"/>
          <w:sz w:val="22"/>
        </w:rPr>
      </w:pPr>
    </w:p>
    <w:p w:rsidR="00D32C5B" w:rsidRDefault="00883432">
      <w:pPr>
        <w:pStyle w:val="Ttulo1"/>
        <w:spacing w:line="360" w:lineRule="auto"/>
        <w:ind w:left="2970" w:hanging="2697"/>
      </w:pPr>
      <w:r>
        <w:t>Proyecto</w:t>
      </w:r>
      <w:r>
        <w:rPr>
          <w:spacing w:val="-3"/>
        </w:rPr>
        <w:t xml:space="preserve"> </w:t>
      </w:r>
      <w:r>
        <w:t>de</w:t>
      </w:r>
      <w:r>
        <w:rPr>
          <w:spacing w:val="-3"/>
        </w:rPr>
        <w:t xml:space="preserve"> </w:t>
      </w:r>
      <w:r>
        <w:t>ley</w:t>
      </w:r>
      <w:r>
        <w:rPr>
          <w:spacing w:val="-3"/>
        </w:rPr>
        <w:t xml:space="preserve"> </w:t>
      </w:r>
      <w:r>
        <w:t>que</w:t>
      </w:r>
      <w:r>
        <w:rPr>
          <w:spacing w:val="-3"/>
        </w:rPr>
        <w:t xml:space="preserve"> </w:t>
      </w:r>
      <w:r>
        <w:t>regula</w:t>
      </w:r>
      <w:r>
        <w:rPr>
          <w:spacing w:val="-3"/>
        </w:rPr>
        <w:t xml:space="preserve"> </w:t>
      </w:r>
      <w:r>
        <w:t>los</w:t>
      </w:r>
      <w:r>
        <w:rPr>
          <w:spacing w:val="-3"/>
        </w:rPr>
        <w:t xml:space="preserve"> </w:t>
      </w:r>
      <w:r>
        <w:t>conflictos</w:t>
      </w:r>
      <w:r>
        <w:rPr>
          <w:spacing w:val="-3"/>
        </w:rPr>
        <w:t xml:space="preserve"> </w:t>
      </w:r>
      <w:r>
        <w:t>de</w:t>
      </w:r>
      <w:r>
        <w:rPr>
          <w:spacing w:val="-3"/>
        </w:rPr>
        <w:t xml:space="preserve"> </w:t>
      </w:r>
      <w:r>
        <w:t>intereses</w:t>
      </w:r>
      <w:r>
        <w:rPr>
          <w:spacing w:val="-3"/>
        </w:rPr>
        <w:t xml:space="preserve"> </w:t>
      </w:r>
      <w:r>
        <w:t>post</w:t>
      </w:r>
      <w:r>
        <w:rPr>
          <w:spacing w:val="-3"/>
        </w:rPr>
        <w:t xml:space="preserve"> </w:t>
      </w:r>
      <w:r>
        <w:t>empleo</w:t>
      </w:r>
      <w:r>
        <w:rPr>
          <w:spacing w:val="-3"/>
        </w:rPr>
        <w:t xml:space="preserve"> </w:t>
      </w:r>
      <w:r>
        <w:t>en</w:t>
      </w:r>
      <w:r>
        <w:rPr>
          <w:spacing w:val="-3"/>
        </w:rPr>
        <w:t xml:space="preserve"> </w:t>
      </w:r>
      <w:r>
        <w:t>la Administración del Estado</w:t>
      </w:r>
    </w:p>
    <w:p w:rsidR="00D32C5B" w:rsidRDefault="00D32C5B">
      <w:pPr>
        <w:pStyle w:val="Textoindependiente"/>
        <w:rPr>
          <w:b/>
          <w:sz w:val="26"/>
        </w:rPr>
      </w:pPr>
    </w:p>
    <w:p w:rsidR="00D32C5B" w:rsidRDefault="00D32C5B">
      <w:pPr>
        <w:pStyle w:val="Textoindependiente"/>
        <w:spacing w:before="7"/>
        <w:rPr>
          <w:b/>
          <w:sz w:val="35"/>
        </w:rPr>
      </w:pPr>
    </w:p>
    <w:p w:rsidR="00D32C5B" w:rsidRDefault="00883432">
      <w:pPr>
        <w:ind w:left="100"/>
        <w:rPr>
          <w:b/>
          <w:sz w:val="24"/>
        </w:rPr>
      </w:pPr>
      <w:r>
        <w:rPr>
          <w:b/>
          <w:spacing w:val="-2"/>
          <w:sz w:val="24"/>
        </w:rPr>
        <w:t>Antecedentes:</w:t>
      </w:r>
    </w:p>
    <w:p w:rsidR="00D32C5B" w:rsidRDefault="00D32C5B">
      <w:pPr>
        <w:pStyle w:val="Textoindependiente"/>
        <w:rPr>
          <w:b/>
          <w:sz w:val="26"/>
        </w:rPr>
      </w:pPr>
    </w:p>
    <w:p w:rsidR="00D32C5B" w:rsidRDefault="00D32C5B">
      <w:pPr>
        <w:pStyle w:val="Textoindependiente"/>
        <w:rPr>
          <w:b/>
          <w:sz w:val="22"/>
        </w:rPr>
      </w:pPr>
    </w:p>
    <w:p w:rsidR="00D32C5B" w:rsidRDefault="00883432">
      <w:pPr>
        <w:pStyle w:val="Textoindependiente"/>
        <w:spacing w:line="360" w:lineRule="auto"/>
        <w:ind w:left="100" w:right="393"/>
        <w:jc w:val="both"/>
      </w:pPr>
      <w:r>
        <w:t xml:space="preserve">El 25 de junio de 2015, en el marco de la Agenda de Probidad y Transparencia, </w:t>
      </w:r>
      <w:r>
        <w:t>la Presidenta Michelle Bachelet ingresó por el Senado un</w:t>
      </w:r>
      <w:r>
        <w:rPr>
          <w:spacing w:val="-3"/>
        </w:rPr>
        <w:t xml:space="preserve"> </w:t>
      </w:r>
      <w:r>
        <w:t>Proyecto</w:t>
      </w:r>
      <w:r>
        <w:rPr>
          <w:spacing w:val="-3"/>
        </w:rPr>
        <w:t xml:space="preserve"> </w:t>
      </w:r>
      <w:r>
        <w:t>de</w:t>
      </w:r>
      <w:r>
        <w:rPr>
          <w:spacing w:val="-3"/>
        </w:rPr>
        <w:t xml:space="preserve"> </w:t>
      </w:r>
      <w:r>
        <w:t>Ley</w:t>
      </w:r>
      <w:r>
        <w:rPr>
          <w:spacing w:val="-3"/>
        </w:rPr>
        <w:t xml:space="preserve"> </w:t>
      </w:r>
      <w:r>
        <w:t>que</w:t>
      </w:r>
      <w:r>
        <w:rPr>
          <w:spacing w:val="-3"/>
        </w:rPr>
        <w:t xml:space="preserve"> </w:t>
      </w:r>
      <w:r>
        <w:t>Previene y sanciona los conflictos de intereses, y modifica normas sobre inhabilidades e incompatibilidades en el ejercicio de la función pública,</w:t>
      </w:r>
      <w:r>
        <w:rPr>
          <w:spacing w:val="-3"/>
        </w:rPr>
        <w:t xml:space="preserve"> </w:t>
      </w:r>
      <w:r>
        <w:t>Boletín</w:t>
      </w:r>
      <w:r>
        <w:rPr>
          <w:spacing w:val="-3"/>
        </w:rPr>
        <w:t xml:space="preserve"> </w:t>
      </w:r>
      <w:r>
        <w:t>Nº</w:t>
      </w:r>
      <w:r>
        <w:rPr>
          <w:spacing w:val="-3"/>
        </w:rPr>
        <w:t xml:space="preserve"> </w:t>
      </w:r>
      <w:r>
        <w:t>10.140-07.</w:t>
      </w:r>
      <w:r>
        <w:rPr>
          <w:spacing w:val="-3"/>
        </w:rPr>
        <w:t xml:space="preserve"> </w:t>
      </w:r>
      <w:r>
        <w:t>Dicho proy</w:t>
      </w:r>
      <w:r>
        <w:t>ecto contemplaba, entre otros aspectos, establecer un nuevo estatuto de regulación de la</w:t>
      </w:r>
      <w:r>
        <w:rPr>
          <w:spacing w:val="-3"/>
        </w:rPr>
        <w:t xml:space="preserve"> </w:t>
      </w:r>
      <w:r>
        <w:t>denominada</w:t>
      </w:r>
      <w:r>
        <w:rPr>
          <w:spacing w:val="-3"/>
        </w:rPr>
        <w:t xml:space="preserve"> </w:t>
      </w:r>
      <w:r>
        <w:t>“puerta</w:t>
      </w:r>
      <w:r>
        <w:rPr>
          <w:spacing w:val="-3"/>
        </w:rPr>
        <w:t xml:space="preserve"> </w:t>
      </w:r>
      <w:r>
        <w:t>giratoria”</w:t>
      </w:r>
      <w:r>
        <w:rPr>
          <w:spacing w:val="-3"/>
        </w:rPr>
        <w:t xml:space="preserve"> </w:t>
      </w:r>
      <w:r>
        <w:t>entre</w:t>
      </w:r>
      <w:r>
        <w:rPr>
          <w:spacing w:val="-3"/>
        </w:rPr>
        <w:t xml:space="preserve"> </w:t>
      </w:r>
      <w:r>
        <w:t>el</w:t>
      </w:r>
      <w:r>
        <w:rPr>
          <w:spacing w:val="-3"/>
        </w:rPr>
        <w:t xml:space="preserve"> </w:t>
      </w:r>
      <w:r>
        <w:t>sector</w:t>
      </w:r>
      <w:r>
        <w:rPr>
          <w:spacing w:val="-3"/>
        </w:rPr>
        <w:t xml:space="preserve"> </w:t>
      </w:r>
      <w:r>
        <w:t>público</w:t>
      </w:r>
      <w:r>
        <w:rPr>
          <w:spacing w:val="-3"/>
        </w:rPr>
        <w:t xml:space="preserve"> </w:t>
      </w:r>
      <w:r>
        <w:t>y</w:t>
      </w:r>
      <w:r>
        <w:rPr>
          <w:spacing w:val="-3"/>
        </w:rPr>
        <w:t xml:space="preserve"> </w:t>
      </w:r>
      <w:r>
        <w:t>privado</w:t>
      </w:r>
      <w:r>
        <w:rPr>
          <w:spacing w:val="-3"/>
        </w:rPr>
        <w:t xml:space="preserve"> </w:t>
      </w:r>
      <w:r>
        <w:t>en</w:t>
      </w:r>
      <w:r>
        <w:rPr>
          <w:spacing w:val="-3"/>
        </w:rPr>
        <w:t xml:space="preserve"> </w:t>
      </w:r>
      <w:r>
        <w:t>la administración central.</w:t>
      </w:r>
    </w:p>
    <w:p w:rsidR="00D32C5B" w:rsidRDefault="00D32C5B">
      <w:pPr>
        <w:pStyle w:val="Textoindependiente"/>
        <w:rPr>
          <w:sz w:val="36"/>
        </w:rPr>
      </w:pPr>
    </w:p>
    <w:p w:rsidR="00D32C5B" w:rsidRDefault="00883432">
      <w:pPr>
        <w:pStyle w:val="Textoindependiente"/>
        <w:spacing w:line="360" w:lineRule="auto"/>
        <w:ind w:left="100" w:right="394"/>
        <w:jc w:val="both"/>
      </w:pPr>
      <w:r>
        <w:t xml:space="preserve">A pesar de las múltiples urgencias ingresadas por la administración de Bachelet, el proyecto nunca cumplió con su primer trámite reglamentario, no verificándose movimiento alguno en su tramitación desde el 3 de enero de 2018, por lo que actualmente duerme </w:t>
      </w:r>
      <w:r>
        <w:t>en el Senado.</w:t>
      </w:r>
    </w:p>
    <w:p w:rsidR="00D32C5B" w:rsidRDefault="00D32C5B">
      <w:pPr>
        <w:pStyle w:val="Textoindependiente"/>
        <w:rPr>
          <w:sz w:val="36"/>
        </w:rPr>
      </w:pPr>
    </w:p>
    <w:p w:rsidR="00D32C5B" w:rsidRDefault="00883432">
      <w:pPr>
        <w:pStyle w:val="Ttulo1"/>
      </w:pPr>
      <w:r>
        <w:rPr>
          <w:spacing w:val="-2"/>
        </w:rPr>
        <w:t>Fundamentos:</w:t>
      </w:r>
    </w:p>
    <w:p w:rsidR="00D32C5B" w:rsidRDefault="00D32C5B">
      <w:pPr>
        <w:pStyle w:val="Textoindependiente"/>
        <w:rPr>
          <w:b/>
          <w:sz w:val="26"/>
        </w:rPr>
      </w:pPr>
    </w:p>
    <w:p w:rsidR="00D32C5B" w:rsidRDefault="00D32C5B">
      <w:pPr>
        <w:pStyle w:val="Textoindependiente"/>
        <w:rPr>
          <w:b/>
          <w:sz w:val="22"/>
        </w:rPr>
      </w:pPr>
    </w:p>
    <w:p w:rsidR="00D32C5B" w:rsidRDefault="00883432">
      <w:pPr>
        <w:pStyle w:val="Textoindependiente"/>
        <w:spacing w:line="360" w:lineRule="auto"/>
        <w:ind w:left="100" w:right="395"/>
        <w:jc w:val="both"/>
      </w:pPr>
      <w:r>
        <w:t>La Constitución Política de la República establece que el ejercicio de las funciones públicas</w:t>
      </w:r>
      <w:r>
        <w:rPr>
          <w:spacing w:val="-3"/>
        </w:rPr>
        <w:t xml:space="preserve"> </w:t>
      </w:r>
      <w:r>
        <w:t>obliga</w:t>
      </w:r>
      <w:r>
        <w:rPr>
          <w:spacing w:val="-3"/>
        </w:rPr>
        <w:t xml:space="preserve"> </w:t>
      </w:r>
      <w:r>
        <w:t>a</w:t>
      </w:r>
      <w:r>
        <w:rPr>
          <w:spacing w:val="-3"/>
        </w:rPr>
        <w:t xml:space="preserve"> </w:t>
      </w:r>
      <w:r>
        <w:t>sus</w:t>
      </w:r>
      <w:r>
        <w:rPr>
          <w:spacing w:val="-3"/>
        </w:rPr>
        <w:t xml:space="preserve"> </w:t>
      </w:r>
      <w:r>
        <w:t>titulares</w:t>
      </w:r>
      <w:r>
        <w:rPr>
          <w:spacing w:val="-3"/>
        </w:rPr>
        <w:t xml:space="preserve"> </w:t>
      </w:r>
      <w:r>
        <w:t>a</w:t>
      </w:r>
      <w:r>
        <w:rPr>
          <w:spacing w:val="-3"/>
        </w:rPr>
        <w:t xml:space="preserve"> </w:t>
      </w:r>
      <w:r>
        <w:t>dar</w:t>
      </w:r>
      <w:r>
        <w:rPr>
          <w:spacing w:val="-3"/>
        </w:rPr>
        <w:t xml:space="preserve"> </w:t>
      </w:r>
      <w:r>
        <w:t>estricto</w:t>
      </w:r>
      <w:r>
        <w:rPr>
          <w:spacing w:val="-3"/>
        </w:rPr>
        <w:t xml:space="preserve"> </w:t>
      </w:r>
      <w:r>
        <w:t>cumplimiento</w:t>
      </w:r>
      <w:r>
        <w:rPr>
          <w:spacing w:val="-3"/>
        </w:rPr>
        <w:t xml:space="preserve"> </w:t>
      </w:r>
      <w:r>
        <w:t>al</w:t>
      </w:r>
      <w:r>
        <w:rPr>
          <w:spacing w:val="-3"/>
        </w:rPr>
        <w:t xml:space="preserve"> </w:t>
      </w:r>
      <w:r>
        <w:t>principio</w:t>
      </w:r>
      <w:r>
        <w:rPr>
          <w:spacing w:val="-3"/>
        </w:rPr>
        <w:t xml:space="preserve"> </w:t>
      </w:r>
      <w:r>
        <w:t>de</w:t>
      </w:r>
      <w:r>
        <w:rPr>
          <w:spacing w:val="-3"/>
        </w:rPr>
        <w:t xml:space="preserve"> </w:t>
      </w:r>
      <w:r>
        <w:t>probidad</w:t>
      </w:r>
      <w:r>
        <w:rPr>
          <w:spacing w:val="-3"/>
        </w:rPr>
        <w:t xml:space="preserve"> </w:t>
      </w:r>
      <w:r>
        <w:t xml:space="preserve">en todas sus actuaciones. Para dar cumplimiento a dicho </w:t>
      </w:r>
      <w:r>
        <w:t>mandato, la normativa nacional se ha ido adaptando</w:t>
      </w:r>
      <w:r>
        <w:rPr>
          <w:spacing w:val="-3"/>
        </w:rPr>
        <w:t xml:space="preserve"> </w:t>
      </w:r>
      <w:r>
        <w:t>e</w:t>
      </w:r>
      <w:r>
        <w:rPr>
          <w:spacing w:val="-3"/>
        </w:rPr>
        <w:t xml:space="preserve"> </w:t>
      </w:r>
      <w:r>
        <w:t>incorporando</w:t>
      </w:r>
      <w:r>
        <w:rPr>
          <w:spacing w:val="-3"/>
        </w:rPr>
        <w:t xml:space="preserve"> </w:t>
      </w:r>
      <w:r>
        <w:t>paulatinamente</w:t>
      </w:r>
      <w:r>
        <w:rPr>
          <w:spacing w:val="-3"/>
        </w:rPr>
        <w:t xml:space="preserve"> </w:t>
      </w:r>
      <w:r>
        <w:t>mayores</w:t>
      </w:r>
      <w:r>
        <w:rPr>
          <w:spacing w:val="-3"/>
        </w:rPr>
        <w:t xml:space="preserve"> </w:t>
      </w:r>
      <w:r>
        <w:t>estándares</w:t>
      </w:r>
      <w:r>
        <w:rPr>
          <w:spacing w:val="-3"/>
        </w:rPr>
        <w:t xml:space="preserve"> </w:t>
      </w:r>
      <w:r>
        <w:t>de probidad y transparencia para quienes desarrollan funciones públicas. Entre dichas exigencias se encuentran los requisitos e inhabilidades para el ingres</w:t>
      </w:r>
      <w:r>
        <w:t>o a la administración pública, además</w:t>
      </w:r>
      <w:r>
        <w:rPr>
          <w:spacing w:val="-4"/>
        </w:rPr>
        <w:t xml:space="preserve"> </w:t>
      </w:r>
      <w:r>
        <w:t>de</w:t>
      </w:r>
      <w:r>
        <w:rPr>
          <w:spacing w:val="-4"/>
        </w:rPr>
        <w:t xml:space="preserve"> </w:t>
      </w:r>
      <w:r>
        <w:t>una</w:t>
      </w:r>
      <w:r>
        <w:rPr>
          <w:spacing w:val="-4"/>
        </w:rPr>
        <w:t xml:space="preserve"> </w:t>
      </w:r>
      <w:r>
        <w:t>serie</w:t>
      </w:r>
      <w:r>
        <w:rPr>
          <w:spacing w:val="-4"/>
        </w:rPr>
        <w:t xml:space="preserve"> </w:t>
      </w:r>
      <w:r>
        <w:t>de</w:t>
      </w:r>
      <w:r>
        <w:rPr>
          <w:spacing w:val="-4"/>
        </w:rPr>
        <w:t xml:space="preserve"> </w:t>
      </w:r>
      <w:r>
        <w:t>incompatibilidades</w:t>
      </w:r>
      <w:r>
        <w:rPr>
          <w:spacing w:val="-4"/>
        </w:rPr>
        <w:t xml:space="preserve"> </w:t>
      </w:r>
      <w:r>
        <w:t>establecidas</w:t>
      </w:r>
      <w:r>
        <w:rPr>
          <w:spacing w:val="-4"/>
        </w:rPr>
        <w:t xml:space="preserve"> </w:t>
      </w:r>
      <w:r>
        <w:t>para resguardar el interés general sobre el particular.</w:t>
      </w:r>
    </w:p>
    <w:p w:rsidR="00D32C5B" w:rsidRDefault="00D32C5B">
      <w:pPr>
        <w:spacing w:line="360" w:lineRule="auto"/>
        <w:jc w:val="both"/>
        <w:sectPr w:rsidR="00D32C5B">
          <w:type w:val="continuous"/>
          <w:pgSz w:w="11920" w:h="16840"/>
          <w:pgMar w:top="1620" w:right="1060" w:bottom="280" w:left="1340" w:header="720" w:footer="720" w:gutter="0"/>
          <w:cols w:space="720"/>
        </w:sectPr>
      </w:pPr>
    </w:p>
    <w:p w:rsidR="00D32C5B" w:rsidRDefault="00883432">
      <w:pPr>
        <w:pStyle w:val="Textoindependiente"/>
        <w:spacing w:before="89" w:line="360" w:lineRule="auto"/>
        <w:ind w:left="100" w:right="392"/>
        <w:jc w:val="both"/>
      </w:pPr>
      <w:r>
        <w:lastRenderedPageBreak/>
        <w:t xml:space="preserve">Sobre la materia, reviste especial relevancia el caso de la denominada </w:t>
      </w:r>
      <w:r>
        <w:t xml:space="preserve">“puerta giratoria” o </w:t>
      </w:r>
      <w:proofErr w:type="spellStart"/>
      <w:r>
        <w:t>revolving</w:t>
      </w:r>
      <w:proofErr w:type="spellEnd"/>
      <w:r>
        <w:t xml:space="preserve"> </w:t>
      </w:r>
      <w:proofErr w:type="spellStart"/>
      <w:r>
        <w:t>door</w:t>
      </w:r>
      <w:proofErr w:type="spellEnd"/>
      <w:r>
        <w:t>, que se refiere al hecho de que funcionarios públicos que legislan sobre una determinada área de la economía o la regulan, suelen pasar, una vez dejado el servicio público, a trabajar para empresas que operan dentro de l</w:t>
      </w:r>
      <w:r>
        <w:t>a misma área,</w:t>
      </w:r>
      <w:r>
        <w:rPr>
          <w:spacing w:val="-3"/>
        </w:rPr>
        <w:t xml:space="preserve"> </w:t>
      </w:r>
      <w:r>
        <w:t>como</w:t>
      </w:r>
      <w:r>
        <w:rPr>
          <w:spacing w:val="-3"/>
        </w:rPr>
        <w:t xml:space="preserve"> </w:t>
      </w:r>
      <w:r>
        <w:t>lobistas,</w:t>
      </w:r>
      <w:r>
        <w:rPr>
          <w:spacing w:val="-3"/>
        </w:rPr>
        <w:t xml:space="preserve"> </w:t>
      </w:r>
      <w:r>
        <w:t>ejecutivos</w:t>
      </w:r>
      <w:r>
        <w:rPr>
          <w:spacing w:val="-3"/>
        </w:rPr>
        <w:t xml:space="preserve"> </w:t>
      </w:r>
      <w:r>
        <w:t>o</w:t>
      </w:r>
      <w:r>
        <w:rPr>
          <w:spacing w:val="-3"/>
        </w:rPr>
        <w:t xml:space="preserve"> </w:t>
      </w:r>
      <w:r>
        <w:t>miembros</w:t>
      </w:r>
      <w:r>
        <w:rPr>
          <w:spacing w:val="-3"/>
        </w:rPr>
        <w:t xml:space="preserve"> </w:t>
      </w:r>
      <w:r>
        <w:t>del</w:t>
      </w:r>
      <w:r>
        <w:rPr>
          <w:spacing w:val="-3"/>
        </w:rPr>
        <w:t xml:space="preserve"> </w:t>
      </w:r>
      <w:r>
        <w:t>directorio;</w:t>
      </w:r>
      <w:r>
        <w:rPr>
          <w:spacing w:val="-3"/>
        </w:rPr>
        <w:t xml:space="preserve"> </w:t>
      </w:r>
      <w:r>
        <w:t>y</w:t>
      </w:r>
      <w:r>
        <w:rPr>
          <w:spacing w:val="-3"/>
        </w:rPr>
        <w:t xml:space="preserve"> </w:t>
      </w:r>
      <w:r>
        <w:t>se</w:t>
      </w:r>
      <w:r>
        <w:rPr>
          <w:spacing w:val="-3"/>
        </w:rPr>
        <w:t xml:space="preserve"> </w:t>
      </w:r>
      <w:r>
        <w:t>refiere</w:t>
      </w:r>
      <w:r>
        <w:rPr>
          <w:spacing w:val="-3"/>
        </w:rPr>
        <w:t xml:space="preserve"> </w:t>
      </w:r>
      <w:r>
        <w:t>también a la situación inversa, esto es, la de lobistas o ejecutivos de empresas que pasan a ocupar un cargo en una agencia estatal llamada a supervisar o regular el sector económico propio de tales empresas</w:t>
      </w:r>
      <w:r>
        <w:rPr>
          <w:vertAlign w:val="superscript"/>
        </w:rPr>
        <w:t>1</w:t>
      </w:r>
      <w:r>
        <w:t>.</w:t>
      </w:r>
    </w:p>
    <w:p w:rsidR="00D32C5B" w:rsidRDefault="00D32C5B">
      <w:pPr>
        <w:pStyle w:val="Textoindependiente"/>
        <w:rPr>
          <w:sz w:val="36"/>
        </w:rPr>
      </w:pPr>
    </w:p>
    <w:p w:rsidR="00D32C5B" w:rsidRDefault="00883432">
      <w:pPr>
        <w:pStyle w:val="Textoindependiente"/>
        <w:spacing w:line="360" w:lineRule="auto"/>
        <w:ind w:left="100" w:right="392"/>
        <w:jc w:val="both"/>
      </w:pPr>
      <w:r>
        <w:t>Esta situación tensiona valores como la liber</w:t>
      </w:r>
      <w:r>
        <w:t>tad de trabajo y la</w:t>
      </w:r>
      <w:r>
        <w:rPr>
          <w:spacing w:val="-3"/>
        </w:rPr>
        <w:t xml:space="preserve"> </w:t>
      </w:r>
      <w:r>
        <w:t>necesidad</w:t>
      </w:r>
      <w:r>
        <w:rPr>
          <w:spacing w:val="-3"/>
        </w:rPr>
        <w:t xml:space="preserve"> </w:t>
      </w:r>
      <w:r>
        <w:t>del</w:t>
      </w:r>
      <w:r>
        <w:rPr>
          <w:spacing w:val="-3"/>
        </w:rPr>
        <w:t xml:space="preserve"> </w:t>
      </w:r>
      <w:r>
        <w:t>Estado de atraer a la función pública a profesionales competentes, con el imperativo de resguardar los intereses públicos, los cuales quedan objetivamente sometidos a una situación de riesgo si el funcionario público antic</w:t>
      </w:r>
      <w:r>
        <w:t>ipa que los agentes privados a quienes debe regular pueden ser sus empleadores el día de mañana</w:t>
      </w:r>
      <w:r>
        <w:rPr>
          <w:vertAlign w:val="superscript"/>
        </w:rPr>
        <w:t>2</w:t>
      </w:r>
      <w:r>
        <w:t>. Es entonces evidente que la circulación público-privada de empleos presenta riesgos para</w:t>
      </w:r>
      <w:r>
        <w:rPr>
          <w:spacing w:val="-3"/>
        </w:rPr>
        <w:t xml:space="preserve"> </w:t>
      </w:r>
      <w:r>
        <w:t>el</w:t>
      </w:r>
      <w:r>
        <w:rPr>
          <w:spacing w:val="-3"/>
        </w:rPr>
        <w:t xml:space="preserve"> </w:t>
      </w:r>
      <w:r>
        <w:t>bien común y genera suspicacias acerca</w:t>
      </w:r>
      <w:r>
        <w:rPr>
          <w:spacing w:val="-3"/>
        </w:rPr>
        <w:t xml:space="preserve"> </w:t>
      </w:r>
      <w:r>
        <w:t>de</w:t>
      </w:r>
      <w:r>
        <w:rPr>
          <w:spacing w:val="-3"/>
        </w:rPr>
        <w:t xml:space="preserve"> </w:t>
      </w:r>
      <w:r>
        <w:t>la</w:t>
      </w:r>
      <w:r>
        <w:rPr>
          <w:spacing w:val="-3"/>
        </w:rPr>
        <w:t xml:space="preserve"> </w:t>
      </w:r>
      <w:r>
        <w:t>probidad</w:t>
      </w:r>
      <w:r>
        <w:rPr>
          <w:spacing w:val="-3"/>
        </w:rPr>
        <w:t xml:space="preserve"> </w:t>
      </w:r>
      <w:r>
        <w:t>de</w:t>
      </w:r>
      <w:r>
        <w:rPr>
          <w:spacing w:val="-3"/>
        </w:rPr>
        <w:t xml:space="preserve"> </w:t>
      </w:r>
      <w:r>
        <w:t>los</w:t>
      </w:r>
      <w:r>
        <w:rPr>
          <w:spacing w:val="-3"/>
        </w:rPr>
        <w:t xml:space="preserve"> </w:t>
      </w:r>
      <w:r>
        <w:t>funci</w:t>
      </w:r>
      <w:r>
        <w:t>onarios</w:t>
      </w:r>
      <w:r>
        <w:rPr>
          <w:spacing w:val="-3"/>
        </w:rPr>
        <w:t xml:space="preserve"> </w:t>
      </w:r>
      <w:r>
        <w:t>del</w:t>
      </w:r>
      <w:r>
        <w:rPr>
          <w:spacing w:val="-3"/>
        </w:rPr>
        <w:t xml:space="preserve"> </w:t>
      </w:r>
      <w:r>
        <w:t>Estado.</w:t>
      </w:r>
      <w:r>
        <w:rPr>
          <w:spacing w:val="-3"/>
        </w:rPr>
        <w:t xml:space="preserve"> </w:t>
      </w:r>
      <w:r>
        <w:t xml:space="preserve">Por ende, es necesaria una regulación al respecto que se haga cargo de armonizar los intereses de los funcionarios y del Estado con la prevención de los conflictos de </w:t>
      </w:r>
      <w:r>
        <w:rPr>
          <w:spacing w:val="-2"/>
        </w:rPr>
        <w:t>interés.</w:t>
      </w:r>
    </w:p>
    <w:p w:rsidR="00D32C5B" w:rsidRDefault="00D32C5B">
      <w:pPr>
        <w:pStyle w:val="Textoindependiente"/>
        <w:rPr>
          <w:sz w:val="36"/>
        </w:rPr>
      </w:pPr>
    </w:p>
    <w:p w:rsidR="00D32C5B" w:rsidRDefault="00883432">
      <w:pPr>
        <w:pStyle w:val="Textoindependiente"/>
        <w:spacing w:line="360" w:lineRule="auto"/>
        <w:ind w:left="100" w:right="396"/>
        <w:jc w:val="both"/>
      </w:pPr>
      <w:r>
        <w:t>En la legislación extranjera esta tensión se suele resolver</w:t>
      </w:r>
      <w:r>
        <w:t xml:space="preserve"> a través de los</w:t>
      </w:r>
      <w:r>
        <w:rPr>
          <w:spacing w:val="40"/>
        </w:rPr>
        <w:t xml:space="preserve"> </w:t>
      </w:r>
      <w:r>
        <w:t>denominados “períodos de enfriamiento” entre el cese en la función pública y la asunción de un cargo en el sector privado. Estos se refieren a periodos en los cuales los funcionarios se encuentran inhabilitados de emplearse en el sector pr</w:t>
      </w:r>
      <w:r>
        <w:t>ivado del rubro que les tocaba regular cuando sirvieron como funcionarios públicos.</w:t>
      </w:r>
    </w:p>
    <w:p w:rsidR="00D32C5B" w:rsidRDefault="00D32C5B">
      <w:pPr>
        <w:pStyle w:val="Textoindependiente"/>
        <w:rPr>
          <w:sz w:val="36"/>
        </w:rPr>
      </w:pPr>
    </w:p>
    <w:p w:rsidR="00D32C5B" w:rsidRDefault="00883432">
      <w:pPr>
        <w:pStyle w:val="Textoindependiente"/>
        <w:spacing w:line="360" w:lineRule="auto"/>
        <w:ind w:left="100" w:right="394"/>
        <w:jc w:val="both"/>
      </w:pPr>
      <w:r>
        <w:t>A continuación se presenta un cuadro elaborado por la Biblioteca del Congreso Nacional en un informe acerca de la “puerta giratoria”</w:t>
      </w:r>
      <w:r>
        <w:rPr>
          <w:vertAlign w:val="superscript"/>
        </w:rPr>
        <w:t>3</w:t>
      </w:r>
      <w:r>
        <w:t xml:space="preserve"> que resume la experiencia extranjera </w:t>
      </w:r>
      <w:r>
        <w:t>en la regulación de dichos períodos de enfriamiento:</w:t>
      </w:r>
    </w:p>
    <w:p w:rsidR="00D32C5B" w:rsidRDefault="00883432">
      <w:pPr>
        <w:pStyle w:val="Textoindependiente"/>
        <w:spacing w:before="6"/>
        <w:rPr>
          <w:sz w:val="15"/>
        </w:rPr>
      </w:pPr>
      <w:r>
        <w:pict>
          <v:shape id="docshape1" o:spid="_x0000_s1029" style="position:absolute;margin-left:1in;margin-top:10.05pt;width:2in;height:.1pt;z-index:-15728640;mso-wrap-distance-left:0;mso-wrap-distance-right:0;mso-position-horizontal-relative:page" coordorigin="1440,201" coordsize="2880,0" path="m1440,201r2880,e" filled="f">
            <v:path arrowok="t"/>
            <w10:wrap type="topAndBottom" anchorx="page"/>
          </v:shape>
        </w:pict>
      </w:r>
    </w:p>
    <w:p w:rsidR="00D32C5B" w:rsidRDefault="00883432">
      <w:pPr>
        <w:spacing w:before="98"/>
        <w:ind w:left="100" w:right="257"/>
        <w:rPr>
          <w:rFonts w:ascii="Arial" w:hAnsi="Arial"/>
          <w:sz w:val="20"/>
        </w:rPr>
      </w:pPr>
      <w:r>
        <w:rPr>
          <w:rFonts w:ascii="Arial" w:hAnsi="Arial"/>
          <w:sz w:val="20"/>
          <w:vertAlign w:val="superscript"/>
        </w:rPr>
        <w:t>1</w:t>
      </w:r>
      <w:r>
        <w:rPr>
          <w:rFonts w:ascii="Arial" w:hAnsi="Arial"/>
          <w:spacing w:val="-6"/>
          <w:sz w:val="20"/>
        </w:rPr>
        <w:t xml:space="preserve"> </w:t>
      </w:r>
      <w:proofErr w:type="spellStart"/>
      <w:r>
        <w:rPr>
          <w:rFonts w:ascii="Arial" w:hAnsi="Arial"/>
          <w:sz w:val="20"/>
        </w:rPr>
        <w:t>Zalaquett</w:t>
      </w:r>
      <w:proofErr w:type="spellEnd"/>
      <w:r>
        <w:rPr>
          <w:rFonts w:ascii="Arial" w:hAnsi="Arial"/>
          <w:sz w:val="20"/>
        </w:rPr>
        <w:t>,</w:t>
      </w:r>
      <w:r>
        <w:rPr>
          <w:rFonts w:ascii="Arial" w:hAnsi="Arial"/>
          <w:spacing w:val="-5"/>
          <w:sz w:val="20"/>
        </w:rPr>
        <w:t xml:space="preserve"> </w:t>
      </w:r>
      <w:r>
        <w:rPr>
          <w:rFonts w:ascii="Arial" w:hAnsi="Arial"/>
          <w:sz w:val="20"/>
        </w:rPr>
        <w:t>José.</w:t>
      </w:r>
      <w:r>
        <w:rPr>
          <w:rFonts w:ascii="Arial" w:hAnsi="Arial"/>
          <w:spacing w:val="-5"/>
          <w:sz w:val="20"/>
        </w:rPr>
        <w:t xml:space="preserve"> </w:t>
      </w:r>
      <w:r>
        <w:rPr>
          <w:rFonts w:ascii="Arial" w:hAnsi="Arial"/>
          <w:sz w:val="20"/>
        </w:rPr>
        <w:t>Conflicto</w:t>
      </w:r>
      <w:r>
        <w:rPr>
          <w:rFonts w:ascii="Arial" w:hAnsi="Arial"/>
          <w:spacing w:val="-5"/>
          <w:sz w:val="20"/>
        </w:rPr>
        <w:t xml:space="preserve"> </w:t>
      </w:r>
      <w:r>
        <w:rPr>
          <w:rFonts w:ascii="Arial" w:hAnsi="Arial"/>
          <w:sz w:val="20"/>
        </w:rPr>
        <w:t>de</w:t>
      </w:r>
      <w:r>
        <w:rPr>
          <w:rFonts w:ascii="Arial" w:hAnsi="Arial"/>
          <w:spacing w:val="-5"/>
          <w:sz w:val="20"/>
        </w:rPr>
        <w:t xml:space="preserve"> </w:t>
      </w:r>
      <w:r>
        <w:rPr>
          <w:rFonts w:ascii="Arial" w:hAnsi="Arial"/>
          <w:sz w:val="20"/>
        </w:rPr>
        <w:t>intereses:</w:t>
      </w:r>
      <w:r>
        <w:rPr>
          <w:rFonts w:ascii="Arial" w:hAnsi="Arial"/>
          <w:spacing w:val="-5"/>
          <w:sz w:val="20"/>
        </w:rPr>
        <w:t xml:space="preserve"> </w:t>
      </w:r>
      <w:r>
        <w:rPr>
          <w:rFonts w:ascii="Arial" w:hAnsi="Arial"/>
          <w:sz w:val="20"/>
        </w:rPr>
        <w:t>normas</w:t>
      </w:r>
      <w:r>
        <w:rPr>
          <w:rFonts w:ascii="Arial" w:hAnsi="Arial"/>
          <w:spacing w:val="-5"/>
          <w:sz w:val="20"/>
        </w:rPr>
        <w:t xml:space="preserve"> </w:t>
      </w:r>
      <w:r>
        <w:rPr>
          <w:rFonts w:ascii="Arial" w:hAnsi="Arial"/>
          <w:sz w:val="20"/>
        </w:rPr>
        <w:t>y</w:t>
      </w:r>
      <w:r>
        <w:rPr>
          <w:rFonts w:ascii="Arial" w:hAnsi="Arial"/>
          <w:spacing w:val="-5"/>
          <w:sz w:val="20"/>
        </w:rPr>
        <w:t xml:space="preserve"> </w:t>
      </w:r>
      <w:r>
        <w:rPr>
          <w:rFonts w:ascii="Arial" w:hAnsi="Arial"/>
          <w:sz w:val="20"/>
        </w:rPr>
        <w:t>conceptos.</w:t>
      </w:r>
      <w:r>
        <w:rPr>
          <w:rFonts w:ascii="Arial" w:hAnsi="Arial"/>
          <w:spacing w:val="-14"/>
          <w:sz w:val="20"/>
        </w:rPr>
        <w:t xml:space="preserve"> </w:t>
      </w:r>
      <w:r>
        <w:rPr>
          <w:rFonts w:ascii="Arial" w:hAnsi="Arial"/>
          <w:sz w:val="20"/>
        </w:rPr>
        <w:t>Anuario</w:t>
      </w:r>
      <w:r>
        <w:rPr>
          <w:rFonts w:ascii="Arial" w:hAnsi="Arial"/>
          <w:spacing w:val="-5"/>
          <w:sz w:val="20"/>
        </w:rPr>
        <w:t xml:space="preserve"> </w:t>
      </w:r>
      <w:r>
        <w:rPr>
          <w:rFonts w:ascii="Arial" w:hAnsi="Arial"/>
          <w:sz w:val="20"/>
        </w:rPr>
        <w:t>de</w:t>
      </w:r>
      <w:r>
        <w:rPr>
          <w:rFonts w:ascii="Arial" w:hAnsi="Arial"/>
          <w:spacing w:val="-5"/>
          <w:sz w:val="20"/>
        </w:rPr>
        <w:t xml:space="preserve"> </w:t>
      </w:r>
      <w:r>
        <w:rPr>
          <w:rFonts w:ascii="Arial" w:hAnsi="Arial"/>
          <w:sz w:val="20"/>
        </w:rPr>
        <w:t>Derechos</w:t>
      </w:r>
      <w:r>
        <w:rPr>
          <w:rFonts w:ascii="Arial" w:hAnsi="Arial"/>
          <w:spacing w:val="-5"/>
          <w:sz w:val="20"/>
        </w:rPr>
        <w:t xml:space="preserve"> </w:t>
      </w:r>
      <w:r>
        <w:rPr>
          <w:rFonts w:ascii="Arial" w:hAnsi="Arial"/>
          <w:sz w:val="20"/>
        </w:rPr>
        <w:t>Humanos</w:t>
      </w:r>
      <w:r>
        <w:rPr>
          <w:rFonts w:ascii="Arial" w:hAnsi="Arial"/>
          <w:spacing w:val="-5"/>
          <w:sz w:val="20"/>
        </w:rPr>
        <w:t xml:space="preserve"> </w:t>
      </w:r>
      <w:r>
        <w:rPr>
          <w:rFonts w:ascii="Arial" w:hAnsi="Arial"/>
          <w:sz w:val="20"/>
        </w:rPr>
        <w:t>2011. Universidad de Chile. Disponible en: https://anuariocdh.uchile.cl/index.php/ADH/article/view/17363 (julio, 2019)</w:t>
      </w:r>
    </w:p>
    <w:p w:rsidR="00D32C5B" w:rsidRDefault="00883432">
      <w:pPr>
        <w:ind w:left="100"/>
        <w:rPr>
          <w:rFonts w:ascii="Arial" w:hAnsi="Arial"/>
          <w:sz w:val="20"/>
        </w:rPr>
      </w:pPr>
      <w:r>
        <w:rPr>
          <w:rFonts w:ascii="Arial" w:hAnsi="Arial"/>
          <w:sz w:val="20"/>
          <w:vertAlign w:val="superscript"/>
        </w:rPr>
        <w:t>2</w:t>
      </w:r>
      <w:r>
        <w:rPr>
          <w:rFonts w:ascii="Arial" w:hAnsi="Arial"/>
          <w:spacing w:val="-7"/>
          <w:sz w:val="20"/>
        </w:rPr>
        <w:t xml:space="preserve"> </w:t>
      </w:r>
      <w:r>
        <w:rPr>
          <w:rFonts w:ascii="Arial" w:hAnsi="Arial"/>
          <w:spacing w:val="-4"/>
          <w:sz w:val="20"/>
        </w:rPr>
        <w:t>Ídem.</w:t>
      </w:r>
    </w:p>
    <w:p w:rsidR="00D32C5B" w:rsidRDefault="00883432">
      <w:pPr>
        <w:ind w:left="100"/>
        <w:rPr>
          <w:rFonts w:ascii="Arial"/>
          <w:sz w:val="20"/>
        </w:rPr>
      </w:pPr>
      <w:r>
        <w:pict>
          <v:line id="_x0000_s1028" style="position:absolute;left:0;text-align:left;z-index:-15803904;mso-position-horizontal-relative:page" from="1in,6.6pt" to="75pt,6.6pt" strokecolor="#1154cc" strokeweight="1pt">
            <w10:wrap anchorx="page"/>
          </v:line>
        </w:pict>
      </w:r>
      <w:r>
        <w:rPr>
          <w:rFonts w:ascii="Arial"/>
          <w:color w:val="1154CC"/>
          <w:spacing w:val="-2"/>
          <w:sz w:val="20"/>
          <w:vertAlign w:val="superscript"/>
        </w:rPr>
        <w:t>3</w:t>
      </w:r>
      <w:hyperlink r:id="rId7">
        <w:r>
          <w:rPr>
            <w:rFonts w:ascii="Arial"/>
            <w:color w:val="1154CC"/>
            <w:spacing w:val="-2"/>
            <w:sz w:val="20"/>
            <w:u w:val="thick" w:color="1154CC"/>
          </w:rPr>
          <w:t>https://obtienearchivo.bcn.cl/obtienearchivo?id=repositorio/10221/29306/1/BCN_puerta_giratoria_ex</w:t>
        </w:r>
      </w:hyperlink>
    </w:p>
    <w:p w:rsidR="00D32C5B" w:rsidRDefault="00883432">
      <w:pPr>
        <w:tabs>
          <w:tab w:val="left" w:pos="2689"/>
        </w:tabs>
        <w:ind w:left="100"/>
        <w:rPr>
          <w:rFonts w:ascii="Arial"/>
          <w:sz w:val="20"/>
        </w:rPr>
      </w:pPr>
      <w:hyperlink r:id="rId8">
        <w:r>
          <w:rPr>
            <w:rFonts w:ascii="Arial"/>
            <w:color w:val="1154CC"/>
            <w:spacing w:val="-2"/>
            <w:sz w:val="20"/>
            <w:u w:val="thick" w:color="1154CC"/>
          </w:rPr>
          <w:t>periencia_extranjera_2019</w:t>
        </w:r>
        <w:r>
          <w:rPr>
            <w:rFonts w:ascii="Arial"/>
            <w:color w:val="1154CC"/>
            <w:sz w:val="20"/>
            <w:u w:val="thick" w:color="1154CC"/>
          </w:rPr>
          <w:tab/>
        </w:r>
        <w:r>
          <w:rPr>
            <w:rFonts w:ascii="Arial"/>
            <w:color w:val="1154CC"/>
            <w:spacing w:val="-2"/>
            <w:sz w:val="20"/>
            <w:u w:val="thick" w:color="1154CC"/>
          </w:rPr>
          <w:t>Rev_.pdf</w:t>
        </w:r>
      </w:hyperlink>
    </w:p>
    <w:p w:rsidR="00D32C5B" w:rsidRDefault="00D32C5B">
      <w:pPr>
        <w:rPr>
          <w:rFonts w:ascii="Arial"/>
          <w:sz w:val="20"/>
        </w:rPr>
        <w:sectPr w:rsidR="00D32C5B">
          <w:pgSz w:w="11920" w:h="16840"/>
          <w:pgMar w:top="1760" w:right="1060" w:bottom="280" w:left="1340" w:header="720" w:footer="720" w:gutter="0"/>
          <w:cols w:space="720"/>
        </w:sectPr>
      </w:pPr>
    </w:p>
    <w:p w:rsidR="00D32C5B" w:rsidRDefault="00883432">
      <w:pPr>
        <w:pStyle w:val="Textoindependiente"/>
        <w:ind w:left="130"/>
        <w:rPr>
          <w:rFonts w:ascii="Arial"/>
          <w:sz w:val="20"/>
        </w:rPr>
      </w:pPr>
      <w:r>
        <w:rPr>
          <w:rFonts w:ascii="Arial"/>
          <w:noProof/>
          <w:sz w:val="20"/>
          <w:lang w:val="es-CL" w:eastAsia="es-CL"/>
        </w:rPr>
        <w:lastRenderedPageBreak/>
        <w:drawing>
          <wp:inline distT="0" distB="0" distL="0" distR="0">
            <wp:extent cx="5885077" cy="68732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885077" cy="6873240"/>
                    </a:xfrm>
                    <a:prstGeom prst="rect">
                      <a:avLst/>
                    </a:prstGeom>
                  </pic:spPr>
                </pic:pic>
              </a:graphicData>
            </a:graphic>
          </wp:inline>
        </w:drawing>
      </w:r>
    </w:p>
    <w:p w:rsidR="00D32C5B" w:rsidRDefault="00D32C5B">
      <w:pPr>
        <w:pStyle w:val="Textoindependiente"/>
        <w:rPr>
          <w:rFonts w:ascii="Arial"/>
          <w:sz w:val="20"/>
        </w:rPr>
      </w:pPr>
    </w:p>
    <w:p w:rsidR="00D32C5B" w:rsidRDefault="00D32C5B">
      <w:pPr>
        <w:pStyle w:val="Textoindependiente"/>
        <w:rPr>
          <w:rFonts w:ascii="Arial"/>
          <w:sz w:val="25"/>
        </w:rPr>
      </w:pPr>
    </w:p>
    <w:p w:rsidR="00D32C5B" w:rsidRDefault="00883432">
      <w:pPr>
        <w:pStyle w:val="Textoindependiente"/>
        <w:spacing w:before="100" w:line="360" w:lineRule="auto"/>
        <w:ind w:left="100" w:right="395"/>
        <w:jc w:val="both"/>
      </w:pPr>
      <w:r>
        <w:t>Como se observa, distintas legislaciones extranjeras se hacen cargo del asunto consagrando periodos</w:t>
      </w:r>
      <w:r>
        <w:rPr>
          <w:spacing w:val="-3"/>
        </w:rPr>
        <w:t xml:space="preserve"> </w:t>
      </w:r>
      <w:r>
        <w:t>de</w:t>
      </w:r>
      <w:r>
        <w:rPr>
          <w:spacing w:val="-3"/>
        </w:rPr>
        <w:t xml:space="preserve"> </w:t>
      </w:r>
      <w:r>
        <w:t>inhabilidad</w:t>
      </w:r>
      <w:r>
        <w:rPr>
          <w:spacing w:val="-3"/>
        </w:rPr>
        <w:t xml:space="preserve"> </w:t>
      </w:r>
      <w:r>
        <w:t>que</w:t>
      </w:r>
      <w:r>
        <w:rPr>
          <w:spacing w:val="-3"/>
        </w:rPr>
        <w:t xml:space="preserve"> </w:t>
      </w:r>
      <w:r>
        <w:t>varían</w:t>
      </w:r>
      <w:r>
        <w:rPr>
          <w:spacing w:val="-3"/>
        </w:rPr>
        <w:t xml:space="preserve"> </w:t>
      </w:r>
      <w:r>
        <w:t>de</w:t>
      </w:r>
      <w:r>
        <w:rPr>
          <w:spacing w:val="-3"/>
        </w:rPr>
        <w:t xml:space="preserve"> </w:t>
      </w:r>
      <w:r>
        <w:t>1</w:t>
      </w:r>
      <w:r>
        <w:rPr>
          <w:spacing w:val="-3"/>
        </w:rPr>
        <w:t xml:space="preserve"> </w:t>
      </w:r>
      <w:r>
        <w:t>a</w:t>
      </w:r>
      <w:r>
        <w:rPr>
          <w:spacing w:val="-3"/>
        </w:rPr>
        <w:t xml:space="preserve"> </w:t>
      </w:r>
      <w:r>
        <w:t>3</w:t>
      </w:r>
      <w:r>
        <w:rPr>
          <w:spacing w:val="-3"/>
        </w:rPr>
        <w:t xml:space="preserve"> </w:t>
      </w:r>
      <w:r>
        <w:t>años</w:t>
      </w:r>
      <w:r>
        <w:rPr>
          <w:spacing w:val="-3"/>
        </w:rPr>
        <w:t xml:space="preserve"> </w:t>
      </w:r>
      <w:r>
        <w:t>en</w:t>
      </w:r>
      <w:r>
        <w:rPr>
          <w:spacing w:val="-3"/>
        </w:rPr>
        <w:t xml:space="preserve"> </w:t>
      </w:r>
      <w:r>
        <w:t>su</w:t>
      </w:r>
      <w:r>
        <w:rPr>
          <w:spacing w:val="-3"/>
        </w:rPr>
        <w:t xml:space="preserve"> </w:t>
      </w:r>
      <w:r>
        <w:t>duración</w:t>
      </w:r>
      <w:r>
        <w:rPr>
          <w:spacing w:val="-3"/>
        </w:rPr>
        <w:t xml:space="preserve"> </w:t>
      </w:r>
      <w:r>
        <w:t>y</w:t>
      </w:r>
      <w:r>
        <w:rPr>
          <w:spacing w:val="-3"/>
        </w:rPr>
        <w:t xml:space="preserve"> </w:t>
      </w:r>
      <w:r>
        <w:t>que</w:t>
      </w:r>
      <w:r>
        <w:rPr>
          <w:spacing w:val="-3"/>
        </w:rPr>
        <w:t xml:space="preserve"> </w:t>
      </w:r>
      <w:r>
        <w:t>se refieren, en general, a altos cargos públicos.</w:t>
      </w:r>
    </w:p>
    <w:p w:rsidR="00D32C5B" w:rsidRDefault="00D32C5B">
      <w:pPr>
        <w:spacing w:line="360" w:lineRule="auto"/>
        <w:jc w:val="both"/>
        <w:sectPr w:rsidR="00D32C5B">
          <w:pgSz w:w="11920" w:h="16840"/>
          <w:pgMar w:top="1880" w:right="1060" w:bottom="280" w:left="1340" w:header="720" w:footer="720" w:gutter="0"/>
          <w:cols w:space="720"/>
        </w:sectPr>
      </w:pPr>
    </w:p>
    <w:p w:rsidR="00D32C5B" w:rsidRDefault="00883432">
      <w:pPr>
        <w:spacing w:before="80" w:line="360" w:lineRule="auto"/>
        <w:ind w:left="100" w:right="396"/>
        <w:jc w:val="both"/>
        <w:rPr>
          <w:sz w:val="24"/>
        </w:rPr>
      </w:pPr>
      <w:r>
        <w:rPr>
          <w:sz w:val="24"/>
        </w:rPr>
        <w:lastRenderedPageBreak/>
        <w:t>En nuestro país tenemos una regulación muy precaria y vaga en la materia, que cuenta con escasa probabilidad de ser aplicada por no contar con una sanción asociada a su infracción. Así, el inc</w:t>
      </w:r>
      <w:r>
        <w:rPr>
          <w:sz w:val="24"/>
        </w:rPr>
        <w:t>iso final del artículo 56 de la ley Nº 18.575 Orgánica Constitucional de Bases Generales de la Administración del Estado establece que “</w:t>
      </w:r>
      <w:r>
        <w:rPr>
          <w:i/>
          <w:sz w:val="24"/>
        </w:rPr>
        <w:t>(...) son incompatibles las actividades de las ex autoridades o ex funcionarios de una institución fiscalizadora que imp</w:t>
      </w:r>
      <w:r>
        <w:rPr>
          <w:i/>
          <w:sz w:val="24"/>
        </w:rPr>
        <w:t xml:space="preserve">liquen una relación laboral con entidades del sector privado sujetas a la fiscalización de ese organismo. Esta incompatibilidad se mantendrá hasta seis meses después de haber expirado en </w:t>
      </w:r>
      <w:r>
        <w:rPr>
          <w:i/>
          <w:spacing w:val="-2"/>
          <w:sz w:val="24"/>
        </w:rPr>
        <w:t>funciones.</w:t>
      </w:r>
      <w:r>
        <w:rPr>
          <w:spacing w:val="-2"/>
          <w:sz w:val="24"/>
        </w:rPr>
        <w:t>”.</w:t>
      </w:r>
    </w:p>
    <w:p w:rsidR="00D32C5B" w:rsidRDefault="00D32C5B">
      <w:pPr>
        <w:pStyle w:val="Textoindependiente"/>
        <w:rPr>
          <w:sz w:val="36"/>
        </w:rPr>
      </w:pPr>
    </w:p>
    <w:p w:rsidR="00D32C5B" w:rsidRDefault="00883432">
      <w:pPr>
        <w:pStyle w:val="Textoindependiente"/>
        <w:spacing w:line="360" w:lineRule="auto"/>
        <w:ind w:left="100" w:right="393"/>
        <w:jc w:val="both"/>
      </w:pPr>
      <w:r>
        <w:t>La regla precedente</w:t>
      </w:r>
      <w:r>
        <w:rPr>
          <w:spacing w:val="-4"/>
        </w:rPr>
        <w:t xml:space="preserve"> </w:t>
      </w:r>
      <w:r>
        <w:t>presenta</w:t>
      </w:r>
      <w:r>
        <w:rPr>
          <w:spacing w:val="-4"/>
        </w:rPr>
        <w:t xml:space="preserve"> </w:t>
      </w:r>
      <w:r>
        <w:t>algunos</w:t>
      </w:r>
      <w:r>
        <w:rPr>
          <w:spacing w:val="-4"/>
        </w:rPr>
        <w:t xml:space="preserve"> </w:t>
      </w:r>
      <w:r>
        <w:t>defectos</w:t>
      </w:r>
      <w:r>
        <w:rPr>
          <w:spacing w:val="-4"/>
        </w:rPr>
        <w:t xml:space="preserve"> </w:t>
      </w:r>
      <w:r>
        <w:t>que</w:t>
      </w:r>
      <w:r>
        <w:rPr>
          <w:spacing w:val="-4"/>
        </w:rPr>
        <w:t xml:space="preserve"> </w:t>
      </w:r>
      <w:r>
        <w:t>no</w:t>
      </w:r>
      <w:r>
        <w:rPr>
          <w:spacing w:val="-4"/>
        </w:rPr>
        <w:t xml:space="preserve"> </w:t>
      </w:r>
      <w:r>
        <w:t>pr</w:t>
      </w:r>
      <w:r>
        <w:t>evienen</w:t>
      </w:r>
      <w:r>
        <w:rPr>
          <w:spacing w:val="-4"/>
        </w:rPr>
        <w:t xml:space="preserve"> </w:t>
      </w:r>
      <w:r>
        <w:t>de</w:t>
      </w:r>
      <w:r>
        <w:rPr>
          <w:spacing w:val="-4"/>
        </w:rPr>
        <w:t xml:space="preserve"> </w:t>
      </w:r>
      <w:r>
        <w:t>manera</w:t>
      </w:r>
      <w:r>
        <w:rPr>
          <w:spacing w:val="-4"/>
        </w:rPr>
        <w:t xml:space="preserve"> </w:t>
      </w:r>
      <w:r>
        <w:t>adecuada los</w:t>
      </w:r>
      <w:r>
        <w:rPr>
          <w:spacing w:val="-3"/>
        </w:rPr>
        <w:t xml:space="preserve"> </w:t>
      </w:r>
      <w:r>
        <w:t>conflictos</w:t>
      </w:r>
      <w:r>
        <w:rPr>
          <w:spacing w:val="-3"/>
        </w:rPr>
        <w:t xml:space="preserve"> </w:t>
      </w:r>
      <w:r>
        <w:t>de</w:t>
      </w:r>
      <w:r>
        <w:rPr>
          <w:spacing w:val="-3"/>
        </w:rPr>
        <w:t xml:space="preserve"> </w:t>
      </w:r>
      <w:r>
        <w:t>intereses</w:t>
      </w:r>
      <w:r>
        <w:rPr>
          <w:spacing w:val="-3"/>
        </w:rPr>
        <w:t xml:space="preserve"> </w:t>
      </w:r>
      <w:r>
        <w:t>post</w:t>
      </w:r>
      <w:r>
        <w:rPr>
          <w:spacing w:val="-3"/>
        </w:rPr>
        <w:t xml:space="preserve"> </w:t>
      </w:r>
      <w:r>
        <w:t>empleo.</w:t>
      </w:r>
      <w:r>
        <w:rPr>
          <w:spacing w:val="-3"/>
        </w:rPr>
        <w:t xml:space="preserve"> </w:t>
      </w:r>
      <w:r>
        <w:t>En</w:t>
      </w:r>
      <w:r>
        <w:rPr>
          <w:spacing w:val="-3"/>
        </w:rPr>
        <w:t xml:space="preserve"> </w:t>
      </w:r>
      <w:r>
        <w:t>primer</w:t>
      </w:r>
      <w:r>
        <w:rPr>
          <w:spacing w:val="-3"/>
        </w:rPr>
        <w:t xml:space="preserve"> </w:t>
      </w:r>
      <w:r>
        <w:t>lugar,</w:t>
      </w:r>
      <w:r>
        <w:rPr>
          <w:spacing w:val="-3"/>
        </w:rPr>
        <w:t xml:space="preserve"> </w:t>
      </w:r>
      <w:r>
        <w:t>no</w:t>
      </w:r>
      <w:r>
        <w:rPr>
          <w:spacing w:val="-3"/>
        </w:rPr>
        <w:t xml:space="preserve"> </w:t>
      </w:r>
      <w:r>
        <w:t>especifica</w:t>
      </w:r>
      <w:r>
        <w:rPr>
          <w:spacing w:val="-3"/>
        </w:rPr>
        <w:t xml:space="preserve"> </w:t>
      </w:r>
      <w:r>
        <w:t>las</w:t>
      </w:r>
      <w:r>
        <w:rPr>
          <w:spacing w:val="-3"/>
        </w:rPr>
        <w:t xml:space="preserve"> </w:t>
      </w:r>
      <w:r>
        <w:t>autoridades o funcionarios que</w:t>
      </w:r>
      <w:r>
        <w:rPr>
          <w:spacing w:val="-4"/>
        </w:rPr>
        <w:t xml:space="preserve"> </w:t>
      </w:r>
      <w:r>
        <w:t>quedan</w:t>
      </w:r>
      <w:r>
        <w:rPr>
          <w:spacing w:val="-4"/>
        </w:rPr>
        <w:t xml:space="preserve"> </w:t>
      </w:r>
      <w:r>
        <w:t>comprendidos</w:t>
      </w:r>
      <w:r>
        <w:rPr>
          <w:spacing w:val="-4"/>
        </w:rPr>
        <w:t xml:space="preserve"> </w:t>
      </w:r>
      <w:r>
        <w:t>en</w:t>
      </w:r>
      <w:r>
        <w:rPr>
          <w:spacing w:val="-4"/>
        </w:rPr>
        <w:t xml:space="preserve"> </w:t>
      </w:r>
      <w:r>
        <w:t>la</w:t>
      </w:r>
      <w:r>
        <w:rPr>
          <w:spacing w:val="-4"/>
        </w:rPr>
        <w:t xml:space="preserve"> </w:t>
      </w:r>
      <w:r>
        <w:t>norma.</w:t>
      </w:r>
      <w:r>
        <w:rPr>
          <w:spacing w:val="-4"/>
        </w:rPr>
        <w:t xml:space="preserve"> </w:t>
      </w:r>
      <w:r>
        <w:t>Enseguida,</w:t>
      </w:r>
      <w:r>
        <w:rPr>
          <w:spacing w:val="-4"/>
        </w:rPr>
        <w:t xml:space="preserve"> </w:t>
      </w:r>
      <w:r>
        <w:t>establece</w:t>
      </w:r>
      <w:r>
        <w:rPr>
          <w:spacing w:val="-4"/>
        </w:rPr>
        <w:t xml:space="preserve"> </w:t>
      </w:r>
      <w:r>
        <w:t>un</w:t>
      </w:r>
      <w:r>
        <w:rPr>
          <w:spacing w:val="-4"/>
        </w:rPr>
        <w:t xml:space="preserve"> </w:t>
      </w:r>
      <w:r>
        <w:t>plazo muy acotado de incompatibilidad, que se distancia de los plazos de entre 1 y 3 años vistos precedentemente en la normativa extranjera. Por último, y como</w:t>
      </w:r>
      <w:r>
        <w:rPr>
          <w:spacing w:val="40"/>
        </w:rPr>
        <w:t xml:space="preserve"> </w:t>
      </w:r>
      <w:r>
        <w:t>mencionamos más arriba, el incumplimiento de esta regla no apareja ninguna sanción, lo que dismi</w:t>
      </w:r>
      <w:r>
        <w:t>nuye considerablemente su eficacia.</w:t>
      </w:r>
    </w:p>
    <w:p w:rsidR="00D32C5B" w:rsidRDefault="00D32C5B">
      <w:pPr>
        <w:pStyle w:val="Textoindependiente"/>
        <w:rPr>
          <w:sz w:val="36"/>
        </w:rPr>
      </w:pPr>
    </w:p>
    <w:p w:rsidR="00D32C5B" w:rsidRDefault="00883432">
      <w:pPr>
        <w:pStyle w:val="Textoindependiente"/>
        <w:spacing w:line="360" w:lineRule="auto"/>
        <w:ind w:left="100" w:right="392"/>
        <w:jc w:val="both"/>
      </w:pPr>
      <w:r>
        <w:t>Sumado</w:t>
      </w:r>
      <w:r>
        <w:rPr>
          <w:spacing w:val="-2"/>
        </w:rPr>
        <w:t xml:space="preserve"> </w:t>
      </w:r>
      <w:r>
        <w:t>a</w:t>
      </w:r>
      <w:r>
        <w:rPr>
          <w:spacing w:val="-2"/>
        </w:rPr>
        <w:t xml:space="preserve"> </w:t>
      </w:r>
      <w:r>
        <w:t>las</w:t>
      </w:r>
      <w:r>
        <w:rPr>
          <w:spacing w:val="-2"/>
        </w:rPr>
        <w:t xml:space="preserve"> </w:t>
      </w:r>
      <w:r>
        <w:t>deficiencias</w:t>
      </w:r>
      <w:r>
        <w:rPr>
          <w:spacing w:val="-2"/>
        </w:rPr>
        <w:t xml:space="preserve"> </w:t>
      </w:r>
      <w:r>
        <w:t>de</w:t>
      </w:r>
      <w:r>
        <w:rPr>
          <w:spacing w:val="-2"/>
        </w:rPr>
        <w:t xml:space="preserve"> </w:t>
      </w:r>
      <w:r>
        <w:t>la</w:t>
      </w:r>
      <w:r>
        <w:rPr>
          <w:spacing w:val="-2"/>
        </w:rPr>
        <w:t xml:space="preserve"> </w:t>
      </w:r>
      <w:r>
        <w:t>normativa</w:t>
      </w:r>
      <w:r>
        <w:rPr>
          <w:spacing w:val="-2"/>
        </w:rPr>
        <w:t xml:space="preserve"> </w:t>
      </w:r>
      <w:r>
        <w:t>actual,</w:t>
      </w:r>
      <w:r>
        <w:rPr>
          <w:spacing w:val="-2"/>
        </w:rPr>
        <w:t xml:space="preserve"> </w:t>
      </w:r>
      <w:r>
        <w:t>nos</w:t>
      </w:r>
      <w:r>
        <w:rPr>
          <w:spacing w:val="-2"/>
        </w:rPr>
        <w:t xml:space="preserve"> </w:t>
      </w:r>
      <w:r>
        <w:t>encontramos</w:t>
      </w:r>
      <w:r>
        <w:rPr>
          <w:spacing w:val="-2"/>
        </w:rPr>
        <w:t xml:space="preserve"> </w:t>
      </w:r>
      <w:r>
        <w:t>con</w:t>
      </w:r>
      <w:r>
        <w:rPr>
          <w:spacing w:val="-2"/>
        </w:rPr>
        <w:t xml:space="preserve"> </w:t>
      </w:r>
      <w:r>
        <w:t>datos</w:t>
      </w:r>
      <w:r>
        <w:rPr>
          <w:spacing w:val="-2"/>
        </w:rPr>
        <w:t xml:space="preserve"> </w:t>
      </w:r>
      <w:r>
        <w:t>sobre</w:t>
      </w:r>
      <w:r>
        <w:rPr>
          <w:spacing w:val="-2"/>
        </w:rPr>
        <w:t xml:space="preserve"> </w:t>
      </w:r>
      <w:r>
        <w:t>la circulación público-privada que dan cuenta de una situación que demanda una regulación más meticulosa del conflicto</w:t>
      </w:r>
      <w:r>
        <w:rPr>
          <w:spacing w:val="-3"/>
        </w:rPr>
        <w:t xml:space="preserve"> </w:t>
      </w:r>
      <w:r>
        <w:t>de</w:t>
      </w:r>
      <w:r>
        <w:rPr>
          <w:spacing w:val="-3"/>
        </w:rPr>
        <w:t xml:space="preserve"> </w:t>
      </w:r>
      <w:r>
        <w:t>interés</w:t>
      </w:r>
      <w:r>
        <w:rPr>
          <w:spacing w:val="-3"/>
        </w:rPr>
        <w:t xml:space="preserve"> </w:t>
      </w:r>
      <w:r>
        <w:t>post</w:t>
      </w:r>
      <w:r>
        <w:rPr>
          <w:spacing w:val="-3"/>
        </w:rPr>
        <w:t xml:space="preserve"> </w:t>
      </w:r>
      <w:r>
        <w:t>em</w:t>
      </w:r>
      <w:r>
        <w:t>pleo.</w:t>
      </w:r>
      <w:r>
        <w:rPr>
          <w:spacing w:val="-3"/>
        </w:rPr>
        <w:t xml:space="preserve"> </w:t>
      </w:r>
      <w:r>
        <w:t>En</w:t>
      </w:r>
      <w:r>
        <w:rPr>
          <w:spacing w:val="-3"/>
        </w:rPr>
        <w:t xml:space="preserve"> </w:t>
      </w:r>
      <w:r>
        <w:t>el</w:t>
      </w:r>
      <w:r>
        <w:rPr>
          <w:spacing w:val="-3"/>
        </w:rPr>
        <w:t xml:space="preserve"> </w:t>
      </w:r>
      <w:r>
        <w:t>documento</w:t>
      </w:r>
      <w:r>
        <w:rPr>
          <w:spacing w:val="-3"/>
        </w:rPr>
        <w:t xml:space="preserve"> </w:t>
      </w:r>
      <w:r>
        <w:t xml:space="preserve">“La puerta giratoria en las grandes empresas chilenas”, de </w:t>
      </w:r>
      <w:proofErr w:type="spellStart"/>
      <w:r>
        <w:t>Maureen</w:t>
      </w:r>
      <w:proofErr w:type="spellEnd"/>
      <w:r>
        <w:t xml:space="preserve"> </w:t>
      </w:r>
      <w:proofErr w:type="spellStart"/>
      <w:r>
        <w:t>Berho</w:t>
      </w:r>
      <w:proofErr w:type="spellEnd"/>
      <w:r>
        <w:t xml:space="preserve"> y Humberto Santos se</w:t>
      </w:r>
      <w:r>
        <w:rPr>
          <w:spacing w:val="-3"/>
        </w:rPr>
        <w:t xml:space="preserve"> </w:t>
      </w:r>
      <w:r>
        <w:t>señala</w:t>
      </w:r>
      <w:r>
        <w:rPr>
          <w:spacing w:val="-3"/>
        </w:rPr>
        <w:t xml:space="preserve"> </w:t>
      </w:r>
      <w:r>
        <w:t>que</w:t>
      </w:r>
      <w:r>
        <w:rPr>
          <w:spacing w:val="-3"/>
        </w:rPr>
        <w:t xml:space="preserve"> </w:t>
      </w:r>
      <w:r>
        <w:t>un</w:t>
      </w:r>
      <w:r>
        <w:rPr>
          <w:spacing w:val="-3"/>
        </w:rPr>
        <w:t xml:space="preserve"> </w:t>
      </w:r>
      <w:r>
        <w:t>28,3%</w:t>
      </w:r>
      <w:r>
        <w:rPr>
          <w:spacing w:val="-3"/>
        </w:rPr>
        <w:t xml:space="preserve"> </w:t>
      </w:r>
      <w:r>
        <w:t>de</w:t>
      </w:r>
      <w:r>
        <w:rPr>
          <w:spacing w:val="-3"/>
        </w:rPr>
        <w:t xml:space="preserve"> </w:t>
      </w:r>
      <w:r>
        <w:t>los</w:t>
      </w:r>
      <w:r>
        <w:rPr>
          <w:spacing w:val="-3"/>
        </w:rPr>
        <w:t xml:space="preserve"> </w:t>
      </w:r>
      <w:r>
        <w:t>directores</w:t>
      </w:r>
      <w:r>
        <w:rPr>
          <w:spacing w:val="-3"/>
        </w:rPr>
        <w:t xml:space="preserve"> </w:t>
      </w:r>
      <w:r>
        <w:t>de</w:t>
      </w:r>
      <w:r>
        <w:rPr>
          <w:spacing w:val="-3"/>
        </w:rPr>
        <w:t xml:space="preserve"> </w:t>
      </w:r>
      <w:r>
        <w:t>empresas</w:t>
      </w:r>
      <w:r>
        <w:rPr>
          <w:spacing w:val="-3"/>
        </w:rPr>
        <w:t xml:space="preserve"> </w:t>
      </w:r>
      <w:r>
        <w:t>privadas</w:t>
      </w:r>
      <w:r>
        <w:rPr>
          <w:spacing w:val="-3"/>
        </w:rPr>
        <w:t xml:space="preserve"> </w:t>
      </w:r>
      <w:r>
        <w:t>con</w:t>
      </w:r>
      <w:r>
        <w:rPr>
          <w:spacing w:val="-3"/>
        </w:rPr>
        <w:t xml:space="preserve"> </w:t>
      </w:r>
      <w:r>
        <w:t>trayectoria política son ex Ministros de Estado, Subsecretarios</w:t>
      </w:r>
      <w:r>
        <w:rPr>
          <w:spacing w:val="-3"/>
        </w:rPr>
        <w:t xml:space="preserve"> </w:t>
      </w:r>
      <w:r>
        <w:t>o</w:t>
      </w:r>
      <w:r>
        <w:rPr>
          <w:spacing w:val="-3"/>
        </w:rPr>
        <w:t xml:space="preserve"> </w:t>
      </w:r>
      <w:r>
        <w:t>Directores</w:t>
      </w:r>
      <w:r>
        <w:rPr>
          <w:spacing w:val="-3"/>
        </w:rPr>
        <w:t xml:space="preserve"> </w:t>
      </w:r>
      <w:r>
        <w:t>de</w:t>
      </w:r>
      <w:r>
        <w:rPr>
          <w:spacing w:val="-3"/>
        </w:rPr>
        <w:t xml:space="preserve"> </w:t>
      </w:r>
      <w:r>
        <w:t>Presupuestos.</w:t>
      </w:r>
      <w:r>
        <w:rPr>
          <w:spacing w:val="-3"/>
        </w:rPr>
        <w:t xml:space="preserve"> </w:t>
      </w:r>
      <w:r>
        <w:t>En un estudio realizado por el PNUD sobre puerta giratoria (2016), este fenómeno se presenta con mayor grado en personas que han ocupado cargos en</w:t>
      </w:r>
      <w:r>
        <w:rPr>
          <w:spacing w:val="40"/>
        </w:rPr>
        <w:t xml:space="preserve"> </w:t>
      </w:r>
      <w:r>
        <w:t>Superintendencias (50%), luego en Ministerios (22,5%) y en tercer lugar en Subsecretarías (1</w:t>
      </w:r>
      <w:r>
        <w:t>7,8%)</w:t>
      </w:r>
      <w:r>
        <w:rPr>
          <w:vertAlign w:val="superscript"/>
        </w:rPr>
        <w:t>4</w:t>
      </w:r>
      <w:r>
        <w:t>.</w:t>
      </w:r>
    </w:p>
    <w:p w:rsidR="00D32C5B" w:rsidRDefault="00D32C5B">
      <w:pPr>
        <w:pStyle w:val="Textoindependiente"/>
        <w:rPr>
          <w:sz w:val="20"/>
        </w:rPr>
      </w:pPr>
    </w:p>
    <w:p w:rsidR="00D32C5B" w:rsidRDefault="00D32C5B">
      <w:pPr>
        <w:pStyle w:val="Textoindependiente"/>
        <w:rPr>
          <w:sz w:val="20"/>
        </w:rPr>
      </w:pPr>
    </w:p>
    <w:p w:rsidR="00D32C5B" w:rsidRDefault="00D32C5B">
      <w:pPr>
        <w:pStyle w:val="Textoindependiente"/>
        <w:rPr>
          <w:sz w:val="20"/>
        </w:rPr>
      </w:pPr>
    </w:p>
    <w:p w:rsidR="00D32C5B" w:rsidRDefault="00D32C5B">
      <w:pPr>
        <w:pStyle w:val="Textoindependiente"/>
        <w:rPr>
          <w:sz w:val="20"/>
        </w:rPr>
      </w:pPr>
    </w:p>
    <w:p w:rsidR="00D32C5B" w:rsidRDefault="00D32C5B">
      <w:pPr>
        <w:pStyle w:val="Textoindependiente"/>
        <w:rPr>
          <w:sz w:val="20"/>
        </w:rPr>
      </w:pPr>
    </w:p>
    <w:p w:rsidR="00D32C5B" w:rsidRDefault="00D32C5B">
      <w:pPr>
        <w:pStyle w:val="Textoindependiente"/>
        <w:rPr>
          <w:sz w:val="20"/>
        </w:rPr>
      </w:pPr>
    </w:p>
    <w:p w:rsidR="00D32C5B" w:rsidRDefault="00883432">
      <w:pPr>
        <w:pStyle w:val="Textoindependiente"/>
        <w:spacing w:before="3"/>
        <w:rPr>
          <w:sz w:val="28"/>
        </w:rPr>
      </w:pPr>
      <w:r>
        <w:pict>
          <v:shape id="docshape2" o:spid="_x0000_s1027" style="position:absolute;margin-left:1in;margin-top:17.3pt;width:2in;height:.1pt;z-index:-15727616;mso-wrap-distance-left:0;mso-wrap-distance-right:0;mso-position-horizontal-relative:page" coordorigin="1440,346" coordsize="2880,0" path="m1440,346r2880,e" filled="f">
            <v:path arrowok="t"/>
            <w10:wrap type="topAndBottom" anchorx="page"/>
          </v:shape>
        </w:pict>
      </w:r>
    </w:p>
    <w:p w:rsidR="00D32C5B" w:rsidRDefault="00883432">
      <w:pPr>
        <w:spacing w:before="98"/>
        <w:ind w:left="100" w:right="394"/>
        <w:jc w:val="both"/>
        <w:rPr>
          <w:rFonts w:ascii="Arial" w:hAnsi="Arial"/>
          <w:sz w:val="20"/>
        </w:rPr>
      </w:pPr>
      <w:r>
        <w:rPr>
          <w:rFonts w:ascii="Arial" w:hAnsi="Arial"/>
          <w:sz w:val="20"/>
          <w:vertAlign w:val="superscript"/>
        </w:rPr>
        <w:t>4</w:t>
      </w:r>
      <w:r>
        <w:rPr>
          <w:rFonts w:ascii="Arial" w:hAnsi="Arial"/>
          <w:sz w:val="20"/>
        </w:rPr>
        <w:t xml:space="preserve"> ¿Puerta Giratoria? Análisis de la circulación público-privada en Chile (2000-2014), </w:t>
      </w:r>
      <w:proofErr w:type="spellStart"/>
      <w:r>
        <w:rPr>
          <w:rFonts w:ascii="Arial" w:hAnsi="Arial"/>
          <w:sz w:val="20"/>
        </w:rPr>
        <w:t>Antoine</w:t>
      </w:r>
      <w:proofErr w:type="spellEnd"/>
      <w:r>
        <w:rPr>
          <w:rFonts w:ascii="Arial" w:hAnsi="Arial"/>
          <w:sz w:val="20"/>
        </w:rPr>
        <w:t xml:space="preserve"> </w:t>
      </w:r>
      <w:proofErr w:type="spellStart"/>
      <w:r>
        <w:rPr>
          <w:rFonts w:ascii="Arial" w:hAnsi="Arial"/>
          <w:sz w:val="20"/>
        </w:rPr>
        <w:t>Maillet</w:t>
      </w:r>
      <w:proofErr w:type="spellEnd"/>
      <w:r>
        <w:rPr>
          <w:rFonts w:ascii="Arial" w:hAnsi="Arial"/>
          <w:sz w:val="20"/>
        </w:rPr>
        <w:t>, Bastián González-Bustamante, Alejandro Olivares L., Serie documentos de trabajo PNUD – desigualdad No. 2016/07, Diciembre 2016.</w:t>
      </w:r>
    </w:p>
    <w:p w:rsidR="00D32C5B" w:rsidRDefault="00D32C5B">
      <w:pPr>
        <w:jc w:val="both"/>
        <w:rPr>
          <w:rFonts w:ascii="Arial" w:hAnsi="Arial"/>
          <w:sz w:val="20"/>
        </w:rPr>
        <w:sectPr w:rsidR="00D32C5B">
          <w:pgSz w:w="11920" w:h="16840"/>
          <w:pgMar w:top="1360" w:right="1060" w:bottom="280" w:left="1340" w:header="720" w:footer="720" w:gutter="0"/>
          <w:cols w:space="720"/>
        </w:sectPr>
      </w:pPr>
    </w:p>
    <w:p w:rsidR="00D32C5B" w:rsidRDefault="00883432">
      <w:pPr>
        <w:pStyle w:val="Textoindependiente"/>
        <w:ind w:left="373"/>
        <w:rPr>
          <w:rFonts w:ascii="Arial"/>
          <w:sz w:val="20"/>
        </w:rPr>
      </w:pPr>
      <w:r>
        <w:rPr>
          <w:rFonts w:ascii="Arial"/>
          <w:noProof/>
          <w:sz w:val="20"/>
          <w:lang w:val="es-CL" w:eastAsia="es-CL"/>
        </w:rPr>
        <w:lastRenderedPageBreak/>
        <w:drawing>
          <wp:inline distT="0" distB="0" distL="0" distR="0">
            <wp:extent cx="5226785" cy="226771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226785" cy="2267712"/>
                    </a:xfrm>
                    <a:prstGeom prst="rect">
                      <a:avLst/>
                    </a:prstGeom>
                  </pic:spPr>
                </pic:pic>
              </a:graphicData>
            </a:graphic>
          </wp:inline>
        </w:drawing>
      </w:r>
    </w:p>
    <w:p w:rsidR="00D32C5B" w:rsidRDefault="00D32C5B">
      <w:pPr>
        <w:pStyle w:val="Textoindependiente"/>
        <w:spacing w:before="3"/>
        <w:rPr>
          <w:rFonts w:ascii="Arial"/>
          <w:sz w:val="21"/>
        </w:rPr>
      </w:pPr>
    </w:p>
    <w:p w:rsidR="00D32C5B" w:rsidRDefault="00883432">
      <w:pPr>
        <w:spacing w:before="103"/>
        <w:ind w:right="392"/>
        <w:jc w:val="right"/>
        <w:rPr>
          <w:sz w:val="14"/>
        </w:rPr>
      </w:pPr>
      <w:r>
        <w:rPr>
          <w:w w:val="102"/>
          <w:sz w:val="14"/>
        </w:rPr>
        <w:t>5</w:t>
      </w:r>
    </w:p>
    <w:p w:rsidR="00D32C5B" w:rsidRDefault="00D32C5B">
      <w:pPr>
        <w:pStyle w:val="Textoindependiente"/>
        <w:spacing w:before="10"/>
        <w:rPr>
          <w:sz w:val="21"/>
        </w:rPr>
      </w:pPr>
    </w:p>
    <w:p w:rsidR="00D32C5B" w:rsidRDefault="00883432">
      <w:pPr>
        <w:pStyle w:val="Textoindependiente"/>
        <w:spacing w:line="360" w:lineRule="auto"/>
        <w:ind w:left="100" w:right="392"/>
        <w:jc w:val="both"/>
      </w:pPr>
      <w:r>
        <w:t xml:space="preserve">El presente proyecto de ley toma como base la iniciativa presentada por la expresidenta Bachelet, y recoge algunas recomendaciones hechas por la Comisión </w:t>
      </w:r>
      <w:proofErr w:type="spellStart"/>
      <w:r>
        <w:t>Engel</w:t>
      </w:r>
      <w:proofErr w:type="spellEnd"/>
      <w:r>
        <w:t xml:space="preserve"> y por el centro de estudios Espacio Público. De este modo, el proyecto</w:t>
      </w:r>
      <w:r>
        <w:rPr>
          <w:spacing w:val="40"/>
        </w:rPr>
        <w:t xml:space="preserve"> </w:t>
      </w:r>
      <w:r>
        <w:t>establece un “periodo de enfriamiento” más amplio que el proyecto original para</w:t>
      </w:r>
      <w:r>
        <w:rPr>
          <w:spacing w:val="-2"/>
        </w:rPr>
        <w:t xml:space="preserve"> </w:t>
      </w:r>
      <w:r>
        <w:t>las ex autoridades y funcionarios de las entidades fiscalizadoras comprendidas en el Decreto Ley N° 3.551, tales como la Fiscalía Nacional Económica, el Servicio de Impuestos I</w:t>
      </w:r>
      <w:r>
        <w:t>nternos, la</w:t>
      </w:r>
      <w:r>
        <w:rPr>
          <w:spacing w:val="-3"/>
        </w:rPr>
        <w:t xml:space="preserve"> </w:t>
      </w:r>
      <w:r>
        <w:t>Dirección</w:t>
      </w:r>
      <w:r>
        <w:rPr>
          <w:spacing w:val="-3"/>
        </w:rPr>
        <w:t xml:space="preserve"> </w:t>
      </w:r>
      <w:r>
        <w:t>del</w:t>
      </w:r>
      <w:r>
        <w:rPr>
          <w:spacing w:val="-3"/>
        </w:rPr>
        <w:t xml:space="preserve"> </w:t>
      </w:r>
      <w:r>
        <w:t>Trabajo</w:t>
      </w:r>
      <w:r>
        <w:rPr>
          <w:spacing w:val="-3"/>
        </w:rPr>
        <w:t xml:space="preserve"> </w:t>
      </w:r>
      <w:r>
        <w:t>y</w:t>
      </w:r>
      <w:r>
        <w:rPr>
          <w:spacing w:val="-3"/>
        </w:rPr>
        <w:t xml:space="preserve"> </w:t>
      </w:r>
      <w:r>
        <w:t>las</w:t>
      </w:r>
      <w:r>
        <w:rPr>
          <w:spacing w:val="-3"/>
        </w:rPr>
        <w:t xml:space="preserve"> </w:t>
      </w:r>
      <w:r>
        <w:t>Superintendencias,</w:t>
      </w:r>
      <w:r>
        <w:rPr>
          <w:spacing w:val="-3"/>
        </w:rPr>
        <w:t xml:space="preserve"> </w:t>
      </w:r>
      <w:r>
        <w:t>entre</w:t>
      </w:r>
      <w:r>
        <w:rPr>
          <w:spacing w:val="-3"/>
        </w:rPr>
        <w:t xml:space="preserve"> </w:t>
      </w:r>
      <w:r>
        <w:t>otras,</w:t>
      </w:r>
      <w:r>
        <w:rPr>
          <w:spacing w:val="-3"/>
        </w:rPr>
        <w:t xml:space="preserve"> </w:t>
      </w:r>
      <w:r>
        <w:t>así como un aumento en las sanciones frente a su incumplimiento.</w:t>
      </w:r>
    </w:p>
    <w:p w:rsidR="00D32C5B" w:rsidRDefault="00D32C5B">
      <w:pPr>
        <w:pStyle w:val="Textoindependiente"/>
        <w:rPr>
          <w:sz w:val="36"/>
        </w:rPr>
      </w:pPr>
    </w:p>
    <w:p w:rsidR="00D32C5B" w:rsidRDefault="00883432">
      <w:pPr>
        <w:ind w:left="3378" w:right="3670"/>
        <w:jc w:val="center"/>
        <w:rPr>
          <w:b/>
          <w:sz w:val="24"/>
        </w:rPr>
      </w:pPr>
      <w:r>
        <w:rPr>
          <w:b/>
          <w:sz w:val="24"/>
          <w:u w:val="thick"/>
        </w:rPr>
        <w:t xml:space="preserve">PROYECTO DE </w:t>
      </w:r>
      <w:r>
        <w:rPr>
          <w:b/>
          <w:spacing w:val="-5"/>
          <w:sz w:val="24"/>
          <w:u w:val="thick"/>
        </w:rPr>
        <w:t>LEY</w:t>
      </w:r>
    </w:p>
    <w:p w:rsidR="00D32C5B" w:rsidRDefault="00D32C5B">
      <w:pPr>
        <w:pStyle w:val="Textoindependiente"/>
        <w:rPr>
          <w:b/>
          <w:sz w:val="26"/>
        </w:rPr>
      </w:pPr>
    </w:p>
    <w:p w:rsidR="00D32C5B" w:rsidRDefault="00D32C5B">
      <w:pPr>
        <w:pStyle w:val="Textoindependiente"/>
        <w:rPr>
          <w:b/>
          <w:sz w:val="22"/>
        </w:rPr>
      </w:pPr>
    </w:p>
    <w:p w:rsidR="00D32C5B" w:rsidRDefault="00883432">
      <w:pPr>
        <w:pStyle w:val="Textoindependiente"/>
        <w:spacing w:line="360" w:lineRule="auto"/>
        <w:ind w:left="100" w:right="395"/>
        <w:jc w:val="both"/>
      </w:pPr>
      <w:r>
        <w:rPr>
          <w:b/>
        </w:rPr>
        <w:t>“Artículo único.-</w:t>
      </w:r>
      <w:r>
        <w:rPr>
          <w:b/>
          <w:spacing w:val="40"/>
        </w:rPr>
        <w:t xml:space="preserve"> </w:t>
      </w:r>
      <w:r>
        <w:t xml:space="preserve">Modifíquese el decreto con fuerza de ley N° 1, de 2000, del Ministerio Secretaría </w:t>
      </w:r>
      <w:r>
        <w:t>General de la Presidencia, que fija texto</w:t>
      </w:r>
      <w:r>
        <w:rPr>
          <w:spacing w:val="-4"/>
        </w:rPr>
        <w:t xml:space="preserve"> </w:t>
      </w:r>
      <w:r>
        <w:t>refundido,</w:t>
      </w:r>
      <w:r>
        <w:rPr>
          <w:spacing w:val="-4"/>
        </w:rPr>
        <w:t xml:space="preserve"> </w:t>
      </w:r>
      <w:r>
        <w:t>coordinado y sistematizado de</w:t>
      </w:r>
      <w:r>
        <w:rPr>
          <w:spacing w:val="-3"/>
        </w:rPr>
        <w:t xml:space="preserve"> </w:t>
      </w:r>
      <w:r>
        <w:t>la</w:t>
      </w:r>
      <w:r>
        <w:rPr>
          <w:spacing w:val="-3"/>
        </w:rPr>
        <w:t xml:space="preserve"> </w:t>
      </w:r>
      <w:r>
        <w:t>ley</w:t>
      </w:r>
      <w:r>
        <w:rPr>
          <w:spacing w:val="-3"/>
        </w:rPr>
        <w:t xml:space="preserve"> </w:t>
      </w:r>
      <w:r>
        <w:t>Nº</w:t>
      </w:r>
      <w:r>
        <w:rPr>
          <w:spacing w:val="-3"/>
        </w:rPr>
        <w:t xml:space="preserve"> </w:t>
      </w:r>
      <w:r>
        <w:t>18.575,</w:t>
      </w:r>
      <w:r>
        <w:rPr>
          <w:spacing w:val="-3"/>
        </w:rPr>
        <w:t xml:space="preserve"> </w:t>
      </w:r>
      <w:r>
        <w:t>Orgánica</w:t>
      </w:r>
      <w:r>
        <w:rPr>
          <w:spacing w:val="-3"/>
        </w:rPr>
        <w:t xml:space="preserve"> </w:t>
      </w:r>
      <w:r>
        <w:t>Constitucional</w:t>
      </w:r>
      <w:r>
        <w:rPr>
          <w:spacing w:val="-3"/>
        </w:rPr>
        <w:t xml:space="preserve"> </w:t>
      </w:r>
      <w:r>
        <w:t>de</w:t>
      </w:r>
      <w:r>
        <w:rPr>
          <w:spacing w:val="-3"/>
        </w:rPr>
        <w:t xml:space="preserve"> </w:t>
      </w:r>
      <w:r>
        <w:t>Bases</w:t>
      </w:r>
      <w:r>
        <w:rPr>
          <w:spacing w:val="-3"/>
        </w:rPr>
        <w:t xml:space="preserve"> </w:t>
      </w:r>
      <w:r>
        <w:t>Generales</w:t>
      </w:r>
      <w:r>
        <w:rPr>
          <w:spacing w:val="-3"/>
        </w:rPr>
        <w:t xml:space="preserve"> </w:t>
      </w:r>
      <w:r>
        <w:t>de</w:t>
      </w:r>
      <w:r>
        <w:rPr>
          <w:spacing w:val="-3"/>
        </w:rPr>
        <w:t xml:space="preserve"> </w:t>
      </w:r>
      <w:r>
        <w:t>la Administración del Estado en el siguiente sentido:</w:t>
      </w:r>
    </w:p>
    <w:p w:rsidR="00D32C5B" w:rsidRDefault="00D32C5B">
      <w:pPr>
        <w:pStyle w:val="Textoindependiente"/>
        <w:rPr>
          <w:sz w:val="36"/>
        </w:rPr>
      </w:pPr>
    </w:p>
    <w:p w:rsidR="00D32C5B" w:rsidRDefault="00883432">
      <w:pPr>
        <w:pStyle w:val="Prrafodelista"/>
        <w:numPr>
          <w:ilvl w:val="0"/>
          <w:numId w:val="1"/>
        </w:numPr>
        <w:tabs>
          <w:tab w:val="left" w:pos="352"/>
        </w:tabs>
        <w:rPr>
          <w:sz w:val="24"/>
        </w:rPr>
      </w:pPr>
      <w:r>
        <w:rPr>
          <w:sz w:val="24"/>
        </w:rPr>
        <w:t xml:space="preserve">Suprímase el inciso final del Artículo </w:t>
      </w:r>
      <w:r>
        <w:rPr>
          <w:spacing w:val="-5"/>
          <w:sz w:val="24"/>
        </w:rPr>
        <w:t>56.</w:t>
      </w:r>
    </w:p>
    <w:p w:rsidR="00D32C5B" w:rsidRDefault="00D32C5B">
      <w:pPr>
        <w:pStyle w:val="Textoindependiente"/>
        <w:rPr>
          <w:sz w:val="26"/>
        </w:rPr>
      </w:pPr>
    </w:p>
    <w:p w:rsidR="00D32C5B" w:rsidRDefault="00D32C5B">
      <w:pPr>
        <w:pStyle w:val="Textoindependiente"/>
        <w:rPr>
          <w:sz w:val="22"/>
        </w:rPr>
      </w:pPr>
    </w:p>
    <w:p w:rsidR="00D32C5B" w:rsidRDefault="00883432">
      <w:pPr>
        <w:pStyle w:val="Prrafodelista"/>
        <w:numPr>
          <w:ilvl w:val="0"/>
          <w:numId w:val="1"/>
        </w:numPr>
        <w:tabs>
          <w:tab w:val="left" w:pos="382"/>
        </w:tabs>
        <w:ind w:left="381" w:hanging="282"/>
        <w:rPr>
          <w:sz w:val="24"/>
        </w:rPr>
      </w:pPr>
      <w:r>
        <w:rPr>
          <w:sz w:val="24"/>
        </w:rPr>
        <w:t xml:space="preserve">Agréganse los siguiente artículo 56 bis, 56 ter y 56 </w:t>
      </w:r>
      <w:proofErr w:type="spellStart"/>
      <w:r>
        <w:rPr>
          <w:sz w:val="24"/>
        </w:rPr>
        <w:t>quáter</w:t>
      </w:r>
      <w:proofErr w:type="spellEnd"/>
      <w:r>
        <w:rPr>
          <w:sz w:val="24"/>
        </w:rPr>
        <w:t xml:space="preserve"> </w:t>
      </w:r>
      <w:r>
        <w:rPr>
          <w:spacing w:val="-2"/>
          <w:sz w:val="24"/>
        </w:rPr>
        <w:t>nuevos:</w:t>
      </w:r>
    </w:p>
    <w:p w:rsidR="00D32C5B" w:rsidRDefault="00D32C5B">
      <w:pPr>
        <w:pStyle w:val="Textoindependiente"/>
        <w:rPr>
          <w:sz w:val="20"/>
        </w:rPr>
      </w:pPr>
    </w:p>
    <w:p w:rsidR="00D32C5B" w:rsidRDefault="00D32C5B">
      <w:pPr>
        <w:pStyle w:val="Textoindependiente"/>
        <w:rPr>
          <w:sz w:val="20"/>
        </w:rPr>
      </w:pPr>
    </w:p>
    <w:p w:rsidR="00D32C5B" w:rsidRDefault="00D32C5B">
      <w:pPr>
        <w:pStyle w:val="Textoindependiente"/>
        <w:rPr>
          <w:sz w:val="20"/>
        </w:rPr>
      </w:pPr>
    </w:p>
    <w:p w:rsidR="00D32C5B" w:rsidRDefault="00D32C5B">
      <w:pPr>
        <w:pStyle w:val="Textoindependiente"/>
        <w:rPr>
          <w:sz w:val="20"/>
        </w:rPr>
      </w:pPr>
    </w:p>
    <w:p w:rsidR="00D32C5B" w:rsidRDefault="00883432">
      <w:pPr>
        <w:pStyle w:val="Textoindependiente"/>
        <w:spacing w:before="6"/>
        <w:rPr>
          <w:sz w:val="29"/>
        </w:rPr>
      </w:pPr>
      <w:r>
        <w:pict>
          <v:shape id="docshape3" o:spid="_x0000_s1026" style="position:absolute;margin-left:1in;margin-top:18pt;width:2in;height:.1pt;z-index:-15727104;mso-wrap-distance-left:0;mso-wrap-distance-right:0;mso-position-horizontal-relative:page" coordorigin="1440,360" coordsize="2880,0" path="m1440,360r2880,e" filled="f">
            <v:path arrowok="t"/>
            <w10:wrap type="topAndBottom" anchorx="page"/>
          </v:shape>
        </w:pict>
      </w:r>
    </w:p>
    <w:p w:rsidR="00D32C5B" w:rsidRDefault="00883432">
      <w:pPr>
        <w:spacing w:before="108"/>
        <w:ind w:left="100"/>
        <w:jc w:val="both"/>
        <w:rPr>
          <w:rFonts w:ascii="Arial"/>
          <w:sz w:val="20"/>
        </w:rPr>
      </w:pPr>
      <w:r>
        <w:rPr>
          <w:rFonts w:ascii="Arial"/>
          <w:sz w:val="20"/>
          <w:vertAlign w:val="superscript"/>
        </w:rPr>
        <w:t>5</w:t>
      </w:r>
      <w:r>
        <w:rPr>
          <w:rFonts w:ascii="Arial"/>
          <w:spacing w:val="-7"/>
          <w:sz w:val="20"/>
        </w:rPr>
        <w:t xml:space="preserve"> </w:t>
      </w:r>
      <w:proofErr w:type="spellStart"/>
      <w:r>
        <w:rPr>
          <w:rFonts w:ascii="Arial"/>
          <w:spacing w:val="-4"/>
          <w:sz w:val="20"/>
        </w:rPr>
        <w:t>Idem</w:t>
      </w:r>
      <w:proofErr w:type="spellEnd"/>
      <w:r>
        <w:rPr>
          <w:rFonts w:ascii="Arial"/>
          <w:spacing w:val="-4"/>
          <w:sz w:val="20"/>
        </w:rPr>
        <w:t>.</w:t>
      </w:r>
    </w:p>
    <w:p w:rsidR="00D32C5B" w:rsidRDefault="00D32C5B">
      <w:pPr>
        <w:jc w:val="both"/>
        <w:rPr>
          <w:rFonts w:ascii="Arial"/>
          <w:sz w:val="20"/>
        </w:rPr>
        <w:sectPr w:rsidR="00D32C5B">
          <w:pgSz w:w="11920" w:h="16840"/>
          <w:pgMar w:top="1820" w:right="1060" w:bottom="280" w:left="1340" w:header="720" w:footer="720" w:gutter="0"/>
          <w:cols w:space="720"/>
        </w:sectPr>
      </w:pPr>
    </w:p>
    <w:p w:rsidR="00D32C5B" w:rsidRDefault="00883432">
      <w:pPr>
        <w:pStyle w:val="Textoindependiente"/>
        <w:spacing w:before="80" w:line="360" w:lineRule="auto"/>
        <w:ind w:left="100" w:right="398"/>
        <w:jc w:val="both"/>
      </w:pPr>
      <w:r>
        <w:lastRenderedPageBreak/>
        <w:t>“</w:t>
      </w:r>
      <w:r>
        <w:rPr>
          <w:b/>
        </w:rPr>
        <w:t xml:space="preserve">Artículo 56 bis.- </w:t>
      </w:r>
      <w:r>
        <w:t>Una vez cesados</w:t>
      </w:r>
      <w:r>
        <w:rPr>
          <w:spacing w:val="-2"/>
        </w:rPr>
        <w:t xml:space="preserve"> </w:t>
      </w:r>
      <w:r>
        <w:t>en</w:t>
      </w:r>
      <w:r>
        <w:rPr>
          <w:spacing w:val="-2"/>
        </w:rPr>
        <w:t xml:space="preserve"> </w:t>
      </w:r>
      <w:r>
        <w:t>sus</w:t>
      </w:r>
      <w:r>
        <w:rPr>
          <w:spacing w:val="-2"/>
        </w:rPr>
        <w:t xml:space="preserve"> </w:t>
      </w:r>
      <w:r>
        <w:t>cargos,</w:t>
      </w:r>
      <w:r>
        <w:rPr>
          <w:spacing w:val="-2"/>
        </w:rPr>
        <w:t xml:space="preserve"> </w:t>
      </w:r>
      <w:r>
        <w:t>y</w:t>
      </w:r>
      <w:r>
        <w:rPr>
          <w:spacing w:val="-2"/>
        </w:rPr>
        <w:t xml:space="preserve"> </w:t>
      </w:r>
      <w:r>
        <w:t>por</w:t>
      </w:r>
      <w:r>
        <w:rPr>
          <w:spacing w:val="-2"/>
        </w:rPr>
        <w:t xml:space="preserve"> </w:t>
      </w:r>
      <w:r>
        <w:t>un</w:t>
      </w:r>
      <w:r>
        <w:rPr>
          <w:spacing w:val="-2"/>
        </w:rPr>
        <w:t xml:space="preserve"> </w:t>
      </w:r>
      <w:r>
        <w:t>plazo</w:t>
      </w:r>
      <w:r>
        <w:rPr>
          <w:spacing w:val="-2"/>
        </w:rPr>
        <w:t xml:space="preserve"> </w:t>
      </w:r>
      <w:r>
        <w:t>de</w:t>
      </w:r>
      <w:r>
        <w:rPr>
          <w:spacing w:val="-2"/>
        </w:rPr>
        <w:t xml:space="preserve"> </w:t>
      </w:r>
      <w:r>
        <w:t>dos</w:t>
      </w:r>
      <w:r>
        <w:rPr>
          <w:spacing w:val="-2"/>
        </w:rPr>
        <w:t xml:space="preserve"> </w:t>
      </w:r>
      <w:r>
        <w:t>años,</w:t>
      </w:r>
      <w:r>
        <w:rPr>
          <w:spacing w:val="-2"/>
        </w:rPr>
        <w:t xml:space="preserve"> </w:t>
      </w:r>
      <w:r>
        <w:t>los</w:t>
      </w:r>
      <w:r>
        <w:rPr>
          <w:spacing w:val="-2"/>
        </w:rPr>
        <w:t xml:space="preserve"> </w:t>
      </w:r>
      <w:r>
        <w:t>ex funcionarios de las instituciones fiscalizadoras, en los términos del decreto ley N° 3.551, con exclusión de la Contraloría General de la República y la Defensoría Penal Pública, no podrán</w:t>
      </w:r>
      <w:r>
        <w:rPr>
          <w:spacing w:val="40"/>
        </w:rPr>
        <w:t xml:space="preserve"> </w:t>
      </w:r>
      <w:r>
        <w:t>prestar ningún tipo de servicio, sea de forma gratuita o remuner</w:t>
      </w:r>
      <w:r>
        <w:t>ada, ni adquirir participación en la propiedad de entidades respecto de las cuales, dentro de los doce meses</w:t>
      </w:r>
      <w:r>
        <w:rPr>
          <w:spacing w:val="-2"/>
        </w:rPr>
        <w:t xml:space="preserve"> </w:t>
      </w:r>
      <w:r>
        <w:t>anteriores</w:t>
      </w:r>
      <w:r>
        <w:rPr>
          <w:spacing w:val="-3"/>
        </w:rPr>
        <w:t xml:space="preserve"> </w:t>
      </w:r>
      <w:r>
        <w:t>el</w:t>
      </w:r>
      <w:r>
        <w:rPr>
          <w:spacing w:val="-2"/>
        </w:rPr>
        <w:t xml:space="preserve"> </w:t>
      </w:r>
      <w:r>
        <w:t>cese</w:t>
      </w:r>
      <w:r>
        <w:rPr>
          <w:spacing w:val="-3"/>
        </w:rPr>
        <w:t xml:space="preserve"> </w:t>
      </w:r>
      <w:r>
        <w:t>en</w:t>
      </w:r>
      <w:r>
        <w:rPr>
          <w:spacing w:val="-2"/>
        </w:rPr>
        <w:t xml:space="preserve"> </w:t>
      </w:r>
      <w:r>
        <w:t>sus</w:t>
      </w:r>
      <w:r>
        <w:rPr>
          <w:spacing w:val="-3"/>
        </w:rPr>
        <w:t xml:space="preserve"> </w:t>
      </w:r>
      <w:r>
        <w:t>funciones,</w:t>
      </w:r>
      <w:r>
        <w:rPr>
          <w:spacing w:val="-2"/>
        </w:rPr>
        <w:t xml:space="preserve"> </w:t>
      </w:r>
      <w:r>
        <w:t>hayan,</w:t>
      </w:r>
      <w:r>
        <w:rPr>
          <w:spacing w:val="-3"/>
        </w:rPr>
        <w:t xml:space="preserve"> </w:t>
      </w:r>
      <w:r>
        <w:t>de</w:t>
      </w:r>
      <w:r>
        <w:rPr>
          <w:spacing w:val="-2"/>
        </w:rPr>
        <w:t xml:space="preserve"> </w:t>
      </w:r>
      <w:r>
        <w:t>forma específica, personal y directa, emitido actos, resoluciones, dictámenes o circulares; particip</w:t>
      </w:r>
      <w:r>
        <w:t>ado en sesiones de órganos colegiados en las que se hubiere adoptado algún acuerdo o resolución a su respecto; o intervenido en los procedimientos administrativos, finalizados o no, que produjeron o producirán dichos actos administrativos. La prohibición d</w:t>
      </w:r>
      <w:r>
        <w:t>e que trata este artículo se extiende a aquellas empresas</w:t>
      </w:r>
      <w:r>
        <w:rPr>
          <w:spacing w:val="-3"/>
        </w:rPr>
        <w:t xml:space="preserve"> </w:t>
      </w:r>
      <w:r>
        <w:t>que</w:t>
      </w:r>
      <w:r>
        <w:rPr>
          <w:spacing w:val="-3"/>
        </w:rPr>
        <w:t xml:space="preserve"> </w:t>
      </w:r>
      <w:r>
        <w:t>formen</w:t>
      </w:r>
      <w:r>
        <w:rPr>
          <w:spacing w:val="-3"/>
        </w:rPr>
        <w:t xml:space="preserve"> </w:t>
      </w:r>
      <w:r>
        <w:t>parte</w:t>
      </w:r>
      <w:r>
        <w:rPr>
          <w:spacing w:val="-3"/>
        </w:rPr>
        <w:t xml:space="preserve"> </w:t>
      </w:r>
      <w:r>
        <w:t>del</w:t>
      </w:r>
      <w:r>
        <w:rPr>
          <w:spacing w:val="-3"/>
        </w:rPr>
        <w:t xml:space="preserve"> </w:t>
      </w:r>
      <w:r>
        <w:t>mismo</w:t>
      </w:r>
      <w:r>
        <w:rPr>
          <w:spacing w:val="-3"/>
        </w:rPr>
        <w:t xml:space="preserve"> </w:t>
      </w:r>
      <w:r>
        <w:t>grupo</w:t>
      </w:r>
      <w:r>
        <w:rPr>
          <w:spacing w:val="-3"/>
        </w:rPr>
        <w:t xml:space="preserve"> </w:t>
      </w:r>
      <w:r>
        <w:t>empresarial</w:t>
      </w:r>
      <w:r>
        <w:rPr>
          <w:spacing w:val="-3"/>
        </w:rPr>
        <w:t xml:space="preserve"> </w:t>
      </w:r>
      <w:r>
        <w:t>en</w:t>
      </w:r>
      <w:r>
        <w:rPr>
          <w:spacing w:val="-3"/>
        </w:rPr>
        <w:t xml:space="preserve"> </w:t>
      </w:r>
      <w:r>
        <w:t>los</w:t>
      </w:r>
      <w:r>
        <w:rPr>
          <w:spacing w:val="-3"/>
        </w:rPr>
        <w:t xml:space="preserve"> </w:t>
      </w:r>
      <w:r>
        <w:t>términos</w:t>
      </w:r>
      <w:r>
        <w:rPr>
          <w:spacing w:val="-3"/>
        </w:rPr>
        <w:t xml:space="preserve"> </w:t>
      </w:r>
      <w:r>
        <w:t>de</w:t>
      </w:r>
      <w:r>
        <w:rPr>
          <w:spacing w:val="-3"/>
        </w:rPr>
        <w:t xml:space="preserve"> </w:t>
      </w:r>
      <w:r>
        <w:t>la</w:t>
      </w:r>
      <w:r>
        <w:rPr>
          <w:spacing w:val="-3"/>
        </w:rPr>
        <w:t xml:space="preserve"> </w:t>
      </w:r>
      <w:r>
        <w:t>ley</w:t>
      </w:r>
      <w:r>
        <w:rPr>
          <w:spacing w:val="-3"/>
        </w:rPr>
        <w:t xml:space="preserve"> </w:t>
      </w:r>
      <w:r>
        <w:t xml:space="preserve">N° </w:t>
      </w:r>
      <w:r>
        <w:rPr>
          <w:spacing w:val="-2"/>
        </w:rPr>
        <w:t>18.045.</w:t>
      </w:r>
    </w:p>
    <w:p w:rsidR="00D32C5B" w:rsidRDefault="00D32C5B">
      <w:pPr>
        <w:pStyle w:val="Textoindependiente"/>
        <w:rPr>
          <w:sz w:val="36"/>
        </w:rPr>
      </w:pPr>
    </w:p>
    <w:p w:rsidR="00D32C5B" w:rsidRDefault="00883432">
      <w:pPr>
        <w:pStyle w:val="Textoindependiente"/>
        <w:spacing w:line="360" w:lineRule="auto"/>
        <w:ind w:left="100" w:right="397"/>
        <w:jc w:val="both"/>
      </w:pPr>
      <w:r>
        <w:t xml:space="preserve">Los funcionarios a que alude este artículo deberán, dentro de los diez días </w:t>
      </w:r>
      <w:r>
        <w:t>hábiles siguientes al cese en funciones, efectuar una declaración jurada en la que individualicen a las</w:t>
      </w:r>
      <w:r>
        <w:rPr>
          <w:spacing w:val="-3"/>
        </w:rPr>
        <w:t xml:space="preserve"> </w:t>
      </w:r>
      <w:r>
        <w:t>entidades</w:t>
      </w:r>
      <w:r>
        <w:rPr>
          <w:spacing w:val="-3"/>
        </w:rPr>
        <w:t xml:space="preserve"> </w:t>
      </w:r>
      <w:r>
        <w:t>respecto</w:t>
      </w:r>
      <w:r>
        <w:rPr>
          <w:spacing w:val="-3"/>
        </w:rPr>
        <w:t xml:space="preserve"> </w:t>
      </w:r>
      <w:r>
        <w:t>a</w:t>
      </w:r>
      <w:r>
        <w:rPr>
          <w:spacing w:val="-3"/>
        </w:rPr>
        <w:t xml:space="preserve"> </w:t>
      </w:r>
      <w:r>
        <w:t>las</w:t>
      </w:r>
      <w:r>
        <w:rPr>
          <w:spacing w:val="-3"/>
        </w:rPr>
        <w:t xml:space="preserve"> </w:t>
      </w:r>
      <w:r>
        <w:t>cuales</w:t>
      </w:r>
      <w:r>
        <w:rPr>
          <w:spacing w:val="-3"/>
        </w:rPr>
        <w:t xml:space="preserve"> </w:t>
      </w:r>
      <w:r>
        <w:t>hayan</w:t>
      </w:r>
      <w:r>
        <w:rPr>
          <w:spacing w:val="-3"/>
        </w:rPr>
        <w:t xml:space="preserve"> </w:t>
      </w:r>
      <w:r>
        <w:t>intervenido</w:t>
      </w:r>
      <w:r>
        <w:rPr>
          <w:spacing w:val="-3"/>
        </w:rPr>
        <w:t xml:space="preserve"> </w:t>
      </w:r>
      <w:r>
        <w:t>en</w:t>
      </w:r>
      <w:r>
        <w:rPr>
          <w:spacing w:val="-3"/>
        </w:rPr>
        <w:t xml:space="preserve"> </w:t>
      </w:r>
      <w:r>
        <w:t>los</w:t>
      </w:r>
      <w:r>
        <w:rPr>
          <w:spacing w:val="-3"/>
        </w:rPr>
        <w:t xml:space="preserve"> </w:t>
      </w:r>
      <w:r>
        <w:t>términos del</w:t>
      </w:r>
      <w:r>
        <w:rPr>
          <w:spacing w:val="-3"/>
        </w:rPr>
        <w:t xml:space="preserve"> </w:t>
      </w:r>
      <w:r>
        <w:t>inciso</w:t>
      </w:r>
      <w:r>
        <w:rPr>
          <w:spacing w:val="-3"/>
        </w:rPr>
        <w:t xml:space="preserve"> </w:t>
      </w:r>
      <w:r>
        <w:t>anterior.</w:t>
      </w:r>
      <w:r>
        <w:rPr>
          <w:spacing w:val="-3"/>
        </w:rPr>
        <w:t xml:space="preserve"> </w:t>
      </w:r>
      <w:r>
        <w:t>Copia</w:t>
      </w:r>
      <w:r>
        <w:rPr>
          <w:spacing w:val="-3"/>
        </w:rPr>
        <w:t xml:space="preserve"> </w:t>
      </w:r>
      <w:r>
        <w:t>de</w:t>
      </w:r>
      <w:r>
        <w:rPr>
          <w:spacing w:val="-3"/>
        </w:rPr>
        <w:t xml:space="preserve"> </w:t>
      </w:r>
      <w:r>
        <w:t>dicha</w:t>
      </w:r>
      <w:r>
        <w:rPr>
          <w:spacing w:val="-3"/>
        </w:rPr>
        <w:t xml:space="preserve"> </w:t>
      </w:r>
      <w:r>
        <w:t>declaración</w:t>
      </w:r>
      <w:r>
        <w:rPr>
          <w:spacing w:val="-3"/>
        </w:rPr>
        <w:t xml:space="preserve"> </w:t>
      </w:r>
      <w:r>
        <w:t>deberá</w:t>
      </w:r>
      <w:r>
        <w:rPr>
          <w:spacing w:val="-3"/>
        </w:rPr>
        <w:t xml:space="preserve"> </w:t>
      </w:r>
      <w:r>
        <w:t>ser</w:t>
      </w:r>
      <w:r>
        <w:rPr>
          <w:spacing w:val="-3"/>
        </w:rPr>
        <w:t xml:space="preserve"> </w:t>
      </w:r>
      <w:r>
        <w:t>remitida</w:t>
      </w:r>
      <w:r>
        <w:rPr>
          <w:spacing w:val="-3"/>
        </w:rPr>
        <w:t xml:space="preserve"> </w:t>
      </w:r>
      <w:r>
        <w:t>al</w:t>
      </w:r>
      <w:r>
        <w:rPr>
          <w:spacing w:val="-3"/>
        </w:rPr>
        <w:t xml:space="preserve"> </w:t>
      </w:r>
      <w:r>
        <w:t>jefe</w:t>
      </w:r>
      <w:r>
        <w:rPr>
          <w:spacing w:val="-3"/>
        </w:rPr>
        <w:t xml:space="preserve"> </w:t>
      </w:r>
      <w:r>
        <w:t>superior</w:t>
      </w:r>
      <w:r>
        <w:rPr>
          <w:spacing w:val="-3"/>
        </w:rPr>
        <w:t xml:space="preserve"> </w:t>
      </w:r>
      <w:r>
        <w:t>d</w:t>
      </w:r>
      <w:r>
        <w:t>el órgano en el cual se desempeñaban y a la Contraloría General de la República, para su registro.</w:t>
      </w:r>
    </w:p>
    <w:p w:rsidR="00D32C5B" w:rsidRDefault="00D32C5B">
      <w:pPr>
        <w:pStyle w:val="Textoindependiente"/>
        <w:rPr>
          <w:sz w:val="36"/>
        </w:rPr>
      </w:pPr>
    </w:p>
    <w:p w:rsidR="00D32C5B" w:rsidRDefault="00883432">
      <w:pPr>
        <w:pStyle w:val="Textoindependiente"/>
        <w:spacing w:line="360" w:lineRule="auto"/>
        <w:ind w:left="100" w:right="395"/>
        <w:jc w:val="both"/>
      </w:pPr>
      <w:r>
        <w:rPr>
          <w:b/>
        </w:rPr>
        <w:t xml:space="preserve">Artículo 56 ter.- </w:t>
      </w:r>
      <w:r>
        <w:t>Sin perjuicio de la prohibición establecida en el</w:t>
      </w:r>
      <w:r>
        <w:rPr>
          <w:spacing w:val="-2"/>
        </w:rPr>
        <w:t xml:space="preserve"> </w:t>
      </w:r>
      <w:r>
        <w:t>artículo</w:t>
      </w:r>
      <w:r>
        <w:rPr>
          <w:spacing w:val="-3"/>
        </w:rPr>
        <w:t xml:space="preserve"> </w:t>
      </w:r>
      <w:r>
        <w:t>anterior, los ex funcionarios pertenecientes al primer y segundo nivel jerárqui</w:t>
      </w:r>
      <w:r>
        <w:t>co de las instituciones fiscalizadoras a que alude dicho artículo, no podrán, por el plazo</w:t>
      </w:r>
      <w:r>
        <w:rPr>
          <w:spacing w:val="-3"/>
        </w:rPr>
        <w:t xml:space="preserve"> </w:t>
      </w:r>
      <w:r>
        <w:t>de</w:t>
      </w:r>
      <w:r>
        <w:rPr>
          <w:spacing w:val="-3"/>
        </w:rPr>
        <w:t xml:space="preserve"> </w:t>
      </w:r>
      <w:r>
        <w:t>un año desde que cesen en sus cargos, prestar ningún tipo de servicio, sea de forma gratuita o remunerada, participar en licitaciones públicas, ni adquirir partic</w:t>
      </w:r>
      <w:r>
        <w:t>ipación en la propiedad, respecto de ninguna de las entidades sujetas a la fiscalización del organismo en que se hayan desempeñado ni de aquellas empresas que</w:t>
      </w:r>
      <w:r>
        <w:rPr>
          <w:spacing w:val="-2"/>
        </w:rPr>
        <w:t xml:space="preserve"> </w:t>
      </w:r>
      <w:r>
        <w:t>formen</w:t>
      </w:r>
      <w:r>
        <w:rPr>
          <w:spacing w:val="-2"/>
        </w:rPr>
        <w:t xml:space="preserve"> </w:t>
      </w:r>
      <w:r>
        <w:t>parte del mismo grupo empresarial de estas en los términos de la ley N° 18.045.</w:t>
      </w:r>
    </w:p>
    <w:p w:rsidR="00D32C5B" w:rsidRDefault="00D32C5B">
      <w:pPr>
        <w:pStyle w:val="Textoindependiente"/>
        <w:rPr>
          <w:sz w:val="36"/>
        </w:rPr>
      </w:pPr>
    </w:p>
    <w:p w:rsidR="00D32C5B" w:rsidRDefault="00883432">
      <w:pPr>
        <w:pStyle w:val="Textoindependiente"/>
        <w:spacing w:line="360" w:lineRule="auto"/>
        <w:ind w:left="100" w:right="393"/>
        <w:jc w:val="both"/>
      </w:pPr>
      <w:r>
        <w:t>Asimismo,</w:t>
      </w:r>
      <w:r>
        <w:t xml:space="preserve"> las personas señaladas en el inciso precedente tendrán prohibido desarrollar actividades de lobby a favor de las entidades sujetas a la</w:t>
      </w:r>
      <w:r>
        <w:rPr>
          <w:spacing w:val="-2"/>
        </w:rPr>
        <w:t xml:space="preserve"> </w:t>
      </w:r>
      <w:r>
        <w:t>fiscalización</w:t>
      </w:r>
      <w:r>
        <w:rPr>
          <w:spacing w:val="-2"/>
        </w:rPr>
        <w:t xml:space="preserve"> </w:t>
      </w:r>
      <w:r>
        <w:t>del órgano</w:t>
      </w:r>
      <w:r>
        <w:rPr>
          <w:spacing w:val="74"/>
        </w:rPr>
        <w:t xml:space="preserve"> </w:t>
      </w:r>
      <w:r>
        <w:t>en</w:t>
      </w:r>
      <w:r>
        <w:rPr>
          <w:spacing w:val="59"/>
        </w:rPr>
        <w:t xml:space="preserve"> </w:t>
      </w:r>
      <w:r>
        <w:t>que</w:t>
      </w:r>
      <w:r>
        <w:rPr>
          <w:spacing w:val="59"/>
        </w:rPr>
        <w:t xml:space="preserve"> </w:t>
      </w:r>
      <w:r>
        <w:t>se</w:t>
      </w:r>
      <w:r>
        <w:rPr>
          <w:spacing w:val="59"/>
        </w:rPr>
        <w:t xml:space="preserve"> </w:t>
      </w:r>
      <w:r>
        <w:t>desempeñaban</w:t>
      </w:r>
      <w:r>
        <w:rPr>
          <w:spacing w:val="59"/>
        </w:rPr>
        <w:t xml:space="preserve"> </w:t>
      </w:r>
      <w:r>
        <w:t>y</w:t>
      </w:r>
      <w:r>
        <w:rPr>
          <w:spacing w:val="59"/>
        </w:rPr>
        <w:t xml:space="preserve"> </w:t>
      </w:r>
      <w:r>
        <w:t>aquéllas</w:t>
      </w:r>
      <w:r>
        <w:rPr>
          <w:spacing w:val="59"/>
        </w:rPr>
        <w:t xml:space="preserve"> </w:t>
      </w:r>
      <w:r>
        <w:t>que</w:t>
      </w:r>
      <w:r>
        <w:rPr>
          <w:spacing w:val="59"/>
        </w:rPr>
        <w:t xml:space="preserve"> </w:t>
      </w:r>
      <w:r>
        <w:t>formen</w:t>
      </w:r>
      <w:r>
        <w:rPr>
          <w:spacing w:val="59"/>
        </w:rPr>
        <w:t xml:space="preserve"> </w:t>
      </w:r>
      <w:r>
        <w:t>parte</w:t>
      </w:r>
      <w:r>
        <w:rPr>
          <w:spacing w:val="59"/>
        </w:rPr>
        <w:t xml:space="preserve"> </w:t>
      </w:r>
      <w:r>
        <w:t>del</w:t>
      </w:r>
      <w:r>
        <w:rPr>
          <w:spacing w:val="59"/>
        </w:rPr>
        <w:t xml:space="preserve"> </w:t>
      </w:r>
      <w:r>
        <w:t>mismo</w:t>
      </w:r>
      <w:r>
        <w:rPr>
          <w:spacing w:val="59"/>
        </w:rPr>
        <w:t xml:space="preserve"> </w:t>
      </w:r>
      <w:r>
        <w:rPr>
          <w:spacing w:val="-2"/>
        </w:rPr>
        <w:t>grupo</w:t>
      </w:r>
    </w:p>
    <w:p w:rsidR="00D32C5B" w:rsidRDefault="00D32C5B">
      <w:pPr>
        <w:spacing w:line="360" w:lineRule="auto"/>
        <w:jc w:val="both"/>
        <w:sectPr w:rsidR="00D32C5B">
          <w:pgSz w:w="11920" w:h="16840"/>
          <w:pgMar w:top="1360" w:right="1060" w:bottom="280" w:left="1340" w:header="720" w:footer="720" w:gutter="0"/>
          <w:cols w:space="720"/>
        </w:sectPr>
      </w:pPr>
    </w:p>
    <w:p w:rsidR="00D32C5B" w:rsidRDefault="00883432">
      <w:pPr>
        <w:pStyle w:val="Textoindependiente"/>
        <w:spacing w:before="80" w:line="360" w:lineRule="auto"/>
        <w:ind w:left="100" w:right="398"/>
        <w:jc w:val="both"/>
      </w:pPr>
      <w:proofErr w:type="gramStart"/>
      <w:r>
        <w:lastRenderedPageBreak/>
        <w:t>empresarial</w:t>
      </w:r>
      <w:proofErr w:type="gramEnd"/>
      <w:r>
        <w:t xml:space="preserve"> en los términos de la ley N° 18.045, por el período de dos años</w:t>
      </w:r>
      <w:r>
        <w:rPr>
          <w:spacing w:val="-2"/>
        </w:rPr>
        <w:t xml:space="preserve"> </w:t>
      </w:r>
      <w:r>
        <w:t>a</w:t>
      </w:r>
      <w:r>
        <w:rPr>
          <w:spacing w:val="-2"/>
        </w:rPr>
        <w:t xml:space="preserve"> </w:t>
      </w:r>
      <w:r>
        <w:t>contar de la fecha de cese en sus funciones.”.</w:t>
      </w:r>
    </w:p>
    <w:p w:rsidR="00D32C5B" w:rsidRDefault="00D32C5B">
      <w:pPr>
        <w:pStyle w:val="Textoindependiente"/>
        <w:rPr>
          <w:sz w:val="36"/>
        </w:rPr>
      </w:pPr>
    </w:p>
    <w:p w:rsidR="00D32C5B" w:rsidRDefault="00883432">
      <w:pPr>
        <w:pStyle w:val="Textoindependiente"/>
        <w:spacing w:line="360" w:lineRule="auto"/>
        <w:ind w:left="100" w:right="393"/>
        <w:jc w:val="both"/>
      </w:pPr>
      <w:r>
        <w:rPr>
          <w:b/>
        </w:rPr>
        <w:t xml:space="preserve">Artículo 56 </w:t>
      </w:r>
      <w:proofErr w:type="spellStart"/>
      <w:r>
        <w:rPr>
          <w:b/>
        </w:rPr>
        <w:t>quáter</w:t>
      </w:r>
      <w:proofErr w:type="spellEnd"/>
      <w:r>
        <w:rPr>
          <w:b/>
        </w:rPr>
        <w:t xml:space="preserve">.- </w:t>
      </w:r>
      <w:r>
        <w:t>Los ex funcionarios afectos a las prohibiciones establecidas</w:t>
      </w:r>
      <w:r>
        <w:rPr>
          <w:spacing w:val="40"/>
        </w:rPr>
        <w:t xml:space="preserve"> </w:t>
      </w:r>
      <w:r>
        <w:t>en</w:t>
      </w:r>
      <w:r>
        <w:rPr>
          <w:spacing w:val="-3"/>
        </w:rPr>
        <w:t xml:space="preserve"> </w:t>
      </w:r>
      <w:r>
        <w:t>los</w:t>
      </w:r>
      <w:r>
        <w:rPr>
          <w:spacing w:val="-3"/>
        </w:rPr>
        <w:t xml:space="preserve"> </w:t>
      </w:r>
      <w:r>
        <w:t>artículos</w:t>
      </w:r>
      <w:r>
        <w:rPr>
          <w:spacing w:val="-3"/>
        </w:rPr>
        <w:t xml:space="preserve"> </w:t>
      </w:r>
      <w:r>
        <w:t>56</w:t>
      </w:r>
      <w:r>
        <w:rPr>
          <w:spacing w:val="-3"/>
        </w:rPr>
        <w:t xml:space="preserve"> </w:t>
      </w:r>
      <w:r>
        <w:t>bis</w:t>
      </w:r>
      <w:r>
        <w:rPr>
          <w:spacing w:val="-3"/>
        </w:rPr>
        <w:t xml:space="preserve"> </w:t>
      </w:r>
      <w:r>
        <w:t>y</w:t>
      </w:r>
      <w:r>
        <w:rPr>
          <w:spacing w:val="-3"/>
        </w:rPr>
        <w:t xml:space="preserve"> </w:t>
      </w:r>
      <w:r>
        <w:t>56</w:t>
      </w:r>
      <w:r>
        <w:rPr>
          <w:spacing w:val="-3"/>
        </w:rPr>
        <w:t xml:space="preserve"> </w:t>
      </w:r>
      <w:r>
        <w:t>ter</w:t>
      </w:r>
      <w:r>
        <w:rPr>
          <w:spacing w:val="-3"/>
        </w:rPr>
        <w:t xml:space="preserve"> </w:t>
      </w:r>
      <w:r>
        <w:t>deberán</w:t>
      </w:r>
      <w:r>
        <w:rPr>
          <w:spacing w:val="-3"/>
        </w:rPr>
        <w:t xml:space="preserve"> </w:t>
      </w:r>
      <w:r>
        <w:t>informa</w:t>
      </w:r>
      <w:r>
        <w:t>r,</w:t>
      </w:r>
      <w:r>
        <w:rPr>
          <w:spacing w:val="-3"/>
        </w:rPr>
        <w:t xml:space="preserve"> </w:t>
      </w:r>
      <w:r>
        <w:t>durante</w:t>
      </w:r>
      <w:r>
        <w:rPr>
          <w:spacing w:val="-3"/>
        </w:rPr>
        <w:t xml:space="preserve"> </w:t>
      </w:r>
      <w:r>
        <w:t>el</w:t>
      </w:r>
      <w:r>
        <w:rPr>
          <w:spacing w:val="-3"/>
        </w:rPr>
        <w:t xml:space="preserve"> </w:t>
      </w:r>
      <w:r>
        <w:t>período</w:t>
      </w:r>
      <w:r>
        <w:rPr>
          <w:spacing w:val="-3"/>
        </w:rPr>
        <w:t xml:space="preserve"> </w:t>
      </w:r>
      <w:r>
        <w:t>que</w:t>
      </w:r>
      <w:r>
        <w:rPr>
          <w:spacing w:val="-3"/>
        </w:rPr>
        <w:t xml:space="preserve"> </w:t>
      </w:r>
      <w:r>
        <w:t>duren</w:t>
      </w:r>
      <w:r>
        <w:rPr>
          <w:spacing w:val="-3"/>
        </w:rPr>
        <w:t xml:space="preserve"> </w:t>
      </w:r>
      <w:r>
        <w:t>dichas prohibiciones, al órgano al que pertenecían, sus participaciones societarias y todas</w:t>
      </w:r>
      <w:r>
        <w:rPr>
          <w:spacing w:val="40"/>
        </w:rPr>
        <w:t xml:space="preserve"> </w:t>
      </w:r>
      <w:r>
        <w:t>las actividades laborales y de prestación de servicios que realicen, tanto en el sector público como en el sector privado, sean o no</w:t>
      </w:r>
      <w:r>
        <w:t xml:space="preserve"> remuneradas. Esta obligación se extenderá hasta los seis meses posteriores al término de dichas prohibiciones y se materializará en la forma que indicará el reglamento respectivo.</w:t>
      </w:r>
    </w:p>
    <w:p w:rsidR="00D32C5B" w:rsidRDefault="00D32C5B">
      <w:pPr>
        <w:pStyle w:val="Textoindependiente"/>
        <w:rPr>
          <w:sz w:val="26"/>
        </w:rPr>
      </w:pPr>
    </w:p>
    <w:p w:rsidR="00D32C5B" w:rsidRDefault="00D32C5B">
      <w:pPr>
        <w:pStyle w:val="Textoindependiente"/>
        <w:rPr>
          <w:sz w:val="26"/>
        </w:rPr>
      </w:pPr>
    </w:p>
    <w:p w:rsidR="00D32C5B" w:rsidRDefault="00883432">
      <w:pPr>
        <w:pStyle w:val="Textoindependiente"/>
        <w:spacing w:before="227" w:line="360" w:lineRule="auto"/>
        <w:ind w:left="100" w:right="397"/>
        <w:jc w:val="both"/>
      </w:pPr>
      <w:r>
        <w:rPr>
          <w:b/>
        </w:rPr>
        <w:t xml:space="preserve">Artículo 56 </w:t>
      </w:r>
      <w:proofErr w:type="spellStart"/>
      <w:r>
        <w:rPr>
          <w:b/>
        </w:rPr>
        <w:t>quinquies</w:t>
      </w:r>
      <w:proofErr w:type="spellEnd"/>
      <w:r>
        <w:rPr>
          <w:b/>
        </w:rPr>
        <w:t xml:space="preserve">.- </w:t>
      </w:r>
      <w:r>
        <w:t>La infracción a la prohibición a que se refiere el artículo 56 bis será sancionada con multa a beneficio</w:t>
      </w:r>
      <w:r>
        <w:rPr>
          <w:spacing w:val="-3"/>
        </w:rPr>
        <w:t xml:space="preserve"> </w:t>
      </w:r>
      <w:r>
        <w:t>fiscal</w:t>
      </w:r>
      <w:r>
        <w:rPr>
          <w:spacing w:val="-3"/>
        </w:rPr>
        <w:t xml:space="preserve"> </w:t>
      </w:r>
      <w:r>
        <w:t>de</w:t>
      </w:r>
      <w:r>
        <w:rPr>
          <w:spacing w:val="-3"/>
        </w:rPr>
        <w:t xml:space="preserve"> </w:t>
      </w:r>
      <w:r>
        <w:t>hasta</w:t>
      </w:r>
      <w:r>
        <w:rPr>
          <w:spacing w:val="-3"/>
        </w:rPr>
        <w:t xml:space="preserve"> </w:t>
      </w:r>
      <w:r>
        <w:t>250</w:t>
      </w:r>
      <w:r>
        <w:rPr>
          <w:spacing w:val="-3"/>
        </w:rPr>
        <w:t xml:space="preserve"> </w:t>
      </w:r>
      <w:r>
        <w:t>unidades</w:t>
      </w:r>
      <w:r>
        <w:rPr>
          <w:spacing w:val="-3"/>
        </w:rPr>
        <w:t xml:space="preserve"> </w:t>
      </w:r>
      <w:r>
        <w:t xml:space="preserve">tributarias </w:t>
      </w:r>
      <w:r>
        <w:rPr>
          <w:spacing w:val="-2"/>
        </w:rPr>
        <w:t>mensuales.</w:t>
      </w:r>
    </w:p>
    <w:p w:rsidR="00D32C5B" w:rsidRDefault="00D32C5B">
      <w:pPr>
        <w:pStyle w:val="Textoindependiente"/>
        <w:rPr>
          <w:sz w:val="36"/>
        </w:rPr>
      </w:pPr>
    </w:p>
    <w:p w:rsidR="00D32C5B" w:rsidRDefault="00883432">
      <w:pPr>
        <w:pStyle w:val="Textoindependiente"/>
        <w:spacing w:line="360" w:lineRule="auto"/>
        <w:ind w:left="100" w:right="396"/>
        <w:jc w:val="both"/>
      </w:pPr>
      <w:r>
        <w:t>Por su parte, la infracción de ex funcionarios a la prohibición a que se refiere el artículo 56 te</w:t>
      </w:r>
      <w:r>
        <w:t>r será sancionada con multa a beneficio fiscal de hasta 1.000 unidades tributarias mensuales.</w:t>
      </w:r>
    </w:p>
    <w:p w:rsidR="00D32C5B" w:rsidRDefault="00D32C5B">
      <w:pPr>
        <w:pStyle w:val="Textoindependiente"/>
        <w:rPr>
          <w:sz w:val="36"/>
        </w:rPr>
      </w:pPr>
    </w:p>
    <w:p w:rsidR="00D32C5B" w:rsidRDefault="00883432">
      <w:pPr>
        <w:pStyle w:val="Textoindependiente"/>
        <w:spacing w:line="360" w:lineRule="auto"/>
        <w:ind w:left="100" w:right="405"/>
        <w:jc w:val="both"/>
      </w:pPr>
      <w:r>
        <w:t xml:space="preserve">La infracción al deber de información establecido en el artículo 56 </w:t>
      </w:r>
      <w:proofErr w:type="spellStart"/>
      <w:r>
        <w:t>quater</w:t>
      </w:r>
      <w:proofErr w:type="spellEnd"/>
      <w:r>
        <w:t xml:space="preserve"> será sancionada con multa a beneficio fiscal de hasta 500 unidades tributarias </w:t>
      </w:r>
      <w:r>
        <w:rPr>
          <w:spacing w:val="-2"/>
        </w:rPr>
        <w:t>mensuales.</w:t>
      </w:r>
    </w:p>
    <w:p w:rsidR="00D32C5B" w:rsidRDefault="00D32C5B">
      <w:pPr>
        <w:pStyle w:val="Textoindependiente"/>
        <w:rPr>
          <w:sz w:val="36"/>
        </w:rPr>
      </w:pPr>
    </w:p>
    <w:p w:rsidR="00D32C5B" w:rsidRDefault="00883432">
      <w:pPr>
        <w:pStyle w:val="Textoindependiente"/>
        <w:spacing w:line="360" w:lineRule="auto"/>
        <w:ind w:left="100" w:right="393"/>
        <w:jc w:val="both"/>
      </w:pPr>
      <w:r>
        <w:t>La responsabilidad de las ex autoridades y ex funcionarios por infracción a lo dispuesto en los artículos 56 bis y 56 ter, se hará efectiva por la Contraloría General de la República conforme a los</w:t>
      </w:r>
      <w:r>
        <w:rPr>
          <w:spacing w:val="-2"/>
        </w:rPr>
        <w:t xml:space="preserve"> </w:t>
      </w:r>
      <w:r>
        <w:t>artículos</w:t>
      </w:r>
      <w:r>
        <w:rPr>
          <w:spacing w:val="-2"/>
        </w:rPr>
        <w:t xml:space="preserve"> </w:t>
      </w:r>
      <w:r>
        <w:t>134,</w:t>
      </w:r>
      <w:r>
        <w:rPr>
          <w:spacing w:val="-2"/>
        </w:rPr>
        <w:t xml:space="preserve"> </w:t>
      </w:r>
      <w:r>
        <w:t>135</w:t>
      </w:r>
      <w:r>
        <w:rPr>
          <w:spacing w:val="-3"/>
        </w:rPr>
        <w:t xml:space="preserve"> </w:t>
      </w:r>
      <w:r>
        <w:t>y</w:t>
      </w:r>
      <w:r>
        <w:rPr>
          <w:spacing w:val="-2"/>
        </w:rPr>
        <w:t xml:space="preserve"> </w:t>
      </w:r>
      <w:r>
        <w:t>138</w:t>
      </w:r>
      <w:r>
        <w:rPr>
          <w:spacing w:val="-2"/>
        </w:rPr>
        <w:t xml:space="preserve"> </w:t>
      </w:r>
      <w:r>
        <w:t>del</w:t>
      </w:r>
      <w:r>
        <w:rPr>
          <w:spacing w:val="-2"/>
        </w:rPr>
        <w:t xml:space="preserve"> </w:t>
      </w:r>
      <w:r>
        <w:t>decreto</w:t>
      </w:r>
      <w:r>
        <w:rPr>
          <w:spacing w:val="-3"/>
        </w:rPr>
        <w:t xml:space="preserve"> </w:t>
      </w:r>
      <w:r>
        <w:t>N°</w:t>
      </w:r>
      <w:r>
        <w:rPr>
          <w:spacing w:val="-2"/>
        </w:rPr>
        <w:t xml:space="preserve"> </w:t>
      </w:r>
      <w:r>
        <w:t>2.421,</w:t>
      </w:r>
      <w:r>
        <w:rPr>
          <w:spacing w:val="-2"/>
        </w:rPr>
        <w:t xml:space="preserve"> </w:t>
      </w:r>
      <w:r>
        <w:t>de</w:t>
      </w:r>
      <w:r>
        <w:rPr>
          <w:spacing w:val="-2"/>
        </w:rPr>
        <w:t xml:space="preserve"> </w:t>
      </w:r>
      <w:r>
        <w:t>1964, del Ministerio de Hacienda, que fija el texto refundido de la ley de Organización y Atribuciones de la Contraloría General de la República, ley</w:t>
      </w:r>
      <w:r>
        <w:rPr>
          <w:spacing w:val="-2"/>
        </w:rPr>
        <w:t xml:space="preserve"> </w:t>
      </w:r>
      <w:r>
        <w:t>N°</w:t>
      </w:r>
      <w:r>
        <w:rPr>
          <w:spacing w:val="-2"/>
        </w:rPr>
        <w:t xml:space="preserve"> </w:t>
      </w:r>
      <w:r>
        <w:t>10.336,</w:t>
      </w:r>
      <w:r>
        <w:rPr>
          <w:spacing w:val="-2"/>
        </w:rPr>
        <w:t xml:space="preserve"> </w:t>
      </w:r>
      <w:r>
        <w:t>para</w:t>
      </w:r>
      <w:r>
        <w:rPr>
          <w:spacing w:val="-2"/>
        </w:rPr>
        <w:t xml:space="preserve"> </w:t>
      </w:r>
      <w:r>
        <w:t>lo</w:t>
      </w:r>
      <w:r>
        <w:rPr>
          <w:spacing w:val="-2"/>
        </w:rPr>
        <w:t xml:space="preserve"> </w:t>
      </w:r>
      <w:r>
        <w:t>cual</w:t>
      </w:r>
      <w:r>
        <w:rPr>
          <w:spacing w:val="-2"/>
        </w:rPr>
        <w:t xml:space="preserve"> </w:t>
      </w:r>
      <w:r>
        <w:t>el instructor poseerá un plazo máximo e improrrogable de 20 días hábiles admin</w:t>
      </w:r>
      <w:r>
        <w:t>istrativos. Las sanciones que imponga la Contraloría General de la República serán reclamables ante la Corte de Apelaciones respectiva, dentro de quinto día de notificada la resolución. La Corte de Apelaciones pedirá informe a la Contraloría, el que deberá</w:t>
      </w:r>
      <w:r>
        <w:t xml:space="preserve"> ser evacuado dentro de los diez días hábiles siguientes al requerimiento. Para</w:t>
      </w:r>
      <w:r>
        <w:rPr>
          <w:spacing w:val="15"/>
        </w:rPr>
        <w:t xml:space="preserve"> </w:t>
      </w:r>
      <w:r>
        <w:t>el</w:t>
      </w:r>
      <w:r>
        <w:rPr>
          <w:spacing w:val="15"/>
        </w:rPr>
        <w:t xml:space="preserve"> </w:t>
      </w:r>
      <w:r>
        <w:t>conocimiento,</w:t>
      </w:r>
      <w:r>
        <w:rPr>
          <w:spacing w:val="15"/>
        </w:rPr>
        <w:t xml:space="preserve"> </w:t>
      </w:r>
      <w:r>
        <w:t>vista</w:t>
      </w:r>
      <w:r>
        <w:rPr>
          <w:spacing w:val="15"/>
        </w:rPr>
        <w:t xml:space="preserve"> </w:t>
      </w:r>
      <w:r>
        <w:t>y</w:t>
      </w:r>
      <w:r>
        <w:rPr>
          <w:spacing w:val="15"/>
        </w:rPr>
        <w:t xml:space="preserve"> </w:t>
      </w:r>
      <w:r>
        <w:t>fallo</w:t>
      </w:r>
      <w:r>
        <w:rPr>
          <w:spacing w:val="15"/>
        </w:rPr>
        <w:t xml:space="preserve"> </w:t>
      </w:r>
      <w:r>
        <w:t>de</w:t>
      </w:r>
      <w:r>
        <w:rPr>
          <w:spacing w:val="15"/>
        </w:rPr>
        <w:t xml:space="preserve"> </w:t>
      </w:r>
      <w:r>
        <w:t>estas</w:t>
      </w:r>
      <w:r>
        <w:rPr>
          <w:spacing w:val="15"/>
        </w:rPr>
        <w:t xml:space="preserve"> </w:t>
      </w:r>
      <w:r>
        <w:t>cuestiones,</w:t>
      </w:r>
      <w:r>
        <w:rPr>
          <w:spacing w:val="15"/>
        </w:rPr>
        <w:t xml:space="preserve"> </w:t>
      </w:r>
      <w:r>
        <w:t>se</w:t>
      </w:r>
      <w:r>
        <w:rPr>
          <w:spacing w:val="15"/>
        </w:rPr>
        <w:t xml:space="preserve"> </w:t>
      </w:r>
      <w:r>
        <w:t>aplicarán</w:t>
      </w:r>
      <w:r>
        <w:rPr>
          <w:spacing w:val="15"/>
        </w:rPr>
        <w:t xml:space="preserve"> </w:t>
      </w:r>
      <w:r>
        <w:t xml:space="preserve">las normas </w:t>
      </w:r>
      <w:r>
        <w:rPr>
          <w:spacing w:val="-2"/>
        </w:rPr>
        <w:t>sobre</w:t>
      </w:r>
    </w:p>
    <w:p w:rsidR="00D32C5B" w:rsidRDefault="00D32C5B">
      <w:pPr>
        <w:spacing w:line="360" w:lineRule="auto"/>
        <w:jc w:val="both"/>
        <w:sectPr w:rsidR="00D32C5B">
          <w:pgSz w:w="11920" w:h="16840"/>
          <w:pgMar w:top="1360" w:right="1060" w:bottom="280" w:left="1340" w:header="720" w:footer="720" w:gutter="0"/>
          <w:cols w:space="720"/>
        </w:sectPr>
      </w:pPr>
    </w:p>
    <w:p w:rsidR="00D32C5B" w:rsidRDefault="00883432">
      <w:pPr>
        <w:pStyle w:val="Textoindependiente"/>
        <w:spacing w:before="80" w:line="360" w:lineRule="auto"/>
        <w:ind w:left="100" w:right="392"/>
        <w:jc w:val="both"/>
      </w:pPr>
      <w:proofErr w:type="gramStart"/>
      <w:r>
        <w:lastRenderedPageBreak/>
        <w:t>las</w:t>
      </w:r>
      <w:proofErr w:type="gramEnd"/>
      <w:r>
        <w:t xml:space="preserve"> apelaciones</w:t>
      </w:r>
      <w:r>
        <w:rPr>
          <w:spacing w:val="-3"/>
        </w:rPr>
        <w:t xml:space="preserve"> </w:t>
      </w:r>
      <w:r>
        <w:t>de</w:t>
      </w:r>
      <w:r>
        <w:rPr>
          <w:spacing w:val="-3"/>
        </w:rPr>
        <w:t xml:space="preserve"> </w:t>
      </w:r>
      <w:r>
        <w:t>los</w:t>
      </w:r>
      <w:r>
        <w:rPr>
          <w:spacing w:val="-3"/>
        </w:rPr>
        <w:t xml:space="preserve"> </w:t>
      </w:r>
      <w:r>
        <w:t>incidentes</w:t>
      </w:r>
      <w:r>
        <w:rPr>
          <w:spacing w:val="-3"/>
        </w:rPr>
        <w:t xml:space="preserve"> </w:t>
      </w:r>
      <w:r>
        <w:t>en</w:t>
      </w:r>
      <w:r>
        <w:rPr>
          <w:spacing w:val="-3"/>
        </w:rPr>
        <w:t xml:space="preserve"> </w:t>
      </w:r>
      <w:r>
        <w:t>materia</w:t>
      </w:r>
      <w:r>
        <w:rPr>
          <w:spacing w:val="-3"/>
        </w:rPr>
        <w:t xml:space="preserve"> </w:t>
      </w:r>
      <w:r>
        <w:t>civil,</w:t>
      </w:r>
      <w:r>
        <w:rPr>
          <w:spacing w:val="-3"/>
        </w:rPr>
        <w:t xml:space="preserve"> </w:t>
      </w:r>
      <w:r>
        <w:t>con</w:t>
      </w:r>
      <w:r>
        <w:rPr>
          <w:spacing w:val="-3"/>
        </w:rPr>
        <w:t xml:space="preserve"> </w:t>
      </w:r>
      <w:r>
        <w:t>preferencia</w:t>
      </w:r>
      <w:r>
        <w:rPr>
          <w:spacing w:val="-3"/>
        </w:rPr>
        <w:t xml:space="preserve"> </w:t>
      </w:r>
      <w:r>
        <w:t>para</w:t>
      </w:r>
      <w:r>
        <w:rPr>
          <w:spacing w:val="-3"/>
        </w:rPr>
        <w:t xml:space="preserve"> </w:t>
      </w:r>
      <w:r>
        <w:t>su</w:t>
      </w:r>
      <w:r>
        <w:rPr>
          <w:spacing w:val="-3"/>
        </w:rPr>
        <w:t xml:space="preserve"> </w:t>
      </w:r>
      <w:r>
        <w:t>vist</w:t>
      </w:r>
      <w:r>
        <w:t>a</w:t>
      </w:r>
      <w:r>
        <w:rPr>
          <w:spacing w:val="-3"/>
        </w:rPr>
        <w:t xml:space="preserve"> </w:t>
      </w:r>
      <w:r>
        <w:t>y</w:t>
      </w:r>
      <w:r>
        <w:rPr>
          <w:spacing w:val="-3"/>
        </w:rPr>
        <w:t xml:space="preserve"> </w:t>
      </w:r>
      <w:r>
        <w:t>fallo. Respecto de la resolución</w:t>
      </w:r>
      <w:r>
        <w:rPr>
          <w:spacing w:val="-3"/>
        </w:rPr>
        <w:t xml:space="preserve"> </w:t>
      </w:r>
      <w:r>
        <w:t>que</w:t>
      </w:r>
      <w:r>
        <w:rPr>
          <w:spacing w:val="-3"/>
        </w:rPr>
        <w:t xml:space="preserve"> </w:t>
      </w:r>
      <w:r>
        <w:t>falle</w:t>
      </w:r>
      <w:r>
        <w:rPr>
          <w:spacing w:val="-3"/>
        </w:rPr>
        <w:t xml:space="preserve"> </w:t>
      </w:r>
      <w:r>
        <w:t>este</w:t>
      </w:r>
      <w:r>
        <w:rPr>
          <w:spacing w:val="-3"/>
        </w:rPr>
        <w:t xml:space="preserve"> </w:t>
      </w:r>
      <w:r>
        <w:t>asunto,</w:t>
      </w:r>
      <w:r>
        <w:rPr>
          <w:spacing w:val="-3"/>
        </w:rPr>
        <w:t xml:space="preserve"> </w:t>
      </w:r>
      <w:r>
        <w:t>no</w:t>
      </w:r>
      <w:r>
        <w:rPr>
          <w:spacing w:val="-3"/>
        </w:rPr>
        <w:t xml:space="preserve"> </w:t>
      </w:r>
      <w:r>
        <w:t>procederán</w:t>
      </w:r>
      <w:r>
        <w:rPr>
          <w:spacing w:val="-3"/>
        </w:rPr>
        <w:t xml:space="preserve"> </w:t>
      </w:r>
      <w:r>
        <w:t>recursos</w:t>
      </w:r>
      <w:r>
        <w:rPr>
          <w:spacing w:val="-3"/>
        </w:rPr>
        <w:t xml:space="preserve"> </w:t>
      </w:r>
      <w:r>
        <w:t>ulteriores.</w:t>
      </w:r>
      <w:r>
        <w:rPr>
          <w:spacing w:val="-3"/>
        </w:rPr>
        <w:t xml:space="preserve"> </w:t>
      </w:r>
      <w:r>
        <w:t>La interposición de la reclamación suspenderá la aplicación de la sanción impuesta</w:t>
      </w:r>
      <w:r>
        <w:rPr>
          <w:spacing w:val="-2"/>
        </w:rPr>
        <w:t xml:space="preserve"> </w:t>
      </w:r>
      <w:r>
        <w:t>por la resolución recurrida.</w:t>
      </w:r>
    </w:p>
    <w:p w:rsidR="00D32C5B" w:rsidRDefault="00D32C5B">
      <w:pPr>
        <w:pStyle w:val="Textoindependiente"/>
        <w:rPr>
          <w:sz w:val="36"/>
        </w:rPr>
      </w:pPr>
    </w:p>
    <w:p w:rsidR="00D32C5B" w:rsidRDefault="00883432">
      <w:pPr>
        <w:pStyle w:val="Textoindependiente"/>
        <w:spacing w:line="360" w:lineRule="auto"/>
        <w:ind w:left="100" w:right="397"/>
        <w:jc w:val="both"/>
      </w:pPr>
      <w:r>
        <w:t>Las personas naturales o jurídicas que constituyan vínculos laborales o reciban prestación de servicios, sea de forma gratuita o remunerada, con quienes se encuentren afectos a las prohibiciones de los artículos 56 bis y 56 ter serán sancionadas por la ent</w:t>
      </w:r>
      <w:r>
        <w:t>idad fiscalizadora respectiva con multa a beneficio fiscal de hasta 5.000 unidades tributarias mensuales. La multa que se aplique en definitiva a las entidades privadas deberá ser proporcional al tamaño de la empresa en los términos de la ley N° 20.416.</w:t>
      </w:r>
    </w:p>
    <w:p w:rsidR="00D32C5B" w:rsidRDefault="00D32C5B">
      <w:pPr>
        <w:pStyle w:val="Textoindependiente"/>
        <w:rPr>
          <w:sz w:val="36"/>
        </w:rPr>
      </w:pPr>
    </w:p>
    <w:p w:rsidR="00D32C5B" w:rsidRDefault="00883432">
      <w:pPr>
        <w:pStyle w:val="Textoindependiente"/>
        <w:spacing w:line="360" w:lineRule="auto"/>
        <w:ind w:left="100" w:right="401"/>
        <w:jc w:val="both"/>
      </w:pPr>
      <w:r>
        <w:t>L</w:t>
      </w:r>
      <w:r>
        <w:t>a responsabilidad por las infracciones de que trata este artículo</w:t>
      </w:r>
      <w:r>
        <w:rPr>
          <w:spacing w:val="-3"/>
        </w:rPr>
        <w:t xml:space="preserve"> </w:t>
      </w:r>
      <w:r>
        <w:t>prescribirá</w:t>
      </w:r>
      <w:r>
        <w:rPr>
          <w:spacing w:val="-3"/>
        </w:rPr>
        <w:t xml:space="preserve"> </w:t>
      </w:r>
      <w:r>
        <w:t>una</w:t>
      </w:r>
      <w:r>
        <w:rPr>
          <w:spacing w:val="-3"/>
        </w:rPr>
        <w:t xml:space="preserve"> </w:t>
      </w:r>
      <w:r>
        <w:t>vez transcurridos 3 años desde su comisión.”.</w:t>
      </w:r>
    </w:p>
    <w:sectPr w:rsidR="00D32C5B">
      <w:pgSz w:w="11920" w:h="16840"/>
      <w:pgMar w:top="1360" w:right="10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7285B"/>
    <w:multiLevelType w:val="hybridMultilevel"/>
    <w:tmpl w:val="E37224D2"/>
    <w:lvl w:ilvl="0" w:tplc="087CE9C2">
      <w:start w:val="1"/>
      <w:numFmt w:val="decimal"/>
      <w:lvlText w:val="%1)"/>
      <w:lvlJc w:val="left"/>
      <w:pPr>
        <w:ind w:left="351" w:hanging="252"/>
        <w:jc w:val="left"/>
      </w:pPr>
      <w:rPr>
        <w:rFonts w:ascii="Georgia" w:eastAsia="Georgia" w:hAnsi="Georgia" w:cs="Georgia" w:hint="default"/>
        <w:b w:val="0"/>
        <w:bCs w:val="0"/>
        <w:i w:val="0"/>
        <w:iCs w:val="0"/>
        <w:w w:val="100"/>
        <w:sz w:val="24"/>
        <w:szCs w:val="24"/>
        <w:lang w:val="es-ES" w:eastAsia="en-US" w:bidi="ar-SA"/>
      </w:rPr>
    </w:lvl>
    <w:lvl w:ilvl="1" w:tplc="742ACBF0">
      <w:numFmt w:val="bullet"/>
      <w:lvlText w:val="•"/>
      <w:lvlJc w:val="left"/>
      <w:pPr>
        <w:ind w:left="1276" w:hanging="252"/>
      </w:pPr>
      <w:rPr>
        <w:rFonts w:hint="default"/>
        <w:lang w:val="es-ES" w:eastAsia="en-US" w:bidi="ar-SA"/>
      </w:rPr>
    </w:lvl>
    <w:lvl w:ilvl="2" w:tplc="7460FD26">
      <w:numFmt w:val="bullet"/>
      <w:lvlText w:val="•"/>
      <w:lvlJc w:val="left"/>
      <w:pPr>
        <w:ind w:left="2192" w:hanging="252"/>
      </w:pPr>
      <w:rPr>
        <w:rFonts w:hint="default"/>
        <w:lang w:val="es-ES" w:eastAsia="en-US" w:bidi="ar-SA"/>
      </w:rPr>
    </w:lvl>
    <w:lvl w:ilvl="3" w:tplc="651A15B4">
      <w:numFmt w:val="bullet"/>
      <w:lvlText w:val="•"/>
      <w:lvlJc w:val="left"/>
      <w:pPr>
        <w:ind w:left="3108" w:hanging="252"/>
      </w:pPr>
      <w:rPr>
        <w:rFonts w:hint="default"/>
        <w:lang w:val="es-ES" w:eastAsia="en-US" w:bidi="ar-SA"/>
      </w:rPr>
    </w:lvl>
    <w:lvl w:ilvl="4" w:tplc="DEE0E5D8">
      <w:numFmt w:val="bullet"/>
      <w:lvlText w:val="•"/>
      <w:lvlJc w:val="left"/>
      <w:pPr>
        <w:ind w:left="4024" w:hanging="252"/>
      </w:pPr>
      <w:rPr>
        <w:rFonts w:hint="default"/>
        <w:lang w:val="es-ES" w:eastAsia="en-US" w:bidi="ar-SA"/>
      </w:rPr>
    </w:lvl>
    <w:lvl w:ilvl="5" w:tplc="368C14EA">
      <w:numFmt w:val="bullet"/>
      <w:lvlText w:val="•"/>
      <w:lvlJc w:val="left"/>
      <w:pPr>
        <w:ind w:left="4940" w:hanging="252"/>
      </w:pPr>
      <w:rPr>
        <w:rFonts w:hint="default"/>
        <w:lang w:val="es-ES" w:eastAsia="en-US" w:bidi="ar-SA"/>
      </w:rPr>
    </w:lvl>
    <w:lvl w:ilvl="6" w:tplc="983E05C0">
      <w:numFmt w:val="bullet"/>
      <w:lvlText w:val="•"/>
      <w:lvlJc w:val="left"/>
      <w:pPr>
        <w:ind w:left="5856" w:hanging="252"/>
      </w:pPr>
      <w:rPr>
        <w:rFonts w:hint="default"/>
        <w:lang w:val="es-ES" w:eastAsia="en-US" w:bidi="ar-SA"/>
      </w:rPr>
    </w:lvl>
    <w:lvl w:ilvl="7" w:tplc="E8102EB4">
      <w:numFmt w:val="bullet"/>
      <w:lvlText w:val="•"/>
      <w:lvlJc w:val="left"/>
      <w:pPr>
        <w:ind w:left="6772" w:hanging="252"/>
      </w:pPr>
      <w:rPr>
        <w:rFonts w:hint="default"/>
        <w:lang w:val="es-ES" w:eastAsia="en-US" w:bidi="ar-SA"/>
      </w:rPr>
    </w:lvl>
    <w:lvl w:ilvl="8" w:tplc="2B969660">
      <w:numFmt w:val="bullet"/>
      <w:lvlText w:val="•"/>
      <w:lvlJc w:val="left"/>
      <w:pPr>
        <w:ind w:left="7688" w:hanging="25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32C5B"/>
    <w:rsid w:val="00883432"/>
    <w:rsid w:val="00D32C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64C4538-B5C1-42D3-8232-35AB2A35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es-ES"/>
    </w:rPr>
  </w:style>
  <w:style w:type="paragraph" w:styleId="Ttulo1">
    <w:name w:val="heading 1"/>
    <w:basedOn w:val="Normal"/>
    <w:uiPriority w:val="1"/>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1"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btienearchivo.bcn.cl/obtienearchivo?id=repositorio/10221/29306/1/BCN_puerta_giratoria_experiencia_extranjera_2019__Rev_.pdf" TargetMode="External"/><Relationship Id="rId3" Type="http://schemas.openxmlformats.org/officeDocument/2006/relationships/settings" Target="settings.xml"/><Relationship Id="rId7" Type="http://schemas.openxmlformats.org/officeDocument/2006/relationships/hyperlink" Target="https://obtienearchivo.bcn.cl/obtienearchivo?id=repositorio/10221/29306/1/BCN_puerta_giratoria_experiencia_extranjera_2019__Rev_.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2011</Words>
  <Characters>11064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Conflicto de Intereses Post Empleo</dc:title>
  <dc:creator>Leonardo Lueiza Ureta</dc:creator>
  <cp:lastModifiedBy>Leonardo Lueiza Ureta</cp:lastModifiedBy>
  <cp:revision>1</cp:revision>
  <dcterms:created xsi:type="dcterms:W3CDTF">2022-11-25T15:12:00Z</dcterms:created>
  <dcterms:modified xsi:type="dcterms:W3CDTF">2022-11-30T13:52:00Z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