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19" w:rsidRDefault="0027221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272219" w:rsidRDefault="00666E59">
      <w:pPr>
        <w:spacing w:before="224" w:line="360" w:lineRule="auto"/>
        <w:ind w:left="913" w:hanging="761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PRECISA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LEGITIMACIÓN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 ALCALDES PARA INTERPONER QUERELLAS CRIMINALES</w:t>
      </w:r>
    </w:p>
    <w:p w:rsidR="00272219" w:rsidRDefault="00272219">
      <w:pPr>
        <w:pStyle w:val="Textoindependiente"/>
        <w:spacing w:before="11"/>
        <w:rPr>
          <w:b/>
          <w:sz w:val="35"/>
        </w:rPr>
      </w:pPr>
    </w:p>
    <w:p w:rsidR="00272219" w:rsidRDefault="00666E59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pacing w:val="-2"/>
          <w:sz w:val="24"/>
        </w:rPr>
        <w:t>ANTECEDENTES.</w:t>
      </w:r>
    </w:p>
    <w:p w:rsidR="00272219" w:rsidRDefault="00272219">
      <w:pPr>
        <w:pStyle w:val="Textoindependiente"/>
        <w:rPr>
          <w:b/>
          <w:sz w:val="28"/>
        </w:rPr>
      </w:pPr>
    </w:p>
    <w:p w:rsidR="00272219" w:rsidRDefault="00666E59">
      <w:pPr>
        <w:pStyle w:val="Textoindependiente"/>
        <w:spacing w:before="235" w:line="360" w:lineRule="auto"/>
        <w:ind w:left="102" w:right="117" w:firstLine="359"/>
        <w:jc w:val="both"/>
      </w:pPr>
      <w:r>
        <w:t>Conforme lo preceptúa el artículo 118 de la Constitución Política de la República, las municipalidades son corporaciones autónomas de derecho público, con personalidad jurídica y patrimonio propio, cuya finalidad es satisfacer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necesidades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comunid</w:t>
      </w:r>
      <w:r>
        <w:t>ad</w:t>
      </w:r>
      <w:r>
        <w:rPr>
          <w:spacing w:val="-16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asegurar</w:t>
      </w:r>
      <w:r>
        <w:rPr>
          <w:spacing w:val="-16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participación en el progreso económico, social y cultural de la comuna.</w:t>
      </w:r>
    </w:p>
    <w:p w:rsidR="00272219" w:rsidRDefault="00272219">
      <w:pPr>
        <w:pStyle w:val="Textoindependiente"/>
        <w:spacing w:before="2"/>
        <w:rPr>
          <w:sz w:val="36"/>
        </w:rPr>
      </w:pPr>
    </w:p>
    <w:p w:rsidR="00272219" w:rsidRDefault="00666E59">
      <w:pPr>
        <w:pStyle w:val="Textoindependiente"/>
        <w:spacing w:line="360" w:lineRule="auto"/>
        <w:ind w:left="102" w:right="116" w:firstLine="359"/>
        <w:jc w:val="both"/>
      </w:pPr>
      <w:r>
        <w:t>Así, la Ley N°18.575 Orgánica Constitucional de Bases Generales de la Administración del Estado establece que la Administración del Estado estará constituida po</w:t>
      </w:r>
      <w:r>
        <w:t>r los Ministerios, las Intendencias, las Gobernaciones y</w:t>
      </w:r>
      <w:r>
        <w:rPr>
          <w:spacing w:val="-20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órganos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servicios</w:t>
      </w:r>
      <w:r>
        <w:rPr>
          <w:spacing w:val="-19"/>
        </w:rPr>
        <w:t xml:space="preserve"> </w:t>
      </w:r>
      <w:r>
        <w:t>públicos</w:t>
      </w:r>
      <w:r>
        <w:rPr>
          <w:spacing w:val="-20"/>
        </w:rPr>
        <w:t xml:space="preserve"> </w:t>
      </w:r>
      <w:r>
        <w:t>creados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cumplimiento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función administrativa, incluidos la Contraloría General de la República, el Banco Central, las Fuerzas Armadas y las Fuerzas de Orden y Seguridad Pública, los Gobiernos Regionales, las Municipalidades y las empresas públicas creadas por ley.</w:t>
      </w:r>
    </w:p>
    <w:p w:rsidR="00272219" w:rsidRDefault="00272219">
      <w:pPr>
        <w:pStyle w:val="Textoindependiente"/>
        <w:spacing w:before="10"/>
        <w:rPr>
          <w:sz w:val="35"/>
        </w:rPr>
      </w:pPr>
    </w:p>
    <w:p w:rsidR="00272219" w:rsidRDefault="00666E59">
      <w:pPr>
        <w:pStyle w:val="Textoindependiente"/>
        <w:spacing w:line="360" w:lineRule="auto"/>
        <w:ind w:left="102" w:right="119" w:firstLine="359"/>
        <w:jc w:val="both"/>
      </w:pPr>
      <w:r>
        <w:t xml:space="preserve">El artículo </w:t>
      </w:r>
      <w:r>
        <w:t xml:space="preserve">1º de la Ley N°18.695 Orgánica Constitucional de Municipalidades establece señala que la administración comunal, está constituida por el alcalde, que es su máxima autoridad, y por el concejo </w:t>
      </w:r>
      <w:r>
        <w:rPr>
          <w:spacing w:val="-2"/>
        </w:rPr>
        <w:t>municipal.</w:t>
      </w:r>
    </w:p>
    <w:p w:rsidR="00272219" w:rsidRDefault="00272219">
      <w:pPr>
        <w:pStyle w:val="Textoindependiente"/>
        <w:spacing w:before="2"/>
        <w:rPr>
          <w:sz w:val="36"/>
        </w:rPr>
      </w:pPr>
    </w:p>
    <w:p w:rsidR="00272219" w:rsidRDefault="00666E59">
      <w:pPr>
        <w:pStyle w:val="Textoindependiente"/>
        <w:spacing w:line="360" w:lineRule="auto"/>
        <w:ind w:left="102" w:right="120" w:firstLine="359"/>
        <w:jc w:val="both"/>
      </w:pPr>
      <w:r>
        <w:t>Entre las atribuciones que la Ley Orgánica Constituci</w:t>
      </w:r>
      <w:r>
        <w:t>onal de Municipalidades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encomienda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alcalde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encuentra,</w:t>
      </w:r>
      <w:r>
        <w:rPr>
          <w:spacing w:val="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literal</w:t>
      </w:r>
    </w:p>
    <w:p w:rsidR="00272219" w:rsidRDefault="00666E59">
      <w:pPr>
        <w:pStyle w:val="Textoindependiente"/>
        <w:spacing w:line="360" w:lineRule="auto"/>
        <w:ind w:left="102"/>
      </w:pPr>
      <w:r>
        <w:t>a)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63°,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representar</w:t>
      </w:r>
      <w:r>
        <w:rPr>
          <w:spacing w:val="40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extrajudicialmente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 xml:space="preserve">la </w:t>
      </w:r>
      <w:r>
        <w:rPr>
          <w:spacing w:val="-2"/>
        </w:rPr>
        <w:t>municipalidad</w:t>
      </w:r>
    </w:p>
    <w:p w:rsidR="00272219" w:rsidRDefault="00272219">
      <w:pPr>
        <w:pStyle w:val="Textoindependiente"/>
        <w:spacing w:before="11"/>
        <w:rPr>
          <w:sz w:val="35"/>
        </w:rPr>
      </w:pPr>
    </w:p>
    <w:p w:rsidR="00272219" w:rsidRDefault="00666E59">
      <w:pPr>
        <w:pStyle w:val="Textoindependiente"/>
        <w:spacing w:line="360" w:lineRule="auto"/>
        <w:ind w:left="102" w:right="120" w:firstLine="359"/>
        <w:jc w:val="both"/>
      </w:pPr>
      <w:r>
        <w:t>La Ley Nº 20.965 (D.O. 4 de noviembre de 2016) permitió a las municipalidades la adopción de medidas en el ámbito de la seguridad pública a nivel comunal; crear en la orgánica municipal la dirección de seguridad</w:t>
      </w:r>
      <w:r>
        <w:rPr>
          <w:spacing w:val="-10"/>
        </w:rPr>
        <w:t xml:space="preserve"> </w:t>
      </w:r>
      <w:r>
        <w:t>pública;</w:t>
      </w:r>
      <w:r>
        <w:rPr>
          <w:spacing w:val="-10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elaborar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comunal</w:t>
      </w:r>
      <w:r>
        <w:rPr>
          <w:spacing w:val="-10"/>
        </w:rPr>
        <w:t xml:space="preserve"> </w:t>
      </w:r>
      <w:r>
        <w:t>d</w:t>
      </w:r>
      <w:r>
        <w:t>e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pública, y</w:t>
      </w:r>
      <w:r>
        <w:rPr>
          <w:spacing w:val="40"/>
        </w:rPr>
        <w:t xml:space="preserve"> </w:t>
      </w:r>
      <w:r>
        <w:t>autorizar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existencia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Consejo</w:t>
      </w:r>
      <w:r>
        <w:rPr>
          <w:spacing w:val="40"/>
        </w:rPr>
        <w:t xml:space="preserve"> </w:t>
      </w:r>
      <w:r>
        <w:t>Comunal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Pública,</w:t>
      </w:r>
      <w:r>
        <w:rPr>
          <w:spacing w:val="40"/>
        </w:rPr>
        <w:t xml:space="preserve"> </w:t>
      </w:r>
      <w:r>
        <w:t>en</w:t>
      </w:r>
    </w:p>
    <w:p w:rsidR="00272219" w:rsidRDefault="00272219">
      <w:pPr>
        <w:spacing w:line="360" w:lineRule="auto"/>
        <w:jc w:val="both"/>
        <w:sectPr w:rsidR="00272219">
          <w:headerReference w:type="default" r:id="rId7"/>
          <w:footerReference w:type="default" r:id="rId8"/>
          <w:type w:val="continuous"/>
          <w:pgSz w:w="12250" w:h="19270"/>
          <w:pgMar w:top="2420" w:right="1580" w:bottom="1240" w:left="1600" w:header="824" w:footer="1046" w:gutter="0"/>
          <w:pgNumType w:start="1"/>
          <w:cols w:space="720"/>
        </w:sectPr>
      </w:pPr>
    </w:p>
    <w:p w:rsidR="00272219" w:rsidRDefault="00666E59">
      <w:pPr>
        <w:pStyle w:val="Textoindependiente"/>
        <w:spacing w:before="32" w:line="360" w:lineRule="auto"/>
        <w:ind w:left="102"/>
      </w:pPr>
      <w:r>
        <w:lastRenderedPageBreak/>
        <w:t>cuanto</w:t>
      </w:r>
      <w:r>
        <w:rPr>
          <w:spacing w:val="40"/>
        </w:rPr>
        <w:t xml:space="preserve"> </w:t>
      </w:r>
      <w:r>
        <w:t>órgano</w:t>
      </w:r>
      <w:r>
        <w:rPr>
          <w:spacing w:val="40"/>
        </w:rPr>
        <w:t xml:space="preserve"> </w:t>
      </w:r>
      <w:r>
        <w:t>consultivo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alcalde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pública</w:t>
      </w:r>
      <w:r>
        <w:rPr>
          <w:spacing w:val="80"/>
        </w:rPr>
        <w:t xml:space="preserve"> </w:t>
      </w:r>
      <w:r>
        <w:t>comunal y una instancia de coordinación interinstitucional a nivel local.</w:t>
      </w:r>
    </w:p>
    <w:p w:rsidR="00272219" w:rsidRDefault="00272219">
      <w:pPr>
        <w:pStyle w:val="Textoindependiente"/>
        <w:spacing w:before="11"/>
        <w:rPr>
          <w:sz w:val="35"/>
        </w:rPr>
      </w:pPr>
    </w:p>
    <w:p w:rsidR="00272219" w:rsidRDefault="00666E59">
      <w:pPr>
        <w:pStyle w:val="Textoindependiente"/>
        <w:spacing w:line="360" w:lineRule="auto"/>
        <w:ind w:left="102" w:right="115" w:firstLine="359"/>
        <w:jc w:val="both"/>
      </w:pPr>
      <w:r>
        <w:t>El Código Procesal Penal, en el artículo 111°, inciso final, establece que los</w:t>
      </w:r>
      <w:r>
        <w:rPr>
          <w:spacing w:val="-9"/>
        </w:rPr>
        <w:t xml:space="preserve"> </w:t>
      </w:r>
      <w:r>
        <w:t>órganos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públicos</w:t>
      </w:r>
      <w:r>
        <w:rPr>
          <w:spacing w:val="-9"/>
        </w:rPr>
        <w:t xml:space="preserve"> </w:t>
      </w:r>
      <w:r>
        <w:t>sólo</w:t>
      </w:r>
      <w:r>
        <w:rPr>
          <w:spacing w:val="-9"/>
        </w:rPr>
        <w:t xml:space="preserve"> </w:t>
      </w:r>
      <w:r>
        <w:t>podrán</w:t>
      </w:r>
      <w:r>
        <w:rPr>
          <w:spacing w:val="-9"/>
        </w:rPr>
        <w:t xml:space="preserve"> </w:t>
      </w:r>
      <w:r>
        <w:t>interponer</w:t>
      </w:r>
      <w:r>
        <w:rPr>
          <w:spacing w:val="-9"/>
        </w:rPr>
        <w:t xml:space="preserve"> </w:t>
      </w:r>
      <w:r>
        <w:t>querella</w:t>
      </w:r>
      <w:r>
        <w:rPr>
          <w:spacing w:val="-9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 xml:space="preserve">sus respectivas leyes orgánicas les otorguen expresamente las potestades </w:t>
      </w:r>
      <w:r>
        <w:rPr>
          <w:spacing w:val="-2"/>
        </w:rPr>
        <w:t>correspondientes.</w:t>
      </w:r>
    </w:p>
    <w:p w:rsidR="00272219" w:rsidRDefault="00272219">
      <w:pPr>
        <w:pStyle w:val="Textoindependiente"/>
        <w:rPr>
          <w:sz w:val="36"/>
        </w:rPr>
      </w:pPr>
    </w:p>
    <w:p w:rsidR="00272219" w:rsidRDefault="00666E59">
      <w:pPr>
        <w:pStyle w:val="Textoindependiente"/>
        <w:spacing w:line="360" w:lineRule="auto"/>
        <w:ind w:left="102" w:right="117" w:firstLine="359"/>
        <w:jc w:val="both"/>
      </w:pPr>
      <w:r>
        <w:t>Así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cosas,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falta</w:t>
      </w:r>
      <w:r>
        <w:rPr>
          <w:spacing w:val="-7"/>
        </w:rPr>
        <w:t xml:space="preserve"> </w:t>
      </w:r>
      <w:r>
        <w:t>sensible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7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mayores atribuciones de los municipios para combatir el delito y velar por la seguridad de sus vecinos que residen, trabajan e incluso transitan en su </w:t>
      </w:r>
      <w:r>
        <w:rPr>
          <w:spacing w:val="-2"/>
        </w:rPr>
        <w:t>territorio.</w:t>
      </w:r>
    </w:p>
    <w:p w:rsidR="00272219" w:rsidRDefault="00272219">
      <w:pPr>
        <w:pStyle w:val="Textoindependiente"/>
        <w:spacing w:before="1"/>
        <w:rPr>
          <w:sz w:val="36"/>
        </w:rPr>
      </w:pPr>
    </w:p>
    <w:p w:rsidR="00272219" w:rsidRDefault="00666E59">
      <w:pPr>
        <w:pStyle w:val="Textoindependiente"/>
        <w:spacing w:line="360" w:lineRule="auto"/>
        <w:ind w:left="102" w:right="115" w:firstLine="359"/>
        <w:jc w:val="both"/>
      </w:pPr>
      <w:r>
        <w:t>Una idea semejante fue abordada en el Boletín Nº 10.316-06, actualmente archivado en el H. S</w:t>
      </w:r>
      <w:r>
        <w:t>enado, de autoría de los entonces senadores García Huidobro, Guillier, Quinteros, Tuma y Ossandón.</w:t>
      </w:r>
    </w:p>
    <w:p w:rsidR="00272219" w:rsidRDefault="00272219">
      <w:pPr>
        <w:pStyle w:val="Textoindependiente"/>
        <w:rPr>
          <w:sz w:val="36"/>
        </w:rPr>
      </w:pPr>
    </w:p>
    <w:p w:rsidR="00272219" w:rsidRDefault="00666E59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MATRIZ.</w:t>
      </w:r>
    </w:p>
    <w:p w:rsidR="00272219" w:rsidRDefault="00272219">
      <w:pPr>
        <w:pStyle w:val="Textoindependiente"/>
        <w:rPr>
          <w:b/>
          <w:sz w:val="28"/>
        </w:rPr>
      </w:pPr>
    </w:p>
    <w:p w:rsidR="00272219" w:rsidRDefault="00666E59">
      <w:pPr>
        <w:pStyle w:val="Textoindependiente"/>
        <w:spacing w:before="234" w:line="360" w:lineRule="auto"/>
        <w:ind w:left="102" w:right="116" w:firstLine="359"/>
        <w:jc w:val="both"/>
      </w:pPr>
      <w:r>
        <w:t>El proyecto de ley, de artículo único, agrega un nuevo inciso final al artículo</w:t>
      </w:r>
      <w:r>
        <w:rPr>
          <w:spacing w:val="-8"/>
        </w:rPr>
        <w:t xml:space="preserve"> </w:t>
      </w:r>
      <w:r>
        <w:t>111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Procesal</w:t>
      </w:r>
      <w:r>
        <w:rPr>
          <w:spacing w:val="-8"/>
        </w:rPr>
        <w:t xml:space="preserve"> </w:t>
      </w:r>
      <w:r>
        <w:t>Penal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precisar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alcalde,</w:t>
      </w:r>
      <w:r>
        <w:rPr>
          <w:spacing w:val="-8"/>
        </w:rPr>
        <w:t xml:space="preserve"> </w:t>
      </w:r>
      <w:r>
        <w:t>máxima autoridad de la municipalidad, entidad encargada de satisfacer las necesidades de la comunidad local e integrante de la administración descentralizada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y,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tal,</w:t>
      </w:r>
      <w:r>
        <w:rPr>
          <w:spacing w:val="-6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obligada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a la población y a las familias, puede e</w:t>
      </w:r>
      <w:r>
        <w:t>n la representación judicial de la municipalidad querellarse por delitos perpetrados en sus comunas.</w:t>
      </w:r>
    </w:p>
    <w:p w:rsidR="00272219" w:rsidRDefault="00272219">
      <w:pPr>
        <w:pStyle w:val="Textoindependiente"/>
        <w:spacing w:before="2"/>
        <w:rPr>
          <w:sz w:val="36"/>
        </w:rPr>
      </w:pPr>
    </w:p>
    <w:p w:rsidR="00272219" w:rsidRDefault="00666E59">
      <w:pPr>
        <w:pStyle w:val="Textoindependiente"/>
        <w:spacing w:line="360" w:lineRule="auto"/>
        <w:ind w:left="102" w:right="119" w:firstLine="359"/>
        <w:jc w:val="both"/>
        <w:rPr>
          <w:sz w:val="16"/>
        </w:rPr>
      </w:pPr>
      <w:r>
        <w:t>Ello por considerar que esa legitimidad activa para intervenir en el procedimiento</w:t>
      </w:r>
      <w:r>
        <w:rPr>
          <w:spacing w:val="-13"/>
        </w:rPr>
        <w:t xml:space="preserve"> </w:t>
      </w:r>
      <w:r>
        <w:t>penal</w:t>
      </w:r>
      <w:r>
        <w:rPr>
          <w:spacing w:val="-13"/>
        </w:rPr>
        <w:t xml:space="preserve"> </w:t>
      </w:r>
      <w:r>
        <w:t>emana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defensa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interés</w:t>
      </w:r>
      <w:r>
        <w:rPr>
          <w:spacing w:val="-13"/>
        </w:rPr>
        <w:t xml:space="preserve"> </w:t>
      </w:r>
      <w:r>
        <w:t>colectivo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vecinos que repr</w:t>
      </w:r>
      <w:r>
        <w:t>esenta, ante crímenes o delitos que afecten la seguridad de sus comunas o a la población más vulnerable de la misma.</w:t>
      </w:r>
      <w:r>
        <w:rPr>
          <w:position w:val="6"/>
          <w:sz w:val="16"/>
        </w:rPr>
        <w:t>1</w:t>
      </w:r>
    </w:p>
    <w:p w:rsidR="00272219" w:rsidRDefault="00272219">
      <w:pPr>
        <w:pStyle w:val="Textoindependiente"/>
        <w:spacing w:before="11"/>
        <w:rPr>
          <w:sz w:val="35"/>
        </w:rPr>
      </w:pPr>
    </w:p>
    <w:p w:rsidR="00272219" w:rsidRDefault="00666E59">
      <w:pPr>
        <w:pStyle w:val="Textoindependiente"/>
        <w:spacing w:line="360" w:lineRule="auto"/>
        <w:ind w:left="102" w:firstLine="707"/>
      </w:pPr>
      <w:r>
        <w:rPr>
          <w:b/>
        </w:rPr>
        <w:t>POR</w:t>
      </w:r>
      <w:r>
        <w:rPr>
          <w:b/>
          <w:spacing w:val="40"/>
        </w:rPr>
        <w:t xml:space="preserve"> </w:t>
      </w:r>
      <w:r>
        <w:rPr>
          <w:b/>
        </w:rPr>
        <w:t>TANTO,</w:t>
      </w:r>
      <w:r>
        <w:rPr>
          <w:b/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virtud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nuestras</w:t>
      </w:r>
      <w:r>
        <w:rPr>
          <w:spacing w:val="40"/>
        </w:rPr>
        <w:t xml:space="preserve"> </w:t>
      </w:r>
      <w:r>
        <w:t>atribuciones</w:t>
      </w:r>
      <w:r>
        <w:rPr>
          <w:spacing w:val="40"/>
        </w:rPr>
        <w:t xml:space="preserve"> </w:t>
      </w:r>
      <w:r>
        <w:t>constitucionales venimos en proponer el siguiente:</w:t>
      </w:r>
    </w:p>
    <w:p w:rsidR="00272219" w:rsidRDefault="00272219">
      <w:pPr>
        <w:pStyle w:val="Textoindependiente"/>
        <w:rPr>
          <w:sz w:val="20"/>
        </w:rPr>
      </w:pPr>
    </w:p>
    <w:p w:rsidR="00272219" w:rsidRDefault="00666E59">
      <w:pPr>
        <w:pStyle w:val="Textoindependiente"/>
        <w:spacing w:before="4"/>
        <w:rPr>
          <w:sz w:val="14"/>
        </w:rPr>
      </w:pPr>
      <w:r>
        <w:pict>
          <v:rect id="docshape2" o:spid="_x0000_s1026" style="position:absolute;margin-left:85.1pt;margin-top:9.6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72219" w:rsidRDefault="00666E59">
      <w:pPr>
        <w:spacing w:before="104"/>
        <w:ind w:left="102"/>
        <w:rPr>
          <w:sz w:val="20"/>
        </w:rPr>
      </w:pPr>
      <w:r>
        <w:rPr>
          <w:position w:val="5"/>
          <w:sz w:val="13"/>
        </w:rPr>
        <w:t>1</w:t>
      </w:r>
      <w:r>
        <w:rPr>
          <w:spacing w:val="33"/>
          <w:position w:val="5"/>
          <w:sz w:val="13"/>
        </w:rPr>
        <w:t xml:space="preserve"> </w:t>
      </w:r>
      <w:r>
        <w:rPr>
          <w:sz w:val="20"/>
        </w:rPr>
        <w:t>“Derecho</w:t>
      </w:r>
      <w:r>
        <w:rPr>
          <w:spacing w:val="-16"/>
          <w:sz w:val="20"/>
        </w:rPr>
        <w:t xml:space="preserve"> </w:t>
      </w:r>
      <w:r>
        <w:rPr>
          <w:sz w:val="20"/>
        </w:rPr>
        <w:t>Procesal</w:t>
      </w:r>
      <w:r>
        <w:rPr>
          <w:spacing w:val="-16"/>
          <w:sz w:val="20"/>
        </w:rPr>
        <w:t xml:space="preserve"> </w:t>
      </w:r>
      <w:r>
        <w:rPr>
          <w:sz w:val="20"/>
        </w:rPr>
        <w:t>Penal</w:t>
      </w:r>
      <w:r>
        <w:rPr>
          <w:spacing w:val="-16"/>
          <w:sz w:val="20"/>
        </w:rPr>
        <w:t xml:space="preserve"> </w:t>
      </w:r>
      <w:r>
        <w:rPr>
          <w:sz w:val="20"/>
        </w:rPr>
        <w:t>Chileno”</w:t>
      </w:r>
      <w:r>
        <w:rPr>
          <w:spacing w:val="-16"/>
          <w:sz w:val="20"/>
        </w:rPr>
        <w:t xml:space="preserve"> </w:t>
      </w:r>
      <w:r>
        <w:rPr>
          <w:sz w:val="20"/>
        </w:rPr>
        <w:t>HORVITZ</w:t>
      </w:r>
      <w:r>
        <w:rPr>
          <w:spacing w:val="-16"/>
          <w:sz w:val="20"/>
        </w:rPr>
        <w:t xml:space="preserve"> </w:t>
      </w:r>
      <w:r>
        <w:rPr>
          <w:sz w:val="20"/>
        </w:rPr>
        <w:t>María</w:t>
      </w:r>
      <w:r>
        <w:rPr>
          <w:spacing w:val="-16"/>
          <w:sz w:val="20"/>
        </w:rPr>
        <w:t xml:space="preserve"> </w:t>
      </w:r>
      <w:r>
        <w:rPr>
          <w:sz w:val="20"/>
        </w:rPr>
        <w:t>Inés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LÓPEZ</w:t>
      </w:r>
      <w:r>
        <w:rPr>
          <w:spacing w:val="-16"/>
          <w:sz w:val="20"/>
        </w:rPr>
        <w:t xml:space="preserve"> </w:t>
      </w:r>
      <w:r>
        <w:rPr>
          <w:sz w:val="20"/>
        </w:rPr>
        <w:t>Julián,</w:t>
      </w:r>
      <w:r>
        <w:rPr>
          <w:spacing w:val="-16"/>
          <w:sz w:val="20"/>
        </w:rPr>
        <w:t xml:space="preserve"> </w:t>
      </w:r>
      <w:r>
        <w:rPr>
          <w:sz w:val="20"/>
        </w:rPr>
        <w:t>“Derecho</w:t>
      </w:r>
      <w:r>
        <w:rPr>
          <w:spacing w:val="-16"/>
          <w:sz w:val="20"/>
        </w:rPr>
        <w:t xml:space="preserve"> </w:t>
      </w:r>
      <w:r>
        <w:rPr>
          <w:sz w:val="20"/>
        </w:rPr>
        <w:t>Procesal Penal” Editorial Jurídica de Chile, Santiago de Chile (2003) pág. 305.</w:t>
      </w:r>
    </w:p>
    <w:p w:rsidR="00272219" w:rsidRDefault="00272219">
      <w:pPr>
        <w:rPr>
          <w:sz w:val="20"/>
        </w:rPr>
        <w:sectPr w:rsidR="00272219">
          <w:pgSz w:w="12250" w:h="19270"/>
          <w:pgMar w:top="2420" w:right="1580" w:bottom="1240" w:left="1600" w:header="824" w:footer="1046" w:gutter="0"/>
          <w:cols w:space="720"/>
        </w:sectPr>
      </w:pPr>
    </w:p>
    <w:p w:rsidR="00272219" w:rsidRDefault="00272219">
      <w:pPr>
        <w:pStyle w:val="Textoindependiente"/>
        <w:rPr>
          <w:sz w:val="20"/>
        </w:rPr>
      </w:pPr>
    </w:p>
    <w:p w:rsidR="00272219" w:rsidRDefault="00666E59">
      <w:pPr>
        <w:spacing w:before="219" w:line="360" w:lineRule="auto"/>
        <w:ind w:left="154" w:right="172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PRECISA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LEGITIMACIÓN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 ALCALDES PARA INTERPONER QUERELLAS CRIMINALES</w:t>
      </w:r>
    </w:p>
    <w:p w:rsidR="00272219" w:rsidRDefault="00272219">
      <w:pPr>
        <w:pStyle w:val="Textoindependiente"/>
        <w:rPr>
          <w:b/>
          <w:sz w:val="36"/>
        </w:rPr>
      </w:pPr>
    </w:p>
    <w:p w:rsidR="00272219" w:rsidRDefault="00666E59">
      <w:pPr>
        <w:pStyle w:val="Textoindependiente"/>
        <w:spacing w:line="360" w:lineRule="auto"/>
        <w:ind w:left="102" w:firstLine="707"/>
      </w:pPr>
      <w:r>
        <w:t>Para</w:t>
      </w:r>
      <w:r>
        <w:rPr>
          <w:spacing w:val="-5"/>
        </w:rPr>
        <w:t xml:space="preserve"> </w:t>
      </w:r>
      <w:r>
        <w:t>agr</w:t>
      </w:r>
      <w:r>
        <w:t>egar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nuevo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111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Procesal Penal, del siguiente tenor:</w:t>
      </w:r>
    </w:p>
    <w:p w:rsidR="00272219" w:rsidRDefault="00272219">
      <w:pPr>
        <w:pStyle w:val="Textoindependiente"/>
        <w:rPr>
          <w:sz w:val="36"/>
        </w:rPr>
      </w:pPr>
    </w:p>
    <w:p w:rsidR="00272219" w:rsidRDefault="00666E59">
      <w:pPr>
        <w:pStyle w:val="Textoindependiente"/>
        <w:spacing w:line="360" w:lineRule="auto"/>
        <w:ind w:left="102" w:firstLine="707"/>
      </w:pPr>
      <w:r>
        <w:t>“Las</w:t>
      </w:r>
      <w:r>
        <w:rPr>
          <w:spacing w:val="-7"/>
        </w:rPr>
        <w:t xml:space="preserve"> </w:t>
      </w:r>
      <w:r>
        <w:t>municipalidades,</w:t>
      </w:r>
      <w:r>
        <w:rPr>
          <w:spacing w:val="-7"/>
        </w:rPr>
        <w:t xml:space="preserve"> </w:t>
      </w:r>
      <w:r>
        <w:t>sosteniendo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interés</w:t>
      </w:r>
      <w:r>
        <w:rPr>
          <w:spacing w:val="-7"/>
        </w:rPr>
        <w:t xml:space="preserve"> </w:t>
      </w:r>
      <w:r>
        <w:t>colectivo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vecinos, podrán querellarse por los hechos perpetrados en sus comunas”</w:t>
      </w:r>
    </w:p>
    <w:p w:rsidR="00272219" w:rsidRDefault="00272219">
      <w:pPr>
        <w:pStyle w:val="Textoindependiente"/>
        <w:rPr>
          <w:sz w:val="28"/>
        </w:rPr>
      </w:pPr>
    </w:p>
    <w:p w:rsidR="00272219" w:rsidRDefault="00272219">
      <w:pPr>
        <w:pStyle w:val="Textoindependiente"/>
        <w:rPr>
          <w:sz w:val="28"/>
        </w:rPr>
      </w:pPr>
    </w:p>
    <w:p w:rsidR="00272219" w:rsidRDefault="00272219">
      <w:pPr>
        <w:pStyle w:val="Textoindependiente"/>
        <w:rPr>
          <w:sz w:val="28"/>
        </w:rPr>
      </w:pPr>
    </w:p>
    <w:p w:rsidR="00272219" w:rsidRDefault="00272219">
      <w:pPr>
        <w:pStyle w:val="Textoindependiente"/>
        <w:rPr>
          <w:sz w:val="28"/>
        </w:rPr>
      </w:pPr>
    </w:p>
    <w:p w:rsidR="00272219" w:rsidRDefault="00272219">
      <w:pPr>
        <w:pStyle w:val="Textoindependiente"/>
        <w:spacing w:before="1"/>
        <w:rPr>
          <w:sz w:val="32"/>
        </w:rPr>
      </w:pPr>
    </w:p>
    <w:p w:rsidR="00272219" w:rsidRDefault="00666E59">
      <w:pPr>
        <w:ind w:left="154" w:right="172"/>
        <w:jc w:val="center"/>
        <w:rPr>
          <w:b/>
          <w:sz w:val="24"/>
        </w:rPr>
      </w:pPr>
      <w:r>
        <w:rPr>
          <w:b/>
          <w:sz w:val="24"/>
        </w:rPr>
        <w:t>AGUSTÍN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ROMERO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LEIVA</w:t>
      </w:r>
    </w:p>
    <w:p w:rsidR="00272219" w:rsidRDefault="00666E59">
      <w:pPr>
        <w:spacing w:before="141"/>
        <w:ind w:left="247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272219">
      <w:pgSz w:w="12250" w:h="19270"/>
      <w:pgMar w:top="2420" w:right="1580" w:bottom="1240" w:left="1600" w:header="824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59" w:rsidRDefault="00666E59">
      <w:r>
        <w:separator/>
      </w:r>
    </w:p>
  </w:endnote>
  <w:endnote w:type="continuationSeparator" w:id="0">
    <w:p w:rsidR="00666E59" w:rsidRDefault="0066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19" w:rsidRDefault="00666E5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55pt;margin-top:900.1pt;width:67.15pt;height:14pt;z-index:-251658240;mso-position-horizontal-relative:page;mso-position-vertical-relative:page" filled="f" stroked="f">
          <v:textbox inset="0,0,0,0">
            <w:txbxContent>
              <w:p w:rsidR="00272219" w:rsidRDefault="00666E59">
                <w:pPr>
                  <w:pStyle w:val="Textoindependiente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0A43EF">
                  <w:rPr>
                    <w:rFonts w:ascii="Calibri" w:hAnsi="Calibri"/>
                    <w:noProof/>
                  </w:rPr>
                  <w:t>1</w:t>
                </w:r>
                <w:r>
                  <w:rPr>
                    <w:rFonts w:ascii="Calibri" w:hAnsi="Calibri"/>
                  </w:rPr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spacing w:val="-10"/>
                  </w:rPr>
                  <w:fldChar w:fldCharType="separate"/>
                </w:r>
                <w:r w:rsidR="000A43EF">
                  <w:rPr>
                    <w:rFonts w:ascii="Calibri" w:hAnsi="Calibri"/>
                    <w:noProof/>
                    <w:spacing w:val="-10"/>
                  </w:rPr>
                  <w:t>3</w:t>
                </w:r>
                <w:r>
                  <w:rPr>
                    <w:rFonts w:ascii="Calibri" w:hAns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59" w:rsidRDefault="00666E59">
      <w:r>
        <w:separator/>
      </w:r>
    </w:p>
  </w:footnote>
  <w:footnote w:type="continuationSeparator" w:id="0">
    <w:p w:rsidR="00666E59" w:rsidRDefault="0066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19" w:rsidRDefault="00666E5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523375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7B82"/>
    <w:multiLevelType w:val="hybridMultilevel"/>
    <w:tmpl w:val="0FB872E2"/>
    <w:lvl w:ilvl="0" w:tplc="D7542D56">
      <w:start w:val="1"/>
      <w:numFmt w:val="upperRoman"/>
      <w:lvlText w:val="%1."/>
      <w:lvlJc w:val="left"/>
      <w:pPr>
        <w:ind w:left="1182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C032DA42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C11277BA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8B801016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77DEEB1E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8EBC4B16">
      <w:numFmt w:val="bullet"/>
      <w:lvlText w:val="•"/>
      <w:lvlJc w:val="left"/>
      <w:pPr>
        <w:ind w:left="5121" w:hanging="720"/>
      </w:pPr>
      <w:rPr>
        <w:rFonts w:hint="default"/>
        <w:lang w:val="es-ES" w:eastAsia="en-US" w:bidi="ar-SA"/>
      </w:rPr>
    </w:lvl>
    <w:lvl w:ilvl="6" w:tplc="E6D2C8C0">
      <w:numFmt w:val="bullet"/>
      <w:lvlText w:val="•"/>
      <w:lvlJc w:val="left"/>
      <w:pPr>
        <w:ind w:left="5909" w:hanging="720"/>
      </w:pPr>
      <w:rPr>
        <w:rFonts w:hint="default"/>
        <w:lang w:val="es-ES" w:eastAsia="en-US" w:bidi="ar-SA"/>
      </w:rPr>
    </w:lvl>
    <w:lvl w:ilvl="7" w:tplc="03AA11BA">
      <w:numFmt w:val="bullet"/>
      <w:lvlText w:val="•"/>
      <w:lvlJc w:val="left"/>
      <w:pPr>
        <w:ind w:left="6697" w:hanging="720"/>
      </w:pPr>
      <w:rPr>
        <w:rFonts w:hint="default"/>
        <w:lang w:val="es-ES" w:eastAsia="en-US" w:bidi="ar-SA"/>
      </w:rPr>
    </w:lvl>
    <w:lvl w:ilvl="8" w:tplc="6E8ED674">
      <w:numFmt w:val="bullet"/>
      <w:lvlText w:val="•"/>
      <w:lvlJc w:val="left"/>
      <w:pPr>
        <w:ind w:left="7485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2219"/>
    <w:rsid w:val="000A43EF"/>
    <w:rsid w:val="00272219"/>
    <w:rsid w:val="006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CA196142-17AD-4BFC-8A77-7A6897A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2022-12-12T12:39:00Z</dcterms:created>
  <dcterms:modified xsi:type="dcterms:W3CDTF">2022-12-19T23:00:00Z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2022-12-12T00:00:00Z</vt:filetime>
  </property>
  <property fmtid="{D5CDD505-2E9C-101B-9397-08002B2CF9AE}" pid="5" name="Producer">
    <vt:lpwstr>Microsoft® Word LTSC</vt:lpwstr>
  </property>
</Properties>
</file>