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CCF" w:rsidRDefault="00842587">
      <w:pPr>
        <w:pStyle w:val="Puesto"/>
      </w:pPr>
      <w:bookmarkStart w:id="0" w:name="_GoBack"/>
      <w:bookmarkEnd w:id="0"/>
      <w:r>
        <w:rPr>
          <w:spacing w:val="-2"/>
        </w:rPr>
        <w:t>MOCIÓN</w:t>
      </w:r>
    </w:p>
    <w:p w:rsidR="00253CCF" w:rsidRDefault="00253CCF">
      <w:pPr>
        <w:pStyle w:val="Textoindependiente"/>
        <w:rPr>
          <w:b/>
          <w:sz w:val="30"/>
        </w:rPr>
      </w:pPr>
    </w:p>
    <w:p w:rsidR="00253CCF" w:rsidRDefault="00842587">
      <w:pPr>
        <w:spacing w:before="232" w:line="360" w:lineRule="auto"/>
        <w:ind w:left="124" w:right="143"/>
        <w:jc w:val="center"/>
        <w:rPr>
          <w:b/>
          <w:sz w:val="24"/>
        </w:rPr>
      </w:pPr>
      <w:r>
        <w:rPr>
          <w:b/>
          <w:sz w:val="24"/>
        </w:rPr>
        <w:t>Modifica</w:t>
      </w:r>
      <w:r>
        <w:rPr>
          <w:b/>
          <w:spacing w:val="-3"/>
          <w:sz w:val="24"/>
        </w:rPr>
        <w:t xml:space="preserve"> </w:t>
      </w:r>
      <w:r>
        <w:rPr>
          <w:b/>
          <w:sz w:val="24"/>
        </w:rPr>
        <w:t>la</w:t>
      </w:r>
      <w:r>
        <w:rPr>
          <w:b/>
          <w:spacing w:val="-5"/>
          <w:sz w:val="24"/>
        </w:rPr>
        <w:t xml:space="preserve"> </w:t>
      </w:r>
      <w:r>
        <w:rPr>
          <w:b/>
          <w:sz w:val="24"/>
        </w:rPr>
        <w:t>ley</w:t>
      </w:r>
      <w:r>
        <w:rPr>
          <w:b/>
          <w:spacing w:val="-5"/>
          <w:sz w:val="24"/>
        </w:rPr>
        <w:t xml:space="preserve"> </w:t>
      </w:r>
      <w:r>
        <w:rPr>
          <w:b/>
          <w:sz w:val="24"/>
        </w:rPr>
        <w:t>N°</w:t>
      </w:r>
      <w:r>
        <w:rPr>
          <w:b/>
          <w:spacing w:val="-3"/>
          <w:sz w:val="24"/>
        </w:rPr>
        <w:t xml:space="preserve"> </w:t>
      </w:r>
      <w:r>
        <w:rPr>
          <w:b/>
          <w:sz w:val="24"/>
        </w:rPr>
        <w:t>19.968,</w:t>
      </w:r>
      <w:r>
        <w:rPr>
          <w:b/>
          <w:spacing w:val="-2"/>
          <w:sz w:val="24"/>
        </w:rPr>
        <w:t xml:space="preserve"> </w:t>
      </w:r>
      <w:r>
        <w:rPr>
          <w:b/>
          <w:sz w:val="24"/>
        </w:rPr>
        <w:t>que</w:t>
      </w:r>
      <w:r>
        <w:rPr>
          <w:b/>
          <w:spacing w:val="-2"/>
          <w:sz w:val="24"/>
        </w:rPr>
        <w:t xml:space="preserve"> </w:t>
      </w:r>
      <w:r>
        <w:rPr>
          <w:b/>
          <w:sz w:val="24"/>
        </w:rPr>
        <w:t>crea</w:t>
      </w:r>
      <w:r>
        <w:rPr>
          <w:b/>
          <w:spacing w:val="-4"/>
          <w:sz w:val="24"/>
        </w:rPr>
        <w:t xml:space="preserve"> </w:t>
      </w:r>
      <w:r>
        <w:rPr>
          <w:b/>
          <w:sz w:val="24"/>
        </w:rPr>
        <w:t>los</w:t>
      </w:r>
      <w:r>
        <w:rPr>
          <w:b/>
          <w:spacing w:val="-3"/>
          <w:sz w:val="24"/>
        </w:rPr>
        <w:t xml:space="preserve"> </w:t>
      </w:r>
      <w:r>
        <w:rPr>
          <w:b/>
          <w:sz w:val="24"/>
        </w:rPr>
        <w:t>Tribunales</w:t>
      </w:r>
      <w:r>
        <w:rPr>
          <w:b/>
          <w:spacing w:val="-2"/>
          <w:sz w:val="24"/>
        </w:rPr>
        <w:t xml:space="preserve"> </w:t>
      </w:r>
      <w:r>
        <w:rPr>
          <w:b/>
          <w:sz w:val="24"/>
        </w:rPr>
        <w:t>de</w:t>
      </w:r>
      <w:r>
        <w:rPr>
          <w:b/>
          <w:spacing w:val="-2"/>
          <w:sz w:val="24"/>
        </w:rPr>
        <w:t xml:space="preserve"> </w:t>
      </w:r>
      <w:r>
        <w:rPr>
          <w:b/>
          <w:sz w:val="24"/>
        </w:rPr>
        <w:t>Familia,</w:t>
      </w:r>
      <w:r>
        <w:rPr>
          <w:b/>
          <w:spacing w:val="-2"/>
          <w:sz w:val="24"/>
        </w:rPr>
        <w:t xml:space="preserve"> </w:t>
      </w:r>
      <w:r>
        <w:rPr>
          <w:b/>
          <w:sz w:val="24"/>
        </w:rPr>
        <w:t>con</w:t>
      </w:r>
      <w:r>
        <w:rPr>
          <w:b/>
          <w:spacing w:val="-2"/>
          <w:sz w:val="24"/>
        </w:rPr>
        <w:t xml:space="preserve"> </w:t>
      </w:r>
      <w:r>
        <w:rPr>
          <w:b/>
          <w:sz w:val="24"/>
        </w:rPr>
        <w:t>el</w:t>
      </w:r>
      <w:r>
        <w:rPr>
          <w:b/>
          <w:spacing w:val="-2"/>
          <w:sz w:val="24"/>
        </w:rPr>
        <w:t xml:space="preserve"> </w:t>
      </w:r>
      <w:r>
        <w:rPr>
          <w:b/>
          <w:sz w:val="24"/>
        </w:rPr>
        <w:t>objeto</w:t>
      </w:r>
      <w:r>
        <w:rPr>
          <w:b/>
          <w:spacing w:val="-3"/>
          <w:sz w:val="24"/>
        </w:rPr>
        <w:t xml:space="preserve"> </w:t>
      </w:r>
      <w:r>
        <w:rPr>
          <w:b/>
          <w:sz w:val="24"/>
        </w:rPr>
        <w:t xml:space="preserve">de ampliar la potestad cautelar en el procedimiento especial para la aplicación judicial de medidas de protección de los derechos de los niños, niñas o </w:t>
      </w:r>
      <w:r>
        <w:rPr>
          <w:b/>
          <w:spacing w:val="-2"/>
          <w:sz w:val="24"/>
        </w:rPr>
        <w:t>adolescentes</w:t>
      </w:r>
    </w:p>
    <w:p w:rsidR="00253CCF" w:rsidRDefault="00253CCF">
      <w:pPr>
        <w:pStyle w:val="Textoindependiente"/>
        <w:spacing w:before="2"/>
        <w:rPr>
          <w:b/>
          <w:sz w:val="36"/>
        </w:rPr>
      </w:pPr>
    </w:p>
    <w:p w:rsidR="00253CCF" w:rsidRDefault="00842587">
      <w:pPr>
        <w:ind w:left="102"/>
        <w:rPr>
          <w:b/>
          <w:sz w:val="24"/>
        </w:rPr>
      </w:pPr>
      <w:r>
        <w:rPr>
          <w:b/>
          <w:spacing w:val="-2"/>
          <w:sz w:val="24"/>
        </w:rPr>
        <w:t>Considerando:</w:t>
      </w:r>
    </w:p>
    <w:p w:rsidR="00253CCF" w:rsidRDefault="00253CCF">
      <w:pPr>
        <w:pStyle w:val="Textoindependiente"/>
        <w:rPr>
          <w:b/>
          <w:sz w:val="26"/>
        </w:rPr>
      </w:pPr>
    </w:p>
    <w:p w:rsidR="00253CCF" w:rsidRDefault="00253CCF">
      <w:pPr>
        <w:pStyle w:val="Textoindependiente"/>
        <w:rPr>
          <w:b/>
          <w:sz w:val="22"/>
        </w:rPr>
      </w:pPr>
    </w:p>
    <w:p w:rsidR="00253CCF" w:rsidRDefault="00842587">
      <w:pPr>
        <w:pStyle w:val="Textoindependiente"/>
        <w:spacing w:line="360" w:lineRule="auto"/>
        <w:ind w:left="102" w:right="115"/>
        <w:jc w:val="both"/>
      </w:pPr>
      <w:r>
        <w:t>1.-</w:t>
      </w:r>
      <w:r>
        <w:rPr>
          <w:spacing w:val="40"/>
        </w:rPr>
        <w:t xml:space="preserve">  </w:t>
      </w:r>
      <w:r>
        <w:t>Que el artículo 22 de la ley N° 19.968, que crea los Tribunales de Familia, señala lo siguiente:</w:t>
      </w:r>
    </w:p>
    <w:p w:rsidR="00253CCF" w:rsidRDefault="00842587">
      <w:pPr>
        <w:spacing w:line="360" w:lineRule="auto"/>
        <w:ind w:left="102" w:right="113"/>
        <w:jc w:val="both"/>
        <w:rPr>
          <w:i/>
          <w:sz w:val="24"/>
        </w:rPr>
      </w:pPr>
      <w:r>
        <w:rPr>
          <w:i/>
          <w:sz w:val="24"/>
        </w:rPr>
        <w:t>“Artículo 22.- Potestad cautelar. Sin perjuicio de lo dispuesto en leyes especiales, en cualquier etapa del procedimiento, o antes de su i</w:t>
      </w:r>
      <w:r>
        <w:rPr>
          <w:i/>
          <w:sz w:val="24"/>
        </w:rPr>
        <w:t>nicio, el juez, de oficio o a petición de parte, teniendo en cuenta la verosimilitud del derecho invocado y el peligro en la demora que implica la tramitación, podrá decretar las medidas cautelares conservativas o</w:t>
      </w:r>
      <w:r>
        <w:rPr>
          <w:i/>
          <w:spacing w:val="-1"/>
          <w:sz w:val="24"/>
        </w:rPr>
        <w:t xml:space="preserve"> </w:t>
      </w:r>
      <w:proofErr w:type="spellStart"/>
      <w:r>
        <w:rPr>
          <w:i/>
          <w:sz w:val="24"/>
        </w:rPr>
        <w:t>innovativas</w:t>
      </w:r>
      <w:proofErr w:type="spellEnd"/>
      <w:r>
        <w:rPr>
          <w:i/>
          <w:spacing w:val="-2"/>
          <w:sz w:val="24"/>
        </w:rPr>
        <w:t xml:space="preserve"> </w:t>
      </w:r>
      <w:r>
        <w:rPr>
          <w:i/>
          <w:sz w:val="24"/>
        </w:rPr>
        <w:t>que</w:t>
      </w:r>
      <w:r>
        <w:rPr>
          <w:i/>
          <w:spacing w:val="-1"/>
          <w:sz w:val="24"/>
        </w:rPr>
        <w:t xml:space="preserve"> </w:t>
      </w:r>
      <w:r>
        <w:rPr>
          <w:i/>
          <w:sz w:val="24"/>
        </w:rPr>
        <w:t xml:space="preserve">estime procedentes. Estas </w:t>
      </w:r>
      <w:r>
        <w:rPr>
          <w:i/>
          <w:sz w:val="24"/>
        </w:rPr>
        <w:t>últimas</w:t>
      </w:r>
      <w:r>
        <w:rPr>
          <w:i/>
          <w:spacing w:val="-2"/>
          <w:sz w:val="24"/>
        </w:rPr>
        <w:t xml:space="preserve"> </w:t>
      </w:r>
      <w:r>
        <w:rPr>
          <w:i/>
          <w:sz w:val="24"/>
        </w:rPr>
        <w:t>sólo podrán disponerse</w:t>
      </w:r>
      <w:r>
        <w:rPr>
          <w:i/>
          <w:spacing w:val="-2"/>
          <w:sz w:val="24"/>
        </w:rPr>
        <w:t xml:space="preserve"> </w:t>
      </w:r>
      <w:r>
        <w:rPr>
          <w:i/>
          <w:sz w:val="24"/>
        </w:rPr>
        <w:t>en</w:t>
      </w:r>
      <w:r>
        <w:rPr>
          <w:i/>
          <w:spacing w:val="-2"/>
          <w:sz w:val="24"/>
        </w:rPr>
        <w:t xml:space="preserve"> </w:t>
      </w:r>
      <w:r>
        <w:rPr>
          <w:i/>
          <w:sz w:val="24"/>
        </w:rPr>
        <w:t>situaciones urgentes y</w:t>
      </w:r>
      <w:r>
        <w:rPr>
          <w:i/>
          <w:spacing w:val="-2"/>
          <w:sz w:val="24"/>
        </w:rPr>
        <w:t xml:space="preserve"> </w:t>
      </w:r>
      <w:r>
        <w:rPr>
          <w:i/>
          <w:sz w:val="24"/>
        </w:rPr>
        <w:t>cuando lo</w:t>
      </w:r>
      <w:r>
        <w:rPr>
          <w:i/>
          <w:spacing w:val="-2"/>
          <w:sz w:val="24"/>
        </w:rPr>
        <w:t xml:space="preserve"> </w:t>
      </w:r>
      <w:r>
        <w:rPr>
          <w:i/>
          <w:sz w:val="24"/>
        </w:rPr>
        <w:t>exija el interés superior</w:t>
      </w:r>
      <w:r>
        <w:rPr>
          <w:i/>
          <w:spacing w:val="-1"/>
          <w:sz w:val="24"/>
        </w:rPr>
        <w:t xml:space="preserve"> </w:t>
      </w:r>
      <w:r>
        <w:rPr>
          <w:i/>
          <w:sz w:val="24"/>
        </w:rPr>
        <w:t>del niño, niña o adolescente, o cuando lo aconseje la inminencia del</w:t>
      </w:r>
      <w:r>
        <w:rPr>
          <w:i/>
          <w:spacing w:val="-1"/>
          <w:sz w:val="24"/>
        </w:rPr>
        <w:t xml:space="preserve"> </w:t>
      </w:r>
      <w:r>
        <w:rPr>
          <w:i/>
          <w:sz w:val="24"/>
        </w:rPr>
        <w:t>daño que se trata de evitar.</w:t>
      </w:r>
    </w:p>
    <w:p w:rsidR="00253CCF" w:rsidRDefault="00842587">
      <w:pPr>
        <w:spacing w:line="360" w:lineRule="auto"/>
        <w:ind w:left="102" w:right="117"/>
        <w:jc w:val="both"/>
        <w:rPr>
          <w:i/>
          <w:sz w:val="24"/>
        </w:rPr>
      </w:pPr>
      <w:r>
        <w:rPr>
          <w:i/>
          <w:sz w:val="24"/>
        </w:rPr>
        <w:t xml:space="preserve">Las medidas cautelares podrán llevarse a efecto aun antes de notificarse a la persona contra quien se dicten, siempre que existan razones graves para ello y el </w:t>
      </w:r>
      <w:proofErr w:type="gramStart"/>
      <w:r>
        <w:rPr>
          <w:i/>
          <w:sz w:val="24"/>
        </w:rPr>
        <w:t>tribunal</w:t>
      </w:r>
      <w:proofErr w:type="gramEnd"/>
      <w:r>
        <w:rPr>
          <w:i/>
          <w:sz w:val="24"/>
        </w:rPr>
        <w:t xml:space="preserve"> así lo ordene expresamente. Transcurridos cinco días sin que la notificación se efectúe</w:t>
      </w:r>
      <w:r>
        <w:rPr>
          <w:i/>
          <w:sz w:val="24"/>
        </w:rPr>
        <w:t>, quedarán sin valor las diligencias practicadas. El juez de familia podrá ampliar este plazo por motivos fundados.</w:t>
      </w:r>
    </w:p>
    <w:p w:rsidR="00253CCF" w:rsidRDefault="00842587">
      <w:pPr>
        <w:spacing w:before="1" w:line="360" w:lineRule="auto"/>
        <w:ind w:left="102" w:right="125"/>
        <w:jc w:val="both"/>
        <w:rPr>
          <w:i/>
          <w:sz w:val="24"/>
        </w:rPr>
      </w:pPr>
      <w:r>
        <w:rPr>
          <w:i/>
          <w:sz w:val="24"/>
        </w:rPr>
        <w:t>En todo lo demás, resultarán aplicables las normas contenidas en los Títulos IV y</w:t>
      </w:r>
      <w:r>
        <w:rPr>
          <w:i/>
          <w:spacing w:val="40"/>
          <w:sz w:val="24"/>
        </w:rPr>
        <w:t xml:space="preserve"> </w:t>
      </w:r>
      <w:r>
        <w:rPr>
          <w:i/>
          <w:sz w:val="24"/>
        </w:rPr>
        <w:t>V del Libro II del Código de Procedimiento Civil.</w:t>
      </w:r>
    </w:p>
    <w:p w:rsidR="00253CCF" w:rsidRDefault="00842587">
      <w:pPr>
        <w:spacing w:line="360" w:lineRule="auto"/>
        <w:ind w:left="102" w:right="116"/>
        <w:jc w:val="both"/>
        <w:rPr>
          <w:i/>
          <w:sz w:val="24"/>
        </w:rPr>
      </w:pPr>
      <w:r>
        <w:rPr>
          <w:i/>
          <w:sz w:val="24"/>
          <w:u w:val="single"/>
        </w:rPr>
        <w:t>Sin perj</w:t>
      </w:r>
      <w:r>
        <w:rPr>
          <w:i/>
          <w:sz w:val="24"/>
          <w:u w:val="single"/>
        </w:rPr>
        <w:t>uicio de lo anterior, tratándose del procedimiento previsto en el Párrafo</w:t>
      </w:r>
      <w:r>
        <w:rPr>
          <w:i/>
          <w:sz w:val="24"/>
        </w:rPr>
        <w:t xml:space="preserve"> </w:t>
      </w:r>
      <w:r>
        <w:rPr>
          <w:i/>
          <w:sz w:val="24"/>
          <w:u w:val="single"/>
        </w:rPr>
        <w:t>primero del Título IV de esta ley, sólo podrán adoptarse las medidas señaladas en</w:t>
      </w:r>
      <w:r>
        <w:rPr>
          <w:i/>
          <w:sz w:val="24"/>
        </w:rPr>
        <w:t xml:space="preserve"> </w:t>
      </w:r>
      <w:r>
        <w:rPr>
          <w:i/>
          <w:sz w:val="24"/>
          <w:u w:val="single"/>
        </w:rPr>
        <w:t>el artículo 71.</w:t>
      </w:r>
      <w:r>
        <w:rPr>
          <w:i/>
          <w:sz w:val="24"/>
        </w:rPr>
        <w:t>”</w:t>
      </w:r>
    </w:p>
    <w:p w:rsidR="00253CCF" w:rsidRDefault="00253CCF">
      <w:pPr>
        <w:spacing w:line="360" w:lineRule="auto"/>
        <w:jc w:val="both"/>
        <w:rPr>
          <w:sz w:val="24"/>
        </w:rPr>
        <w:sectPr w:rsidR="00253CCF">
          <w:type w:val="continuous"/>
          <w:pgSz w:w="12240" w:h="15840"/>
          <w:pgMar w:top="1340" w:right="1580" w:bottom="280" w:left="1600" w:header="720" w:footer="720" w:gutter="0"/>
          <w:cols w:space="720"/>
        </w:sectPr>
      </w:pPr>
    </w:p>
    <w:p w:rsidR="00253CCF" w:rsidRDefault="00842587">
      <w:pPr>
        <w:pStyle w:val="Textoindependiente"/>
        <w:spacing w:before="77" w:line="360" w:lineRule="auto"/>
        <w:ind w:left="102" w:right="115"/>
        <w:jc w:val="both"/>
      </w:pPr>
      <w:r>
        <w:lastRenderedPageBreak/>
        <w:t>2.-</w:t>
      </w:r>
      <w:r>
        <w:rPr>
          <w:spacing w:val="40"/>
        </w:rPr>
        <w:t xml:space="preserve">  </w:t>
      </w:r>
      <w:r>
        <w:t xml:space="preserve">Que dicha norma resulta complementada por los artículos 71 y 92 que regulan, respectivamente, la misma potestad cautelar en el caso de los procedimientos especiales para la aplicación judicial de medidas de protección de los derechos de los niños, niñas o </w:t>
      </w:r>
      <w:r>
        <w:t>adolescentes y para el conocimiento de los actos de violencia Intrafamiliar.</w:t>
      </w:r>
    </w:p>
    <w:p w:rsidR="00253CCF" w:rsidRDefault="00842587">
      <w:pPr>
        <w:pStyle w:val="Textoindependiente"/>
        <w:spacing w:before="1" w:line="360" w:lineRule="auto"/>
        <w:ind w:left="102" w:right="115"/>
        <w:jc w:val="both"/>
      </w:pPr>
      <w:r>
        <w:t>Más recientemente, se incorporaron, además, los artículos 92 bis y 92 ter, referidos al monitoreo telemático.</w:t>
      </w:r>
    </w:p>
    <w:p w:rsidR="00253CCF" w:rsidRDefault="00253CCF">
      <w:pPr>
        <w:pStyle w:val="Textoindependiente"/>
        <w:spacing w:before="11"/>
        <w:rPr>
          <w:sz w:val="35"/>
        </w:rPr>
      </w:pPr>
    </w:p>
    <w:p w:rsidR="00253CCF" w:rsidRDefault="00842587">
      <w:pPr>
        <w:pStyle w:val="Textoindependiente"/>
        <w:spacing w:line="360" w:lineRule="auto"/>
        <w:ind w:left="102" w:right="115"/>
        <w:jc w:val="both"/>
      </w:pPr>
      <w:r>
        <w:t>3.-</w:t>
      </w:r>
      <w:r>
        <w:rPr>
          <w:spacing w:val="80"/>
          <w:w w:val="150"/>
        </w:rPr>
        <w:t xml:space="preserve"> </w:t>
      </w:r>
      <w:r>
        <w:t>Que, como el citado artículo 22 lo esboza, la dogmática procesal</w:t>
      </w:r>
      <w:r>
        <w:t xml:space="preserve"> ha</w:t>
      </w:r>
      <w:r>
        <w:rPr>
          <w:spacing w:val="40"/>
        </w:rPr>
        <w:t xml:space="preserve"> </w:t>
      </w:r>
      <w:r>
        <w:t xml:space="preserve">clasificado las medidas cautelares, desde la perspectiva de sus efectos, en dos clases, </w:t>
      </w:r>
      <w:r>
        <w:rPr>
          <w:color w:val="393939"/>
        </w:rPr>
        <w:t xml:space="preserve">conservativas e </w:t>
      </w:r>
      <w:proofErr w:type="spellStart"/>
      <w:r>
        <w:rPr>
          <w:color w:val="393939"/>
        </w:rPr>
        <w:t>innovativas</w:t>
      </w:r>
      <w:proofErr w:type="spellEnd"/>
      <w:r>
        <w:rPr>
          <w:color w:val="393939"/>
        </w:rPr>
        <w:t>.</w:t>
      </w:r>
    </w:p>
    <w:p w:rsidR="00253CCF" w:rsidRDefault="00842587">
      <w:pPr>
        <w:pStyle w:val="Textoindependiente"/>
        <w:spacing w:before="1" w:line="360" w:lineRule="auto"/>
        <w:ind w:left="102" w:right="113"/>
        <w:jc w:val="both"/>
      </w:pPr>
      <w:r>
        <w:rPr>
          <w:color w:val="393939"/>
        </w:rPr>
        <w:t>Aquéllas tienen por objeto facilitar el resultado de una ejecución forzada futura.</w:t>
      </w:r>
      <w:r>
        <w:rPr>
          <w:color w:val="393939"/>
          <w:spacing w:val="40"/>
        </w:rPr>
        <w:t xml:space="preserve"> </w:t>
      </w:r>
      <w:r>
        <w:rPr>
          <w:color w:val="393939"/>
        </w:rPr>
        <w:t>Por tanto, procuran mantener el estado actual de cos</w:t>
      </w:r>
      <w:r>
        <w:rPr>
          <w:color w:val="393939"/>
        </w:rPr>
        <w:t>as. Éstas, en cambio, apuntan a modificar la situación de hecho o de derecho existente.</w:t>
      </w:r>
    </w:p>
    <w:p w:rsidR="00253CCF" w:rsidRDefault="00842587">
      <w:pPr>
        <w:pStyle w:val="Textoindependiente"/>
        <w:spacing w:line="360" w:lineRule="auto"/>
        <w:ind w:left="102" w:right="114"/>
        <w:jc w:val="both"/>
      </w:pPr>
      <w:r>
        <w:t xml:space="preserve">Se ha sostenido que, de alguna forma, la cautela </w:t>
      </w:r>
      <w:proofErr w:type="spellStart"/>
      <w:r>
        <w:t>innovativa</w:t>
      </w:r>
      <w:proofErr w:type="spellEnd"/>
      <w:r>
        <w:t xml:space="preserve"> resulta más intrusiva, en tanto se ordena, aún sin que exista una sentencia, que una persona </w:t>
      </w:r>
      <w:r>
        <w:rPr>
          <w:color w:val="393939"/>
        </w:rPr>
        <w:t xml:space="preserve">haga o deje de </w:t>
      </w:r>
      <w:r>
        <w:rPr>
          <w:color w:val="393939"/>
        </w:rPr>
        <w:t>hacer algo, evidentemente, en muchos casos, contra su voluntad. Lo anterior, en aras de precaver un riesgo mayor.</w:t>
      </w:r>
    </w:p>
    <w:p w:rsidR="00253CCF" w:rsidRDefault="00842587">
      <w:pPr>
        <w:pStyle w:val="Textoindependiente"/>
        <w:spacing w:line="360" w:lineRule="auto"/>
        <w:ind w:left="102" w:right="121"/>
        <w:jc w:val="both"/>
      </w:pPr>
      <w:r>
        <w:rPr>
          <w:color w:val="393939"/>
        </w:rPr>
        <w:t>Del mismo modo, los tratadistas clasifican dichas medidas, dependiendo de la forma en que se encuentran establecidas, en nominadas e innominad</w:t>
      </w:r>
      <w:r>
        <w:rPr>
          <w:color w:val="393939"/>
        </w:rPr>
        <w:t>as, según si han sido establecidas y reguladas expresamente por el legislador o se permite al juez aplicar, según su prudente arbitrio, la que estime eficaz.</w:t>
      </w:r>
    </w:p>
    <w:p w:rsidR="00253CCF" w:rsidRDefault="00253CCF">
      <w:pPr>
        <w:pStyle w:val="Textoindependiente"/>
        <w:spacing w:before="2"/>
        <w:rPr>
          <w:sz w:val="36"/>
        </w:rPr>
      </w:pPr>
    </w:p>
    <w:p w:rsidR="00253CCF" w:rsidRDefault="00842587">
      <w:pPr>
        <w:pStyle w:val="Textoindependiente"/>
        <w:spacing w:line="360" w:lineRule="auto"/>
        <w:ind w:left="102" w:right="117"/>
        <w:jc w:val="both"/>
      </w:pPr>
      <w:r>
        <w:rPr>
          <w:color w:val="393939"/>
        </w:rPr>
        <w:t>4.-</w:t>
      </w:r>
      <w:r>
        <w:rPr>
          <w:color w:val="393939"/>
          <w:spacing w:val="80"/>
          <w:w w:val="150"/>
        </w:rPr>
        <w:t xml:space="preserve"> </w:t>
      </w:r>
      <w:r>
        <w:rPr>
          <w:color w:val="393939"/>
        </w:rPr>
        <w:t>Que</w:t>
      </w:r>
      <w:r>
        <w:rPr>
          <w:color w:val="393939"/>
          <w:spacing w:val="40"/>
        </w:rPr>
        <w:t xml:space="preserve"> </w:t>
      </w:r>
      <w:r>
        <w:rPr>
          <w:color w:val="393939"/>
        </w:rPr>
        <w:t>si</w:t>
      </w:r>
      <w:r>
        <w:rPr>
          <w:color w:val="393939"/>
          <w:spacing w:val="40"/>
        </w:rPr>
        <w:t xml:space="preserve"> </w:t>
      </w:r>
      <w:r>
        <w:rPr>
          <w:color w:val="393939"/>
        </w:rPr>
        <w:t>se</w:t>
      </w:r>
      <w:r>
        <w:rPr>
          <w:color w:val="393939"/>
          <w:spacing w:val="40"/>
        </w:rPr>
        <w:t xml:space="preserve"> </w:t>
      </w:r>
      <w:r>
        <w:rPr>
          <w:color w:val="393939"/>
        </w:rPr>
        <w:t>analizan</w:t>
      </w:r>
      <w:r>
        <w:rPr>
          <w:color w:val="393939"/>
          <w:spacing w:val="40"/>
        </w:rPr>
        <w:t xml:space="preserve"> </w:t>
      </w:r>
      <w:r>
        <w:rPr>
          <w:color w:val="393939"/>
        </w:rPr>
        <w:t>las</w:t>
      </w:r>
      <w:r>
        <w:rPr>
          <w:color w:val="393939"/>
          <w:spacing w:val="40"/>
        </w:rPr>
        <w:t xml:space="preserve"> </w:t>
      </w:r>
      <w:r>
        <w:rPr>
          <w:color w:val="393939"/>
        </w:rPr>
        <w:t>disposiciones</w:t>
      </w:r>
      <w:r>
        <w:rPr>
          <w:color w:val="393939"/>
          <w:spacing w:val="40"/>
        </w:rPr>
        <w:t xml:space="preserve"> </w:t>
      </w:r>
      <w:r>
        <w:rPr>
          <w:color w:val="393939"/>
        </w:rPr>
        <w:t>citadas</w:t>
      </w:r>
      <w:r>
        <w:rPr>
          <w:color w:val="393939"/>
          <w:spacing w:val="40"/>
        </w:rPr>
        <w:t xml:space="preserve"> </w:t>
      </w:r>
      <w:r>
        <w:rPr>
          <w:color w:val="393939"/>
        </w:rPr>
        <w:t>a</w:t>
      </w:r>
      <w:r>
        <w:rPr>
          <w:color w:val="393939"/>
          <w:spacing w:val="40"/>
        </w:rPr>
        <w:t xml:space="preserve"> </w:t>
      </w:r>
      <w:r>
        <w:rPr>
          <w:color w:val="393939"/>
        </w:rPr>
        <w:t>la</w:t>
      </w:r>
      <w:r>
        <w:rPr>
          <w:color w:val="393939"/>
          <w:spacing w:val="40"/>
        </w:rPr>
        <w:t xml:space="preserve"> </w:t>
      </w:r>
      <w:r>
        <w:rPr>
          <w:color w:val="393939"/>
        </w:rPr>
        <w:t>luz</w:t>
      </w:r>
      <w:r>
        <w:rPr>
          <w:color w:val="393939"/>
          <w:spacing w:val="40"/>
        </w:rPr>
        <w:t xml:space="preserve"> </w:t>
      </w:r>
      <w:r>
        <w:rPr>
          <w:color w:val="393939"/>
        </w:rPr>
        <w:t>de</w:t>
      </w:r>
      <w:r>
        <w:rPr>
          <w:color w:val="393939"/>
          <w:spacing w:val="40"/>
        </w:rPr>
        <w:t xml:space="preserve"> </w:t>
      </w:r>
      <w:r>
        <w:rPr>
          <w:color w:val="393939"/>
        </w:rPr>
        <w:t>dichas clasificaciones</w:t>
      </w:r>
      <w:r>
        <w:rPr>
          <w:color w:val="393939"/>
          <w:spacing w:val="-6"/>
        </w:rPr>
        <w:t xml:space="preserve"> </w:t>
      </w:r>
      <w:r>
        <w:rPr>
          <w:color w:val="393939"/>
        </w:rPr>
        <w:t>puede</w:t>
      </w:r>
      <w:r>
        <w:rPr>
          <w:color w:val="393939"/>
          <w:spacing w:val="-6"/>
        </w:rPr>
        <w:t xml:space="preserve"> </w:t>
      </w:r>
      <w:r>
        <w:rPr>
          <w:color w:val="393939"/>
        </w:rPr>
        <w:t>concluirse</w:t>
      </w:r>
      <w:r>
        <w:rPr>
          <w:color w:val="393939"/>
          <w:spacing w:val="-4"/>
        </w:rPr>
        <w:t xml:space="preserve"> </w:t>
      </w:r>
      <w:r>
        <w:rPr>
          <w:color w:val="393939"/>
        </w:rPr>
        <w:t>que los</w:t>
      </w:r>
      <w:r>
        <w:rPr>
          <w:color w:val="393939"/>
          <w:spacing w:val="-4"/>
        </w:rPr>
        <w:t xml:space="preserve"> </w:t>
      </w:r>
      <w:r>
        <w:rPr>
          <w:color w:val="393939"/>
        </w:rPr>
        <w:t>tribunales</w:t>
      </w:r>
      <w:r>
        <w:rPr>
          <w:color w:val="393939"/>
          <w:spacing w:val="-6"/>
        </w:rPr>
        <w:t xml:space="preserve"> </w:t>
      </w:r>
      <w:r>
        <w:rPr>
          <w:color w:val="393939"/>
        </w:rPr>
        <w:t>de</w:t>
      </w:r>
      <w:r>
        <w:rPr>
          <w:color w:val="393939"/>
          <w:spacing w:val="-4"/>
        </w:rPr>
        <w:t xml:space="preserve"> </w:t>
      </w:r>
      <w:r>
        <w:rPr>
          <w:color w:val="393939"/>
        </w:rPr>
        <w:t>familia</w:t>
      </w:r>
      <w:r>
        <w:rPr>
          <w:color w:val="393939"/>
          <w:spacing w:val="-1"/>
        </w:rPr>
        <w:t xml:space="preserve"> </w:t>
      </w:r>
      <w:r>
        <w:rPr>
          <w:color w:val="393939"/>
        </w:rPr>
        <w:t>disponen</w:t>
      </w:r>
      <w:r>
        <w:rPr>
          <w:color w:val="393939"/>
          <w:spacing w:val="-3"/>
        </w:rPr>
        <w:t xml:space="preserve"> </w:t>
      </w:r>
      <w:r>
        <w:rPr>
          <w:color w:val="393939"/>
        </w:rPr>
        <w:t>de</w:t>
      </w:r>
      <w:r>
        <w:rPr>
          <w:color w:val="393939"/>
          <w:spacing w:val="-4"/>
        </w:rPr>
        <w:t xml:space="preserve"> </w:t>
      </w:r>
      <w:r>
        <w:rPr>
          <w:color w:val="393939"/>
        </w:rPr>
        <w:t xml:space="preserve">potestad para establecer medidas conservativas e </w:t>
      </w:r>
      <w:proofErr w:type="spellStart"/>
      <w:r>
        <w:rPr>
          <w:color w:val="393939"/>
        </w:rPr>
        <w:t>innovativas</w:t>
      </w:r>
      <w:proofErr w:type="spellEnd"/>
      <w:r>
        <w:rPr>
          <w:color w:val="393939"/>
        </w:rPr>
        <w:t>.</w:t>
      </w:r>
    </w:p>
    <w:p w:rsidR="00253CCF" w:rsidRDefault="00842587">
      <w:pPr>
        <w:pStyle w:val="Textoindependiente"/>
        <w:spacing w:line="360" w:lineRule="auto"/>
        <w:ind w:left="102" w:right="121"/>
        <w:jc w:val="both"/>
      </w:pPr>
      <w:r>
        <w:rPr>
          <w:color w:val="393939"/>
        </w:rPr>
        <w:t xml:space="preserve">Ello fluye de la declaración explícita del inciso primero del artículo 22 y de la revisión del catálogo de las contempladas en los artículos </w:t>
      </w:r>
      <w:r>
        <w:rPr>
          <w:color w:val="393939"/>
        </w:rPr>
        <w:t>71 y 92.</w:t>
      </w:r>
    </w:p>
    <w:p w:rsidR="00253CCF" w:rsidRDefault="00842587">
      <w:pPr>
        <w:spacing w:line="360" w:lineRule="auto"/>
        <w:ind w:left="102" w:right="115"/>
        <w:jc w:val="both"/>
        <w:rPr>
          <w:i/>
          <w:sz w:val="24"/>
        </w:rPr>
      </w:pPr>
      <w:r>
        <w:rPr>
          <w:color w:val="393939"/>
          <w:sz w:val="24"/>
        </w:rPr>
        <w:t xml:space="preserve">Ahora bien, desde la perspectiva de su amplitud, el artículo 22 consagra, también en forma manifiesta, la posibilidad de las cautelas innominadas, al señalar </w:t>
      </w:r>
      <w:r>
        <w:rPr>
          <w:i/>
          <w:color w:val="393939"/>
          <w:sz w:val="24"/>
        </w:rPr>
        <w:t>que “el juez,</w:t>
      </w:r>
      <w:r>
        <w:rPr>
          <w:i/>
          <w:color w:val="393939"/>
          <w:spacing w:val="67"/>
          <w:sz w:val="24"/>
        </w:rPr>
        <w:t xml:space="preserve"> </w:t>
      </w:r>
      <w:r>
        <w:rPr>
          <w:i/>
          <w:color w:val="393939"/>
          <w:sz w:val="24"/>
        </w:rPr>
        <w:t>de</w:t>
      </w:r>
      <w:r>
        <w:rPr>
          <w:i/>
          <w:color w:val="393939"/>
          <w:spacing w:val="65"/>
          <w:sz w:val="24"/>
        </w:rPr>
        <w:t xml:space="preserve"> </w:t>
      </w:r>
      <w:r>
        <w:rPr>
          <w:i/>
          <w:color w:val="393939"/>
          <w:sz w:val="24"/>
        </w:rPr>
        <w:t>oficio</w:t>
      </w:r>
      <w:r>
        <w:rPr>
          <w:i/>
          <w:color w:val="393939"/>
          <w:spacing w:val="67"/>
          <w:sz w:val="24"/>
        </w:rPr>
        <w:t xml:space="preserve"> </w:t>
      </w:r>
      <w:r>
        <w:rPr>
          <w:i/>
          <w:color w:val="393939"/>
          <w:sz w:val="24"/>
        </w:rPr>
        <w:t>o</w:t>
      </w:r>
      <w:r>
        <w:rPr>
          <w:i/>
          <w:color w:val="393939"/>
          <w:spacing w:val="65"/>
          <w:sz w:val="24"/>
        </w:rPr>
        <w:t xml:space="preserve"> </w:t>
      </w:r>
      <w:r>
        <w:rPr>
          <w:i/>
          <w:color w:val="393939"/>
          <w:sz w:val="24"/>
        </w:rPr>
        <w:t>a</w:t>
      </w:r>
      <w:r>
        <w:rPr>
          <w:i/>
          <w:color w:val="393939"/>
          <w:spacing w:val="67"/>
          <w:sz w:val="24"/>
        </w:rPr>
        <w:t xml:space="preserve"> </w:t>
      </w:r>
      <w:r>
        <w:rPr>
          <w:i/>
          <w:color w:val="393939"/>
          <w:sz w:val="24"/>
        </w:rPr>
        <w:t>petición</w:t>
      </w:r>
      <w:r>
        <w:rPr>
          <w:i/>
          <w:color w:val="393939"/>
          <w:spacing w:val="68"/>
          <w:sz w:val="24"/>
        </w:rPr>
        <w:t xml:space="preserve"> </w:t>
      </w:r>
      <w:r>
        <w:rPr>
          <w:i/>
          <w:color w:val="393939"/>
          <w:sz w:val="24"/>
        </w:rPr>
        <w:t>de</w:t>
      </w:r>
      <w:r>
        <w:rPr>
          <w:i/>
          <w:color w:val="393939"/>
          <w:spacing w:val="67"/>
          <w:sz w:val="24"/>
        </w:rPr>
        <w:t xml:space="preserve"> </w:t>
      </w:r>
      <w:r>
        <w:rPr>
          <w:i/>
          <w:color w:val="393939"/>
          <w:sz w:val="24"/>
        </w:rPr>
        <w:t>parte,</w:t>
      </w:r>
      <w:r>
        <w:rPr>
          <w:i/>
          <w:color w:val="393939"/>
          <w:spacing w:val="67"/>
          <w:sz w:val="24"/>
        </w:rPr>
        <w:t xml:space="preserve"> </w:t>
      </w:r>
      <w:r>
        <w:rPr>
          <w:i/>
          <w:color w:val="393939"/>
          <w:sz w:val="24"/>
        </w:rPr>
        <w:t>teniendo</w:t>
      </w:r>
      <w:r>
        <w:rPr>
          <w:i/>
          <w:color w:val="393939"/>
          <w:spacing w:val="67"/>
          <w:sz w:val="24"/>
        </w:rPr>
        <w:t xml:space="preserve"> </w:t>
      </w:r>
      <w:r>
        <w:rPr>
          <w:i/>
          <w:color w:val="393939"/>
          <w:sz w:val="24"/>
        </w:rPr>
        <w:t>en</w:t>
      </w:r>
      <w:r>
        <w:rPr>
          <w:i/>
          <w:color w:val="393939"/>
          <w:spacing w:val="67"/>
          <w:sz w:val="24"/>
        </w:rPr>
        <w:t xml:space="preserve"> </w:t>
      </w:r>
      <w:r>
        <w:rPr>
          <w:i/>
          <w:color w:val="393939"/>
          <w:sz w:val="24"/>
        </w:rPr>
        <w:t>cuenta</w:t>
      </w:r>
      <w:r>
        <w:rPr>
          <w:i/>
          <w:color w:val="393939"/>
          <w:spacing w:val="68"/>
          <w:sz w:val="24"/>
        </w:rPr>
        <w:t xml:space="preserve"> </w:t>
      </w:r>
      <w:r>
        <w:rPr>
          <w:i/>
          <w:color w:val="393939"/>
          <w:sz w:val="24"/>
        </w:rPr>
        <w:t>la</w:t>
      </w:r>
      <w:r>
        <w:rPr>
          <w:i/>
          <w:color w:val="393939"/>
          <w:spacing w:val="67"/>
          <w:sz w:val="24"/>
        </w:rPr>
        <w:t xml:space="preserve"> </w:t>
      </w:r>
      <w:r>
        <w:rPr>
          <w:i/>
          <w:color w:val="393939"/>
          <w:sz w:val="24"/>
        </w:rPr>
        <w:t>verosimilitud</w:t>
      </w:r>
      <w:r>
        <w:rPr>
          <w:i/>
          <w:color w:val="393939"/>
          <w:spacing w:val="67"/>
          <w:sz w:val="24"/>
        </w:rPr>
        <w:t xml:space="preserve"> </w:t>
      </w:r>
      <w:r>
        <w:rPr>
          <w:i/>
          <w:color w:val="393939"/>
          <w:sz w:val="24"/>
        </w:rPr>
        <w:t>del</w:t>
      </w:r>
    </w:p>
    <w:p w:rsidR="00253CCF" w:rsidRDefault="00253CCF">
      <w:pPr>
        <w:spacing w:line="360" w:lineRule="auto"/>
        <w:jc w:val="both"/>
        <w:rPr>
          <w:sz w:val="24"/>
        </w:rPr>
        <w:sectPr w:rsidR="00253CCF">
          <w:pgSz w:w="12240" w:h="15840"/>
          <w:pgMar w:top="1340" w:right="1580" w:bottom="280" w:left="1600" w:header="720" w:footer="720" w:gutter="0"/>
          <w:cols w:space="720"/>
        </w:sectPr>
      </w:pPr>
    </w:p>
    <w:p w:rsidR="00253CCF" w:rsidRDefault="00842587">
      <w:pPr>
        <w:spacing w:before="77" w:line="360" w:lineRule="auto"/>
        <w:ind w:left="102" w:right="117"/>
        <w:jc w:val="both"/>
        <w:rPr>
          <w:i/>
          <w:sz w:val="24"/>
        </w:rPr>
      </w:pPr>
      <w:proofErr w:type="gramStart"/>
      <w:r>
        <w:rPr>
          <w:i/>
          <w:color w:val="393939"/>
          <w:sz w:val="24"/>
        </w:rPr>
        <w:lastRenderedPageBreak/>
        <w:t>derecho</w:t>
      </w:r>
      <w:proofErr w:type="gramEnd"/>
      <w:r>
        <w:rPr>
          <w:i/>
          <w:color w:val="393939"/>
          <w:sz w:val="24"/>
        </w:rPr>
        <w:t xml:space="preserve"> invocado y el peligro en la demora que implica la tramitación, podrá decretar las medidas cautelares conservativas o </w:t>
      </w:r>
      <w:proofErr w:type="spellStart"/>
      <w:r>
        <w:rPr>
          <w:i/>
          <w:color w:val="393939"/>
          <w:sz w:val="24"/>
        </w:rPr>
        <w:t>innovativas</w:t>
      </w:r>
      <w:proofErr w:type="spellEnd"/>
      <w:r>
        <w:rPr>
          <w:i/>
          <w:color w:val="393939"/>
          <w:sz w:val="24"/>
        </w:rPr>
        <w:t xml:space="preserve"> </w:t>
      </w:r>
      <w:r>
        <w:rPr>
          <w:i/>
          <w:color w:val="393939"/>
          <w:sz w:val="24"/>
          <w:u w:val="single" w:color="393939"/>
        </w:rPr>
        <w:t>que estime</w:t>
      </w:r>
      <w:r>
        <w:rPr>
          <w:i/>
          <w:color w:val="393939"/>
          <w:sz w:val="24"/>
        </w:rPr>
        <w:t xml:space="preserve"> </w:t>
      </w:r>
      <w:r>
        <w:rPr>
          <w:i/>
          <w:color w:val="393939"/>
          <w:spacing w:val="-2"/>
          <w:sz w:val="24"/>
          <w:u w:val="single" w:color="393939"/>
        </w:rPr>
        <w:t>procedentes</w:t>
      </w:r>
      <w:r>
        <w:rPr>
          <w:i/>
          <w:color w:val="393939"/>
          <w:spacing w:val="-2"/>
          <w:sz w:val="24"/>
        </w:rPr>
        <w:t>.”</w:t>
      </w:r>
    </w:p>
    <w:p w:rsidR="00253CCF" w:rsidRDefault="00842587">
      <w:pPr>
        <w:spacing w:before="1" w:line="360" w:lineRule="auto"/>
        <w:ind w:left="102" w:right="115"/>
        <w:jc w:val="both"/>
        <w:rPr>
          <w:i/>
          <w:sz w:val="24"/>
        </w:rPr>
      </w:pPr>
      <w:r>
        <w:rPr>
          <w:color w:val="393939"/>
          <w:sz w:val="24"/>
        </w:rPr>
        <w:t xml:space="preserve">Lo mismo se revela del artículo 92, cuyo encabezado remarca que el juez de familia podrá adoptar cualquiera de las que se detallan, </w:t>
      </w:r>
      <w:r>
        <w:rPr>
          <w:i/>
          <w:color w:val="393939"/>
          <w:sz w:val="24"/>
        </w:rPr>
        <w:t>“</w:t>
      </w:r>
      <w:r>
        <w:rPr>
          <w:i/>
          <w:sz w:val="24"/>
          <w:u w:val="single"/>
        </w:rPr>
        <w:t>sin perjuicio de otras</w:t>
      </w:r>
      <w:r>
        <w:rPr>
          <w:i/>
          <w:sz w:val="24"/>
        </w:rPr>
        <w:t xml:space="preserve"> </w:t>
      </w:r>
      <w:r>
        <w:rPr>
          <w:i/>
          <w:sz w:val="24"/>
          <w:u w:val="single"/>
        </w:rPr>
        <w:t>medidas que estime pertinentes</w:t>
      </w:r>
      <w:r>
        <w:rPr>
          <w:i/>
          <w:sz w:val="24"/>
        </w:rPr>
        <w:t>”.</w:t>
      </w:r>
    </w:p>
    <w:p w:rsidR="00253CCF" w:rsidRDefault="00842587">
      <w:pPr>
        <w:pStyle w:val="Textoindependiente"/>
        <w:spacing w:line="360" w:lineRule="auto"/>
        <w:ind w:left="102" w:right="117"/>
        <w:jc w:val="both"/>
      </w:pPr>
      <w:r>
        <w:t>Sin embargo, en el caso del procedimiento de protección de niñas, n</w:t>
      </w:r>
      <w:r>
        <w:t>iños y adolescentes, se opta por una fórmula más restrictiva, pues el inciso final del artículo 22 indica:</w:t>
      </w:r>
    </w:p>
    <w:p w:rsidR="00253CCF" w:rsidRDefault="00842587">
      <w:pPr>
        <w:spacing w:before="1" w:line="360" w:lineRule="auto"/>
        <w:ind w:left="102" w:right="118"/>
        <w:jc w:val="both"/>
        <w:rPr>
          <w:i/>
          <w:sz w:val="24"/>
        </w:rPr>
      </w:pPr>
      <w:r>
        <w:rPr>
          <w:i/>
          <w:sz w:val="24"/>
        </w:rPr>
        <w:t xml:space="preserve">“Sin perjuicio de lo anterior, tratándose del procedimiento previsto en el Párrafo primero del Título IV de esta ley, </w:t>
      </w:r>
      <w:r>
        <w:rPr>
          <w:i/>
          <w:sz w:val="24"/>
          <w:u w:val="single"/>
        </w:rPr>
        <w:t>sólo podrán adoptarse las medid</w:t>
      </w:r>
      <w:r>
        <w:rPr>
          <w:i/>
          <w:sz w:val="24"/>
          <w:u w:val="single"/>
        </w:rPr>
        <w:t>as señaladas en</w:t>
      </w:r>
      <w:r>
        <w:rPr>
          <w:i/>
          <w:sz w:val="24"/>
        </w:rPr>
        <w:t xml:space="preserve"> </w:t>
      </w:r>
      <w:r>
        <w:rPr>
          <w:i/>
          <w:sz w:val="24"/>
          <w:u w:val="single"/>
        </w:rPr>
        <w:t>el artículo 71.</w:t>
      </w:r>
      <w:r>
        <w:rPr>
          <w:i/>
          <w:sz w:val="24"/>
        </w:rPr>
        <w:t>”</w:t>
      </w:r>
    </w:p>
    <w:p w:rsidR="00253CCF" w:rsidRDefault="00842587">
      <w:pPr>
        <w:spacing w:line="360" w:lineRule="auto"/>
        <w:ind w:left="102" w:right="115"/>
        <w:jc w:val="both"/>
        <w:rPr>
          <w:sz w:val="24"/>
        </w:rPr>
      </w:pPr>
      <w:r>
        <w:rPr>
          <w:sz w:val="24"/>
        </w:rPr>
        <w:t xml:space="preserve">A ello se agrega que el citado artículo 71 indica que </w:t>
      </w:r>
      <w:r>
        <w:rPr>
          <w:i/>
          <w:sz w:val="24"/>
        </w:rPr>
        <w:t xml:space="preserve">“el juez podrá adoptar </w:t>
      </w:r>
      <w:r>
        <w:rPr>
          <w:i/>
          <w:sz w:val="24"/>
          <w:u w:val="single"/>
        </w:rPr>
        <w:t>las</w:t>
      </w:r>
      <w:r>
        <w:rPr>
          <w:i/>
          <w:sz w:val="24"/>
        </w:rPr>
        <w:t xml:space="preserve"> </w:t>
      </w:r>
      <w:r>
        <w:rPr>
          <w:i/>
          <w:sz w:val="24"/>
          <w:u w:val="single"/>
        </w:rPr>
        <w:t>siguientes</w:t>
      </w:r>
      <w:r>
        <w:rPr>
          <w:i/>
          <w:sz w:val="24"/>
        </w:rPr>
        <w:t xml:space="preserve"> medidas cautelares”</w:t>
      </w:r>
      <w:r>
        <w:rPr>
          <w:sz w:val="24"/>
        </w:rPr>
        <w:t xml:space="preserve">, tras lo cual se listan una serie de alternativas </w:t>
      </w:r>
      <w:r>
        <w:rPr>
          <w:spacing w:val="-2"/>
          <w:sz w:val="24"/>
        </w:rPr>
        <w:t>posibles.</w:t>
      </w:r>
    </w:p>
    <w:p w:rsidR="00253CCF" w:rsidRDefault="00253CCF">
      <w:pPr>
        <w:pStyle w:val="Textoindependiente"/>
        <w:spacing w:before="10"/>
        <w:rPr>
          <w:sz w:val="35"/>
        </w:rPr>
      </w:pPr>
    </w:p>
    <w:p w:rsidR="00253CCF" w:rsidRDefault="00842587">
      <w:pPr>
        <w:pStyle w:val="Textoindependiente"/>
        <w:spacing w:before="1" w:line="360" w:lineRule="auto"/>
        <w:ind w:left="102" w:right="116"/>
        <w:jc w:val="both"/>
      </w:pPr>
      <w:r>
        <w:t>5.-</w:t>
      </w:r>
      <w:r>
        <w:rPr>
          <w:spacing w:val="80"/>
          <w:w w:val="150"/>
        </w:rPr>
        <w:t xml:space="preserve"> </w:t>
      </w:r>
      <w:r>
        <w:t>Que tal disparidad de criterios resulta cuesti</w:t>
      </w:r>
      <w:r>
        <w:t>onable. Al respecto, Estrada (2018)</w:t>
      </w:r>
      <w:r>
        <w:rPr>
          <w:position w:val="8"/>
          <w:sz w:val="16"/>
        </w:rPr>
        <w:t>1</w:t>
      </w:r>
      <w:r>
        <w:rPr>
          <w:spacing w:val="30"/>
          <w:position w:val="8"/>
          <w:sz w:val="16"/>
        </w:rPr>
        <w:t xml:space="preserve"> </w:t>
      </w:r>
      <w:r>
        <w:t>concluye que el citado inciso final del artículo 22 sería inconstitucional, en tanto expresa una diferencia “arbitraria, irrazonada y quebranta el principio constitucional de igualdad ante la ley”, pues “no se divisan l</w:t>
      </w:r>
      <w:r>
        <w:t>as bases para establecer que un adulto puede requerir un amplísimo espectro de posibilidades cautelares y que, en cambio, un niño solo deba ser amparado bajo el estrecho arsenal de herramientas protectoras del artículo 71.”.</w:t>
      </w:r>
    </w:p>
    <w:p w:rsidR="00253CCF" w:rsidRDefault="00842587">
      <w:pPr>
        <w:pStyle w:val="Textoindependiente"/>
        <w:spacing w:line="360" w:lineRule="auto"/>
        <w:ind w:left="102" w:right="117"/>
        <w:jc w:val="both"/>
      </w:pPr>
      <w:r>
        <w:t>Sostiene, asimismo, que la rest</w:t>
      </w:r>
      <w:r>
        <w:t>ricción de la protección a un acotado número de medidas infringe el deber de protección especial que recae sobre el Estado que debe adoptar “todas las medidas administrativas, legislativas y de otra índole para dar efectividad a los derechos reconocidos en</w:t>
      </w:r>
      <w:r>
        <w:t xml:space="preserve"> la presente Convención” (artículo 4 de la Convención).</w:t>
      </w:r>
    </w:p>
    <w:p w:rsidR="00253CCF" w:rsidRDefault="00253CCF">
      <w:pPr>
        <w:pStyle w:val="Textoindependiente"/>
        <w:rPr>
          <w:sz w:val="20"/>
        </w:rPr>
      </w:pPr>
    </w:p>
    <w:p w:rsidR="00253CCF" w:rsidRDefault="00253CCF">
      <w:pPr>
        <w:pStyle w:val="Textoindependiente"/>
        <w:rPr>
          <w:sz w:val="20"/>
        </w:rPr>
      </w:pPr>
    </w:p>
    <w:p w:rsidR="00253CCF" w:rsidRDefault="00842587">
      <w:pPr>
        <w:pStyle w:val="Textoindependiente"/>
        <w:spacing w:before="8"/>
        <w:rPr>
          <w:sz w:val="10"/>
        </w:rPr>
      </w:pPr>
      <w:r>
        <w:pict>
          <v:rect id="docshape1" o:spid="_x0000_s1027" style="position:absolute;margin-left:85.1pt;margin-top:7.4pt;width:2in;height:.7pt;z-index:-15728640;mso-wrap-distance-left:0;mso-wrap-distance-right:0;mso-position-horizontal-relative:page" fillcolor="black" stroked="f">
            <w10:wrap type="topAndBottom" anchorx="page"/>
          </v:rect>
        </w:pict>
      </w:r>
    </w:p>
    <w:p w:rsidR="00253CCF" w:rsidRDefault="00842587">
      <w:pPr>
        <w:spacing w:before="102" w:line="256" w:lineRule="auto"/>
        <w:ind w:left="102" w:right="32"/>
        <w:rPr>
          <w:rFonts w:ascii="Calibri" w:hAnsi="Calibri"/>
          <w:sz w:val="20"/>
        </w:rPr>
      </w:pPr>
      <w:r>
        <w:rPr>
          <w:rFonts w:ascii="Calibri" w:hAnsi="Calibri"/>
          <w:sz w:val="20"/>
          <w:vertAlign w:val="superscript"/>
        </w:rPr>
        <w:t>1</w:t>
      </w:r>
      <w:r>
        <w:rPr>
          <w:rFonts w:ascii="Calibri" w:hAnsi="Calibri"/>
          <w:spacing w:val="-3"/>
          <w:sz w:val="20"/>
        </w:rPr>
        <w:t xml:space="preserve"> </w:t>
      </w:r>
      <w:r>
        <w:rPr>
          <w:rFonts w:ascii="Calibri" w:hAnsi="Calibri"/>
          <w:sz w:val="20"/>
        </w:rPr>
        <w:t>Estrada,</w:t>
      </w:r>
      <w:r>
        <w:rPr>
          <w:rFonts w:ascii="Calibri" w:hAnsi="Calibri"/>
          <w:spacing w:val="-4"/>
          <w:sz w:val="20"/>
        </w:rPr>
        <w:t xml:space="preserve"> </w:t>
      </w:r>
      <w:r>
        <w:rPr>
          <w:rFonts w:ascii="Calibri" w:hAnsi="Calibri"/>
          <w:sz w:val="20"/>
        </w:rPr>
        <w:t>Francisco;</w:t>
      </w:r>
      <w:r>
        <w:rPr>
          <w:rFonts w:ascii="Calibri" w:hAnsi="Calibri"/>
          <w:spacing w:val="-3"/>
          <w:sz w:val="20"/>
        </w:rPr>
        <w:t xml:space="preserve"> </w:t>
      </w:r>
      <w:r>
        <w:rPr>
          <w:rFonts w:ascii="Calibri" w:hAnsi="Calibri"/>
          <w:sz w:val="20"/>
        </w:rPr>
        <w:t>Análisis</w:t>
      </w:r>
      <w:r>
        <w:rPr>
          <w:rFonts w:ascii="Calibri" w:hAnsi="Calibri"/>
          <w:spacing w:val="-2"/>
          <w:sz w:val="20"/>
        </w:rPr>
        <w:t xml:space="preserve"> </w:t>
      </w:r>
      <w:r>
        <w:rPr>
          <w:rFonts w:ascii="Calibri" w:hAnsi="Calibri"/>
          <w:sz w:val="20"/>
        </w:rPr>
        <w:t>del</w:t>
      </w:r>
      <w:r>
        <w:rPr>
          <w:rFonts w:ascii="Calibri" w:hAnsi="Calibri"/>
          <w:spacing w:val="-2"/>
          <w:sz w:val="20"/>
        </w:rPr>
        <w:t xml:space="preserve"> </w:t>
      </w:r>
      <w:r>
        <w:rPr>
          <w:rFonts w:ascii="Calibri" w:hAnsi="Calibri"/>
          <w:sz w:val="20"/>
        </w:rPr>
        <w:t>itinerario</w:t>
      </w:r>
      <w:r>
        <w:rPr>
          <w:rFonts w:ascii="Calibri" w:hAnsi="Calibri"/>
          <w:spacing w:val="-2"/>
          <w:sz w:val="20"/>
        </w:rPr>
        <w:t xml:space="preserve"> </w:t>
      </w:r>
      <w:r>
        <w:rPr>
          <w:rFonts w:ascii="Calibri" w:hAnsi="Calibri"/>
          <w:sz w:val="20"/>
        </w:rPr>
        <w:t>procesal</w:t>
      </w:r>
      <w:r>
        <w:rPr>
          <w:rFonts w:ascii="Calibri" w:hAnsi="Calibri"/>
          <w:spacing w:val="-2"/>
          <w:sz w:val="20"/>
        </w:rPr>
        <w:t xml:space="preserve"> </w:t>
      </w:r>
      <w:r>
        <w:rPr>
          <w:rFonts w:ascii="Calibri" w:hAnsi="Calibri"/>
          <w:sz w:val="20"/>
        </w:rPr>
        <w:t>de</w:t>
      </w:r>
      <w:r>
        <w:rPr>
          <w:rFonts w:ascii="Calibri" w:hAnsi="Calibri"/>
          <w:spacing w:val="-3"/>
          <w:sz w:val="20"/>
        </w:rPr>
        <w:t xml:space="preserve"> </w:t>
      </w:r>
      <w:r>
        <w:rPr>
          <w:rFonts w:ascii="Calibri" w:hAnsi="Calibri"/>
          <w:sz w:val="20"/>
        </w:rPr>
        <w:t>la</w:t>
      </w:r>
      <w:r>
        <w:rPr>
          <w:rFonts w:ascii="Calibri" w:hAnsi="Calibri"/>
          <w:spacing w:val="-2"/>
          <w:sz w:val="20"/>
        </w:rPr>
        <w:t xml:space="preserve"> </w:t>
      </w:r>
      <w:r>
        <w:rPr>
          <w:rFonts w:ascii="Calibri" w:hAnsi="Calibri"/>
          <w:sz w:val="20"/>
        </w:rPr>
        <w:t>protección</w:t>
      </w:r>
      <w:r>
        <w:rPr>
          <w:rFonts w:ascii="Calibri" w:hAnsi="Calibri"/>
          <w:spacing w:val="-1"/>
          <w:sz w:val="20"/>
        </w:rPr>
        <w:t xml:space="preserve"> </w:t>
      </w:r>
      <w:r>
        <w:rPr>
          <w:rFonts w:ascii="Calibri" w:hAnsi="Calibri"/>
          <w:sz w:val="20"/>
        </w:rPr>
        <w:t>de</w:t>
      </w:r>
      <w:r>
        <w:rPr>
          <w:rFonts w:ascii="Calibri" w:hAnsi="Calibri"/>
          <w:spacing w:val="-3"/>
          <w:sz w:val="20"/>
        </w:rPr>
        <w:t xml:space="preserve"> </w:t>
      </w:r>
      <w:r>
        <w:rPr>
          <w:rFonts w:ascii="Calibri" w:hAnsi="Calibri"/>
          <w:sz w:val="20"/>
        </w:rPr>
        <w:t>derechos</w:t>
      </w:r>
      <w:r>
        <w:rPr>
          <w:rFonts w:ascii="Calibri" w:hAnsi="Calibri"/>
          <w:spacing w:val="-2"/>
          <w:sz w:val="20"/>
        </w:rPr>
        <w:t xml:space="preserve"> </w:t>
      </w:r>
      <w:r>
        <w:rPr>
          <w:rFonts w:ascii="Calibri" w:hAnsi="Calibri"/>
          <w:sz w:val="20"/>
        </w:rPr>
        <w:t>de</w:t>
      </w:r>
      <w:r>
        <w:rPr>
          <w:rFonts w:ascii="Calibri" w:hAnsi="Calibri"/>
          <w:spacing w:val="-3"/>
          <w:sz w:val="20"/>
        </w:rPr>
        <w:t xml:space="preserve"> </w:t>
      </w:r>
      <w:r>
        <w:rPr>
          <w:rFonts w:ascii="Calibri" w:hAnsi="Calibri"/>
          <w:sz w:val="20"/>
        </w:rPr>
        <w:t>niños</w:t>
      </w:r>
      <w:r>
        <w:rPr>
          <w:rFonts w:ascii="Calibri" w:hAnsi="Calibri"/>
          <w:spacing w:val="-3"/>
          <w:sz w:val="20"/>
        </w:rPr>
        <w:t xml:space="preserve"> </w:t>
      </w:r>
      <w:r>
        <w:rPr>
          <w:rFonts w:ascii="Calibri" w:hAnsi="Calibri"/>
          <w:sz w:val="20"/>
        </w:rPr>
        <w:t>y</w:t>
      </w:r>
      <w:r>
        <w:rPr>
          <w:rFonts w:ascii="Calibri" w:hAnsi="Calibri"/>
          <w:spacing w:val="-2"/>
          <w:sz w:val="20"/>
        </w:rPr>
        <w:t xml:space="preserve"> </w:t>
      </w:r>
      <w:r>
        <w:rPr>
          <w:rFonts w:ascii="Calibri" w:hAnsi="Calibri"/>
          <w:sz w:val="20"/>
        </w:rPr>
        <w:t>niñas;</w:t>
      </w:r>
      <w:r>
        <w:rPr>
          <w:rFonts w:ascii="Calibri" w:hAnsi="Calibri"/>
          <w:spacing w:val="-3"/>
          <w:sz w:val="20"/>
        </w:rPr>
        <w:t xml:space="preserve"> </w:t>
      </w:r>
      <w:r>
        <w:rPr>
          <w:rFonts w:ascii="Calibri" w:hAnsi="Calibri"/>
          <w:sz w:val="20"/>
        </w:rPr>
        <w:t>en</w:t>
      </w:r>
      <w:r>
        <w:rPr>
          <w:rFonts w:ascii="Calibri" w:hAnsi="Calibri"/>
          <w:spacing w:val="-2"/>
          <w:sz w:val="20"/>
        </w:rPr>
        <w:t xml:space="preserve"> </w:t>
      </w:r>
      <w:r>
        <w:rPr>
          <w:rFonts w:ascii="Calibri" w:hAnsi="Calibri"/>
          <w:sz w:val="20"/>
        </w:rPr>
        <w:t>Revista de Estudios de la Justicia. N° 28, 2018. Pg. 22.</w:t>
      </w:r>
    </w:p>
    <w:p w:rsidR="00253CCF" w:rsidRDefault="00253CCF">
      <w:pPr>
        <w:spacing w:line="256" w:lineRule="auto"/>
        <w:rPr>
          <w:rFonts w:ascii="Calibri" w:hAnsi="Calibri"/>
          <w:sz w:val="20"/>
        </w:rPr>
        <w:sectPr w:rsidR="00253CCF">
          <w:pgSz w:w="12240" w:h="15840"/>
          <w:pgMar w:top="1340" w:right="1580" w:bottom="280" w:left="1600" w:header="720" w:footer="720" w:gutter="0"/>
          <w:cols w:space="720"/>
        </w:sectPr>
      </w:pPr>
    </w:p>
    <w:p w:rsidR="00253CCF" w:rsidRDefault="00842587">
      <w:pPr>
        <w:pStyle w:val="Textoindependiente"/>
        <w:spacing w:before="72" w:line="360" w:lineRule="auto"/>
        <w:ind w:left="102"/>
      </w:pPr>
      <w:r>
        <w:lastRenderedPageBreak/>
        <w:t>En</w:t>
      </w:r>
      <w:r>
        <w:rPr>
          <w:spacing w:val="35"/>
        </w:rPr>
        <w:t xml:space="preserve"> </w:t>
      </w:r>
      <w:r>
        <w:t>el</w:t>
      </w:r>
      <w:r>
        <w:rPr>
          <w:spacing w:val="34"/>
        </w:rPr>
        <w:t xml:space="preserve"> </w:t>
      </w:r>
      <w:r>
        <w:t>mismo</w:t>
      </w:r>
      <w:r>
        <w:rPr>
          <w:spacing w:val="35"/>
        </w:rPr>
        <w:t xml:space="preserve"> </w:t>
      </w:r>
      <w:r>
        <w:t>sentido,</w:t>
      </w:r>
      <w:r>
        <w:rPr>
          <w:spacing w:val="32"/>
        </w:rPr>
        <w:t xml:space="preserve"> </w:t>
      </w:r>
      <w:r>
        <w:t>Duque</w:t>
      </w:r>
      <w:r>
        <w:rPr>
          <w:spacing w:val="35"/>
        </w:rPr>
        <w:t xml:space="preserve"> </w:t>
      </w:r>
      <w:r>
        <w:t>(2017)</w:t>
      </w:r>
      <w:r>
        <w:rPr>
          <w:position w:val="8"/>
          <w:sz w:val="16"/>
        </w:rPr>
        <w:t>2</w:t>
      </w:r>
      <w:r>
        <w:rPr>
          <w:spacing w:val="40"/>
          <w:position w:val="8"/>
          <w:sz w:val="16"/>
        </w:rPr>
        <w:t xml:space="preserve"> </w:t>
      </w:r>
      <w:r>
        <w:t>observa</w:t>
      </w:r>
      <w:r>
        <w:rPr>
          <w:spacing w:val="35"/>
        </w:rPr>
        <w:t xml:space="preserve"> </w:t>
      </w:r>
      <w:r>
        <w:t>que</w:t>
      </w:r>
      <w:r>
        <w:rPr>
          <w:spacing w:val="32"/>
        </w:rPr>
        <w:t xml:space="preserve"> </w:t>
      </w:r>
      <w:r>
        <w:t>en</w:t>
      </w:r>
      <w:r>
        <w:rPr>
          <w:spacing w:val="35"/>
        </w:rPr>
        <w:t xml:space="preserve"> </w:t>
      </w:r>
      <w:r>
        <w:t>la</w:t>
      </w:r>
      <w:r>
        <w:rPr>
          <w:spacing w:val="35"/>
        </w:rPr>
        <w:t xml:space="preserve"> </w:t>
      </w:r>
      <w:r>
        <w:t>ley</w:t>
      </w:r>
      <w:r>
        <w:rPr>
          <w:spacing w:val="35"/>
        </w:rPr>
        <w:t xml:space="preserve"> </w:t>
      </w:r>
      <w:r>
        <w:t>N°</w:t>
      </w:r>
      <w:r>
        <w:rPr>
          <w:spacing w:val="34"/>
        </w:rPr>
        <w:t xml:space="preserve"> </w:t>
      </w:r>
      <w:r>
        <w:t>19.968</w:t>
      </w:r>
      <w:r>
        <w:rPr>
          <w:spacing w:val="35"/>
        </w:rPr>
        <w:t xml:space="preserve"> </w:t>
      </w:r>
      <w:r>
        <w:t>“se</w:t>
      </w:r>
      <w:r>
        <w:rPr>
          <w:spacing w:val="32"/>
        </w:rPr>
        <w:t xml:space="preserve"> </w:t>
      </w:r>
      <w:r>
        <w:t>haya establecido</w:t>
      </w:r>
      <w:r>
        <w:rPr>
          <w:spacing w:val="80"/>
        </w:rPr>
        <w:t xml:space="preserve"> </w:t>
      </w:r>
      <w:r>
        <w:t>una</w:t>
      </w:r>
      <w:r>
        <w:rPr>
          <w:spacing w:val="80"/>
        </w:rPr>
        <w:t xml:space="preserve"> </w:t>
      </w:r>
      <w:r>
        <w:t>potestad</w:t>
      </w:r>
      <w:r>
        <w:rPr>
          <w:spacing w:val="80"/>
        </w:rPr>
        <w:t xml:space="preserve"> </w:t>
      </w:r>
      <w:r>
        <w:t>cautelar</w:t>
      </w:r>
      <w:r>
        <w:rPr>
          <w:spacing w:val="80"/>
        </w:rPr>
        <w:t xml:space="preserve"> </w:t>
      </w:r>
      <w:r>
        <w:t>de</w:t>
      </w:r>
      <w:r>
        <w:rPr>
          <w:spacing w:val="80"/>
        </w:rPr>
        <w:t xml:space="preserve"> </w:t>
      </w:r>
      <w:r>
        <w:t>tal</w:t>
      </w:r>
      <w:r>
        <w:rPr>
          <w:spacing w:val="80"/>
        </w:rPr>
        <w:t xml:space="preserve"> </w:t>
      </w:r>
      <w:r>
        <w:t>magnitud</w:t>
      </w:r>
      <w:r>
        <w:rPr>
          <w:spacing w:val="80"/>
        </w:rPr>
        <w:t xml:space="preserve"> </w:t>
      </w:r>
      <w:r>
        <w:t>que</w:t>
      </w:r>
      <w:r>
        <w:rPr>
          <w:spacing w:val="80"/>
        </w:rPr>
        <w:t xml:space="preserve"> </w:t>
      </w:r>
      <w:r>
        <w:t>le</w:t>
      </w:r>
      <w:r>
        <w:rPr>
          <w:spacing w:val="80"/>
        </w:rPr>
        <w:t xml:space="preserve"> </w:t>
      </w:r>
      <w:r>
        <w:t>permite</w:t>
      </w:r>
      <w:r>
        <w:rPr>
          <w:spacing w:val="80"/>
        </w:rPr>
        <w:t xml:space="preserve"> </w:t>
      </w:r>
      <w:r>
        <w:t>al</w:t>
      </w:r>
      <w:r>
        <w:rPr>
          <w:spacing w:val="80"/>
        </w:rPr>
        <w:t xml:space="preserve"> </w:t>
      </w:r>
      <w:r>
        <w:t>juez</w:t>
      </w:r>
      <w:r>
        <w:rPr>
          <w:spacing w:val="80"/>
        </w:rPr>
        <w:t xml:space="preserve"> </w:t>
      </w:r>
      <w:r>
        <w:t>importantes facultades para diseñar las medidas cautelares, pero en un tema de</w:t>
      </w:r>
      <w:r>
        <w:rPr>
          <w:spacing w:val="40"/>
        </w:rPr>
        <w:t xml:space="preserve"> </w:t>
      </w:r>
      <w:r>
        <w:t>suma</w:t>
      </w:r>
      <w:r>
        <w:rPr>
          <w:spacing w:val="23"/>
        </w:rPr>
        <w:t xml:space="preserve"> </w:t>
      </w:r>
      <w:r>
        <w:t>urgencia</w:t>
      </w:r>
      <w:r>
        <w:rPr>
          <w:spacing w:val="25"/>
        </w:rPr>
        <w:t xml:space="preserve"> </w:t>
      </w:r>
      <w:r>
        <w:t>y</w:t>
      </w:r>
      <w:r>
        <w:rPr>
          <w:spacing w:val="24"/>
        </w:rPr>
        <w:t xml:space="preserve"> </w:t>
      </w:r>
      <w:r>
        <w:t>en el</w:t>
      </w:r>
      <w:r>
        <w:rPr>
          <w:spacing w:val="24"/>
        </w:rPr>
        <w:t xml:space="preserve"> </w:t>
      </w:r>
      <w:r>
        <w:t>que</w:t>
      </w:r>
      <w:r>
        <w:rPr>
          <w:spacing w:val="25"/>
        </w:rPr>
        <w:t xml:space="preserve"> </w:t>
      </w:r>
      <w:r>
        <w:t>el</w:t>
      </w:r>
      <w:r>
        <w:rPr>
          <w:spacing w:val="24"/>
        </w:rPr>
        <w:t xml:space="preserve"> </w:t>
      </w:r>
      <w:r>
        <w:t>interés</w:t>
      </w:r>
      <w:r>
        <w:rPr>
          <w:spacing w:val="24"/>
        </w:rPr>
        <w:t xml:space="preserve"> </w:t>
      </w:r>
      <w:r>
        <w:t>superior</w:t>
      </w:r>
      <w:r>
        <w:rPr>
          <w:spacing w:val="23"/>
        </w:rPr>
        <w:t xml:space="preserve"> </w:t>
      </w:r>
      <w:r>
        <w:t>de</w:t>
      </w:r>
      <w:r>
        <w:rPr>
          <w:spacing w:val="25"/>
        </w:rPr>
        <w:t xml:space="preserve"> </w:t>
      </w:r>
      <w:r>
        <w:t>niños,</w:t>
      </w:r>
      <w:r>
        <w:rPr>
          <w:spacing w:val="25"/>
        </w:rPr>
        <w:t xml:space="preserve"> </w:t>
      </w:r>
      <w:r>
        <w:t>niñas</w:t>
      </w:r>
      <w:r>
        <w:rPr>
          <w:spacing w:val="24"/>
        </w:rPr>
        <w:t xml:space="preserve"> </w:t>
      </w:r>
      <w:r>
        <w:t>y</w:t>
      </w:r>
      <w:r>
        <w:rPr>
          <w:spacing w:val="24"/>
        </w:rPr>
        <w:t xml:space="preserve"> </w:t>
      </w:r>
      <w:r>
        <w:t>adolescentes</w:t>
      </w:r>
      <w:r>
        <w:rPr>
          <w:spacing w:val="24"/>
        </w:rPr>
        <w:t xml:space="preserve"> </w:t>
      </w:r>
      <w:r>
        <w:t>se hace más patente, las tutelas sean numerus clausus. ¿Qué razón puede surgir de aquello?</w:t>
      </w:r>
      <w:r>
        <w:rPr>
          <w:spacing w:val="67"/>
        </w:rPr>
        <w:t xml:space="preserve"> </w:t>
      </w:r>
      <w:r>
        <w:t>Podemos</w:t>
      </w:r>
      <w:r>
        <w:rPr>
          <w:spacing w:val="67"/>
        </w:rPr>
        <w:t xml:space="preserve"> </w:t>
      </w:r>
      <w:r>
        <w:t>señalar</w:t>
      </w:r>
      <w:r>
        <w:rPr>
          <w:spacing w:val="40"/>
        </w:rPr>
        <w:t xml:space="preserve"> </w:t>
      </w:r>
      <w:r>
        <w:t>que</w:t>
      </w:r>
      <w:r>
        <w:rPr>
          <w:spacing w:val="67"/>
        </w:rPr>
        <w:t xml:space="preserve"> </w:t>
      </w:r>
      <w:r>
        <w:t>en</w:t>
      </w:r>
      <w:r>
        <w:rPr>
          <w:spacing w:val="67"/>
        </w:rPr>
        <w:t xml:space="preserve"> </w:t>
      </w:r>
      <w:r>
        <w:t>el</w:t>
      </w:r>
      <w:r>
        <w:rPr>
          <w:spacing w:val="40"/>
        </w:rPr>
        <w:t xml:space="preserve"> </w:t>
      </w:r>
      <w:r>
        <w:t>proyecto</w:t>
      </w:r>
      <w:r>
        <w:rPr>
          <w:spacing w:val="68"/>
        </w:rPr>
        <w:t xml:space="preserve"> </w:t>
      </w:r>
      <w:r>
        <w:t>que</w:t>
      </w:r>
      <w:r>
        <w:rPr>
          <w:spacing w:val="67"/>
        </w:rPr>
        <w:t xml:space="preserve"> </w:t>
      </w:r>
      <w:r>
        <w:t>da</w:t>
      </w:r>
      <w:r>
        <w:rPr>
          <w:spacing w:val="67"/>
        </w:rPr>
        <w:t xml:space="preserve"> </w:t>
      </w:r>
      <w:r>
        <w:t>inicio</w:t>
      </w:r>
      <w:r>
        <w:rPr>
          <w:spacing w:val="67"/>
        </w:rPr>
        <w:t xml:space="preserve"> </w:t>
      </w:r>
      <w:r>
        <w:t>a</w:t>
      </w:r>
      <w:r>
        <w:rPr>
          <w:spacing w:val="40"/>
        </w:rPr>
        <w:t xml:space="preserve"> </w:t>
      </w:r>
      <w:r>
        <w:t>la</w:t>
      </w:r>
      <w:r>
        <w:rPr>
          <w:spacing w:val="76"/>
        </w:rPr>
        <w:t xml:space="preserve"> </w:t>
      </w:r>
      <w:r>
        <w:t>tramitación legislativa</w:t>
      </w:r>
      <w:r>
        <w:rPr>
          <w:spacing w:val="40"/>
        </w:rPr>
        <w:t xml:space="preserve"> </w:t>
      </w:r>
      <w:r>
        <w:t>de</w:t>
      </w:r>
      <w:r>
        <w:rPr>
          <w:spacing w:val="40"/>
        </w:rPr>
        <w:t xml:space="preserve"> </w:t>
      </w:r>
      <w:r>
        <w:t>la</w:t>
      </w:r>
      <w:r>
        <w:rPr>
          <w:spacing w:val="40"/>
        </w:rPr>
        <w:t xml:space="preserve"> </w:t>
      </w:r>
      <w:r>
        <w:t>que</w:t>
      </w:r>
      <w:r>
        <w:rPr>
          <w:spacing w:val="40"/>
        </w:rPr>
        <w:t xml:space="preserve"> </w:t>
      </w:r>
      <w:r>
        <w:t>sería</w:t>
      </w:r>
      <w:r>
        <w:rPr>
          <w:spacing w:val="40"/>
        </w:rPr>
        <w:t xml:space="preserve"> </w:t>
      </w:r>
      <w:r>
        <w:t>la</w:t>
      </w:r>
      <w:r>
        <w:rPr>
          <w:spacing w:val="40"/>
        </w:rPr>
        <w:t xml:space="preserve"> </w:t>
      </w:r>
      <w:r>
        <w:t>ley</w:t>
      </w:r>
      <w:r>
        <w:rPr>
          <w:spacing w:val="40"/>
        </w:rPr>
        <w:t xml:space="preserve"> </w:t>
      </w:r>
      <w:r>
        <w:t>de</w:t>
      </w:r>
      <w:r>
        <w:rPr>
          <w:spacing w:val="40"/>
        </w:rPr>
        <w:t xml:space="preserve"> </w:t>
      </w:r>
      <w:r>
        <w:t>familia,</w:t>
      </w:r>
      <w:r>
        <w:rPr>
          <w:spacing w:val="40"/>
        </w:rPr>
        <w:t xml:space="preserve"> </w:t>
      </w:r>
      <w:r>
        <w:t>la</w:t>
      </w:r>
      <w:r>
        <w:rPr>
          <w:spacing w:val="40"/>
        </w:rPr>
        <w:t xml:space="preserve"> </w:t>
      </w:r>
      <w:r>
        <w:t>norma</w:t>
      </w:r>
      <w:r>
        <w:rPr>
          <w:spacing w:val="40"/>
        </w:rPr>
        <w:t xml:space="preserve"> </w:t>
      </w:r>
      <w:r>
        <w:t>no</w:t>
      </w:r>
      <w:r>
        <w:rPr>
          <w:spacing w:val="40"/>
        </w:rPr>
        <w:t xml:space="preserve"> </w:t>
      </w:r>
      <w:r>
        <w:t>era</w:t>
      </w:r>
      <w:r>
        <w:rPr>
          <w:spacing w:val="40"/>
        </w:rPr>
        <w:t xml:space="preserve"> </w:t>
      </w:r>
      <w:r>
        <w:t>taxativa.</w:t>
      </w:r>
      <w:r>
        <w:rPr>
          <w:spacing w:val="40"/>
        </w:rPr>
        <w:t xml:space="preserve"> </w:t>
      </w:r>
      <w:r>
        <w:t>Solo</w:t>
      </w:r>
      <w:r>
        <w:rPr>
          <w:spacing w:val="40"/>
        </w:rPr>
        <w:t xml:space="preserve"> </w:t>
      </w:r>
      <w:r>
        <w:t>por indicación</w:t>
      </w:r>
      <w:r>
        <w:rPr>
          <w:spacing w:val="80"/>
        </w:rPr>
        <w:t xml:space="preserve"> </w:t>
      </w:r>
      <w:r>
        <w:t>se</w:t>
      </w:r>
      <w:r>
        <w:rPr>
          <w:spacing w:val="80"/>
        </w:rPr>
        <w:t xml:space="preserve"> </w:t>
      </w:r>
      <w:r>
        <w:t>estableció</w:t>
      </w:r>
      <w:r>
        <w:rPr>
          <w:spacing w:val="80"/>
        </w:rPr>
        <w:t xml:space="preserve"> </w:t>
      </w:r>
      <w:r>
        <w:t>aquella</w:t>
      </w:r>
      <w:r>
        <w:rPr>
          <w:spacing w:val="80"/>
        </w:rPr>
        <w:t xml:space="preserve"> </w:t>
      </w:r>
      <w:r>
        <w:t>condición.</w:t>
      </w:r>
      <w:r>
        <w:rPr>
          <w:spacing w:val="80"/>
        </w:rPr>
        <w:t xml:space="preserve"> </w:t>
      </w:r>
      <w:r>
        <w:t>La</w:t>
      </w:r>
      <w:r>
        <w:rPr>
          <w:spacing w:val="80"/>
        </w:rPr>
        <w:t xml:space="preserve"> </w:t>
      </w:r>
      <w:r>
        <w:t>historia</w:t>
      </w:r>
      <w:r>
        <w:rPr>
          <w:spacing w:val="80"/>
        </w:rPr>
        <w:t xml:space="preserve"> </w:t>
      </w:r>
      <w:r>
        <w:t>de</w:t>
      </w:r>
      <w:r>
        <w:rPr>
          <w:spacing w:val="80"/>
        </w:rPr>
        <w:t xml:space="preserve"> </w:t>
      </w:r>
      <w:r>
        <w:t>la</w:t>
      </w:r>
      <w:r>
        <w:rPr>
          <w:spacing w:val="80"/>
        </w:rPr>
        <w:t xml:space="preserve"> </w:t>
      </w:r>
      <w:r>
        <w:t>ley</w:t>
      </w:r>
      <w:r>
        <w:rPr>
          <w:spacing w:val="80"/>
        </w:rPr>
        <w:t xml:space="preserve"> </w:t>
      </w:r>
      <w:r>
        <w:t>no</w:t>
      </w:r>
      <w:r>
        <w:rPr>
          <w:spacing w:val="80"/>
        </w:rPr>
        <w:t xml:space="preserve"> </w:t>
      </w:r>
      <w:r>
        <w:t>entrega mayores razones para este cambio.”</w:t>
      </w:r>
    </w:p>
    <w:p w:rsidR="00253CCF" w:rsidRDefault="00253CCF">
      <w:pPr>
        <w:pStyle w:val="Textoindependiente"/>
        <w:rPr>
          <w:sz w:val="36"/>
        </w:rPr>
      </w:pPr>
    </w:p>
    <w:p w:rsidR="00253CCF" w:rsidRDefault="00842587">
      <w:pPr>
        <w:pStyle w:val="Textoindependiente"/>
        <w:spacing w:before="1" w:line="357" w:lineRule="auto"/>
        <w:ind w:left="102" w:right="119"/>
        <w:jc w:val="both"/>
        <w:rPr>
          <w:sz w:val="16"/>
        </w:rPr>
      </w:pPr>
      <w:r>
        <w:t>6.-</w:t>
      </w:r>
      <w:r>
        <w:rPr>
          <w:spacing w:val="40"/>
        </w:rPr>
        <w:t xml:space="preserve">  </w:t>
      </w:r>
      <w:r>
        <w:t xml:space="preserve">Que, en efecto, al analizar la historia de la ley N° 19.968 se advierte que el Mensaje revela la intención de entregar </w:t>
      </w:r>
      <w:r>
        <w:t>a los jueces una amplia potestad cautelar, que puede ejercer tanto de oficio como a petición de parte.</w:t>
      </w:r>
      <w:r>
        <w:rPr>
          <w:position w:val="8"/>
          <w:sz w:val="16"/>
        </w:rPr>
        <w:t>3</w:t>
      </w:r>
    </w:p>
    <w:p w:rsidR="00253CCF" w:rsidRDefault="00842587">
      <w:pPr>
        <w:pStyle w:val="Textoindependiente"/>
        <w:spacing w:before="4" w:line="360" w:lineRule="auto"/>
        <w:ind w:left="102" w:right="125"/>
        <w:jc w:val="both"/>
      </w:pPr>
      <w:r>
        <w:t xml:space="preserve">Si bien ello concitó un firme respaldo en las comisiones de la Cámara de Diputados, hubo voces críticas, como la de la ex Diputada señora Cubillos, que </w:t>
      </w:r>
      <w:r>
        <w:t>expresó en la Sala, entre las materias</w:t>
      </w:r>
      <w:r>
        <w:rPr>
          <w:spacing w:val="-1"/>
        </w:rPr>
        <w:t xml:space="preserve"> </w:t>
      </w:r>
      <w:r>
        <w:t>que, a</w:t>
      </w:r>
      <w:r>
        <w:rPr>
          <w:spacing w:val="-2"/>
        </w:rPr>
        <w:t xml:space="preserve"> </w:t>
      </w:r>
      <w:r>
        <w:t>su juicio requerían un</w:t>
      </w:r>
      <w:r>
        <w:rPr>
          <w:spacing w:val="-3"/>
        </w:rPr>
        <w:t xml:space="preserve"> </w:t>
      </w:r>
      <w:r>
        <w:t>mayor</w:t>
      </w:r>
      <w:r>
        <w:rPr>
          <w:spacing w:val="-2"/>
        </w:rPr>
        <w:t xml:space="preserve"> </w:t>
      </w:r>
      <w:r>
        <w:t>análisis, lo siguiente:</w:t>
      </w:r>
    </w:p>
    <w:p w:rsidR="00253CCF" w:rsidRDefault="00842587">
      <w:pPr>
        <w:pStyle w:val="Textoindependiente"/>
        <w:spacing w:before="1" w:line="360" w:lineRule="auto"/>
        <w:ind w:left="102" w:right="116"/>
        <w:jc w:val="both"/>
        <w:rPr>
          <w:sz w:val="16"/>
        </w:rPr>
      </w:pPr>
      <w:r>
        <w:t xml:space="preserve">“En segundo lugar, la necesidad de limitar las amplias facultades discrecionales que se otorgan al juez para imponer medidas cautelares, definir sistemas de </w:t>
      </w:r>
      <w:r>
        <w:t xml:space="preserve">notificación y en relación con varios otros aspectos del procedimiento. Sería importante revisar esos aspectos para fijar marcos legales y exigir resolución </w:t>
      </w:r>
      <w:r>
        <w:rPr>
          <w:spacing w:val="-2"/>
        </w:rPr>
        <w:t>fundada.”</w:t>
      </w:r>
      <w:r>
        <w:rPr>
          <w:spacing w:val="-2"/>
          <w:position w:val="8"/>
          <w:sz w:val="16"/>
        </w:rPr>
        <w:t>4</w:t>
      </w:r>
    </w:p>
    <w:p w:rsidR="00253CCF" w:rsidRDefault="00842587">
      <w:pPr>
        <w:pStyle w:val="Textoindependiente"/>
        <w:spacing w:line="360" w:lineRule="auto"/>
        <w:ind w:left="102" w:right="123"/>
        <w:jc w:val="both"/>
      </w:pPr>
      <w:r>
        <w:t>Probablemente, dicha objeción fue la que se tuvo en cuenta durante el trámite legislativ</w:t>
      </w:r>
      <w:r>
        <w:t>o del proyecto en el Senado. De esta forma, tras el primer informe de la Comisión de Constitución, Legislación, Justicia y Reglamento, una indicación del Ejecutivo propuso modificar el artículo 22 incorporando el inciso final:</w:t>
      </w:r>
    </w:p>
    <w:p w:rsidR="00253CCF" w:rsidRDefault="00253CCF">
      <w:pPr>
        <w:pStyle w:val="Textoindependiente"/>
        <w:rPr>
          <w:sz w:val="20"/>
        </w:rPr>
      </w:pPr>
    </w:p>
    <w:p w:rsidR="00253CCF" w:rsidRDefault="00842587">
      <w:pPr>
        <w:pStyle w:val="Textoindependiente"/>
        <w:spacing w:before="11"/>
        <w:rPr>
          <w:sz w:val="28"/>
        </w:rPr>
      </w:pPr>
      <w:r>
        <w:pict>
          <v:rect id="docshape2" o:spid="_x0000_s1026" style="position:absolute;margin-left:85.1pt;margin-top:17.85pt;width:2in;height:.7pt;z-index:-15728128;mso-wrap-distance-left:0;mso-wrap-distance-right:0;mso-position-horizontal-relative:page" fillcolor="black" stroked="f">
            <w10:wrap type="topAndBottom" anchorx="page"/>
          </v:rect>
        </w:pict>
      </w:r>
    </w:p>
    <w:p w:rsidR="00253CCF" w:rsidRDefault="00842587">
      <w:pPr>
        <w:spacing w:before="102" w:line="256" w:lineRule="auto"/>
        <w:ind w:left="102"/>
        <w:rPr>
          <w:rFonts w:ascii="Calibri" w:hAnsi="Calibri"/>
          <w:sz w:val="20"/>
        </w:rPr>
      </w:pPr>
      <w:r>
        <w:rPr>
          <w:rFonts w:ascii="Calibri" w:hAnsi="Calibri"/>
          <w:sz w:val="20"/>
          <w:vertAlign w:val="superscript"/>
        </w:rPr>
        <w:t>2</w:t>
      </w:r>
      <w:r>
        <w:rPr>
          <w:rFonts w:ascii="Calibri" w:hAnsi="Calibri"/>
          <w:spacing w:val="34"/>
          <w:sz w:val="20"/>
        </w:rPr>
        <w:t xml:space="preserve"> </w:t>
      </w:r>
      <w:r>
        <w:rPr>
          <w:rFonts w:ascii="Calibri" w:hAnsi="Calibri"/>
          <w:sz w:val="20"/>
        </w:rPr>
        <w:t>Duque,</w:t>
      </w:r>
      <w:r>
        <w:rPr>
          <w:rFonts w:ascii="Calibri" w:hAnsi="Calibri"/>
          <w:spacing w:val="33"/>
          <w:sz w:val="20"/>
        </w:rPr>
        <w:t xml:space="preserve"> </w:t>
      </w:r>
      <w:r>
        <w:rPr>
          <w:rFonts w:ascii="Calibri" w:hAnsi="Calibri"/>
          <w:sz w:val="20"/>
        </w:rPr>
        <w:t>José</w:t>
      </w:r>
      <w:r>
        <w:rPr>
          <w:rFonts w:ascii="Calibri" w:hAnsi="Calibri"/>
          <w:spacing w:val="34"/>
          <w:sz w:val="20"/>
        </w:rPr>
        <w:t xml:space="preserve"> </w:t>
      </w:r>
      <w:r>
        <w:rPr>
          <w:rFonts w:ascii="Calibri" w:hAnsi="Calibri"/>
          <w:sz w:val="20"/>
        </w:rPr>
        <w:t>Alejandro,</w:t>
      </w:r>
      <w:r>
        <w:rPr>
          <w:rFonts w:ascii="Calibri" w:hAnsi="Calibri"/>
          <w:spacing w:val="33"/>
          <w:sz w:val="20"/>
        </w:rPr>
        <w:t xml:space="preserve"> </w:t>
      </w:r>
      <w:r>
        <w:rPr>
          <w:rFonts w:ascii="Calibri" w:hAnsi="Calibri"/>
          <w:sz w:val="20"/>
        </w:rPr>
        <w:t>La</w:t>
      </w:r>
      <w:r>
        <w:rPr>
          <w:rFonts w:ascii="Calibri" w:hAnsi="Calibri"/>
          <w:spacing w:val="31"/>
          <w:sz w:val="20"/>
        </w:rPr>
        <w:t xml:space="preserve"> </w:t>
      </w:r>
      <w:r>
        <w:rPr>
          <w:rFonts w:ascii="Calibri" w:hAnsi="Calibri"/>
          <w:sz w:val="20"/>
        </w:rPr>
        <w:t>potestad</w:t>
      </w:r>
      <w:r>
        <w:rPr>
          <w:rFonts w:ascii="Calibri" w:hAnsi="Calibri"/>
          <w:spacing w:val="36"/>
          <w:sz w:val="20"/>
        </w:rPr>
        <w:t xml:space="preserve"> </w:t>
      </w:r>
      <w:r>
        <w:rPr>
          <w:rFonts w:ascii="Calibri" w:hAnsi="Calibri"/>
          <w:sz w:val="20"/>
        </w:rPr>
        <w:t>cautelar</w:t>
      </w:r>
      <w:r>
        <w:rPr>
          <w:rFonts w:ascii="Calibri" w:hAnsi="Calibri"/>
          <w:spacing w:val="33"/>
          <w:sz w:val="20"/>
        </w:rPr>
        <w:t xml:space="preserve"> </w:t>
      </w:r>
      <w:r>
        <w:rPr>
          <w:rFonts w:ascii="Calibri" w:hAnsi="Calibri"/>
          <w:sz w:val="20"/>
        </w:rPr>
        <w:t>del</w:t>
      </w:r>
      <w:r>
        <w:rPr>
          <w:rFonts w:ascii="Calibri" w:hAnsi="Calibri"/>
          <w:spacing w:val="35"/>
          <w:sz w:val="20"/>
        </w:rPr>
        <w:t xml:space="preserve"> </w:t>
      </w:r>
      <w:r>
        <w:rPr>
          <w:rFonts w:ascii="Calibri" w:hAnsi="Calibri"/>
          <w:sz w:val="20"/>
        </w:rPr>
        <w:t>juez</w:t>
      </w:r>
      <w:r>
        <w:rPr>
          <w:rFonts w:ascii="Calibri" w:hAnsi="Calibri"/>
          <w:spacing w:val="35"/>
          <w:sz w:val="20"/>
        </w:rPr>
        <w:t xml:space="preserve"> </w:t>
      </w:r>
      <w:r>
        <w:rPr>
          <w:rFonts w:ascii="Calibri" w:hAnsi="Calibri"/>
          <w:sz w:val="20"/>
        </w:rPr>
        <w:t>de</w:t>
      </w:r>
      <w:r>
        <w:rPr>
          <w:rFonts w:ascii="Calibri" w:hAnsi="Calibri"/>
          <w:spacing w:val="34"/>
          <w:sz w:val="20"/>
        </w:rPr>
        <w:t xml:space="preserve"> </w:t>
      </w:r>
      <w:r>
        <w:rPr>
          <w:rFonts w:ascii="Calibri" w:hAnsi="Calibri"/>
          <w:sz w:val="20"/>
        </w:rPr>
        <w:t>familia.</w:t>
      </w:r>
      <w:r>
        <w:rPr>
          <w:rFonts w:ascii="Calibri" w:hAnsi="Calibri"/>
          <w:spacing w:val="36"/>
          <w:sz w:val="20"/>
        </w:rPr>
        <w:t xml:space="preserve"> </w:t>
      </w:r>
      <w:r>
        <w:rPr>
          <w:rFonts w:ascii="Calibri" w:hAnsi="Calibri"/>
          <w:sz w:val="20"/>
        </w:rPr>
        <w:t>Sus</w:t>
      </w:r>
      <w:r>
        <w:rPr>
          <w:rFonts w:ascii="Calibri" w:hAnsi="Calibri"/>
          <w:spacing w:val="36"/>
          <w:sz w:val="20"/>
        </w:rPr>
        <w:t xml:space="preserve"> </w:t>
      </w:r>
      <w:r>
        <w:rPr>
          <w:rFonts w:ascii="Calibri" w:hAnsi="Calibri"/>
          <w:sz w:val="20"/>
        </w:rPr>
        <w:t>alcances</w:t>
      </w:r>
      <w:r>
        <w:rPr>
          <w:rFonts w:ascii="Calibri" w:hAnsi="Calibri"/>
          <w:spacing w:val="36"/>
          <w:sz w:val="20"/>
        </w:rPr>
        <w:t xml:space="preserve"> </w:t>
      </w:r>
      <w:r>
        <w:rPr>
          <w:rFonts w:ascii="Calibri" w:hAnsi="Calibri"/>
          <w:sz w:val="20"/>
        </w:rPr>
        <w:t>y</w:t>
      </w:r>
      <w:r>
        <w:rPr>
          <w:rFonts w:ascii="Calibri" w:hAnsi="Calibri"/>
          <w:spacing w:val="34"/>
          <w:sz w:val="20"/>
        </w:rPr>
        <w:t xml:space="preserve"> </w:t>
      </w:r>
      <w:r>
        <w:rPr>
          <w:rFonts w:ascii="Calibri" w:hAnsi="Calibri"/>
          <w:sz w:val="20"/>
        </w:rPr>
        <w:t>límites,</w:t>
      </w:r>
      <w:r>
        <w:rPr>
          <w:rFonts w:ascii="Calibri" w:hAnsi="Calibri"/>
          <w:spacing w:val="35"/>
          <w:sz w:val="20"/>
        </w:rPr>
        <w:t xml:space="preserve"> </w:t>
      </w:r>
      <w:r>
        <w:rPr>
          <w:rFonts w:ascii="Calibri" w:hAnsi="Calibri"/>
          <w:sz w:val="20"/>
        </w:rPr>
        <w:t>en</w:t>
      </w:r>
      <w:r>
        <w:rPr>
          <w:rFonts w:ascii="Calibri" w:hAnsi="Calibri"/>
          <w:spacing w:val="36"/>
          <w:sz w:val="20"/>
        </w:rPr>
        <w:t xml:space="preserve"> </w:t>
      </w:r>
      <w:r>
        <w:rPr>
          <w:rFonts w:ascii="Calibri" w:hAnsi="Calibri"/>
          <w:sz w:val="20"/>
        </w:rPr>
        <w:t>Revista</w:t>
      </w:r>
      <w:r>
        <w:rPr>
          <w:rFonts w:ascii="Calibri" w:hAnsi="Calibri"/>
          <w:spacing w:val="34"/>
          <w:sz w:val="20"/>
        </w:rPr>
        <w:t xml:space="preserve"> </w:t>
      </w:r>
      <w:r>
        <w:rPr>
          <w:rFonts w:ascii="Calibri" w:hAnsi="Calibri"/>
          <w:sz w:val="20"/>
        </w:rPr>
        <w:t>de Estudios Judiciales Nº 4, Ediciones DER, 2017. Pg. 128.</w:t>
      </w:r>
    </w:p>
    <w:p w:rsidR="00253CCF" w:rsidRDefault="00842587">
      <w:pPr>
        <w:spacing w:before="164"/>
        <w:ind w:left="102"/>
        <w:rPr>
          <w:rFonts w:ascii="Calibri" w:hAnsi="Calibri"/>
          <w:sz w:val="20"/>
        </w:rPr>
      </w:pPr>
      <w:r>
        <w:rPr>
          <w:rFonts w:ascii="Calibri" w:hAnsi="Calibri"/>
          <w:sz w:val="20"/>
          <w:vertAlign w:val="superscript"/>
        </w:rPr>
        <w:t>3</w:t>
      </w:r>
      <w:r>
        <w:rPr>
          <w:rFonts w:ascii="Calibri" w:hAnsi="Calibri"/>
          <w:spacing w:val="-5"/>
          <w:sz w:val="20"/>
        </w:rPr>
        <w:t xml:space="preserve"> </w:t>
      </w:r>
      <w:r>
        <w:rPr>
          <w:rFonts w:ascii="Calibri" w:hAnsi="Calibri"/>
          <w:sz w:val="20"/>
        </w:rPr>
        <w:t>Historia</w:t>
      </w:r>
      <w:r>
        <w:rPr>
          <w:rFonts w:ascii="Calibri" w:hAnsi="Calibri"/>
          <w:spacing w:val="-4"/>
          <w:sz w:val="20"/>
        </w:rPr>
        <w:t xml:space="preserve"> </w:t>
      </w:r>
      <w:r>
        <w:rPr>
          <w:rFonts w:ascii="Calibri" w:hAnsi="Calibri"/>
          <w:sz w:val="20"/>
        </w:rPr>
        <w:t>de</w:t>
      </w:r>
      <w:r>
        <w:rPr>
          <w:rFonts w:ascii="Calibri" w:hAnsi="Calibri"/>
          <w:spacing w:val="-5"/>
          <w:sz w:val="20"/>
        </w:rPr>
        <w:t xml:space="preserve"> </w:t>
      </w:r>
      <w:r>
        <w:rPr>
          <w:rFonts w:ascii="Calibri" w:hAnsi="Calibri"/>
          <w:sz w:val="20"/>
        </w:rPr>
        <w:t>la</w:t>
      </w:r>
      <w:r>
        <w:rPr>
          <w:rFonts w:ascii="Calibri" w:hAnsi="Calibri"/>
          <w:spacing w:val="-4"/>
          <w:sz w:val="20"/>
        </w:rPr>
        <w:t xml:space="preserve"> </w:t>
      </w:r>
      <w:r>
        <w:rPr>
          <w:rFonts w:ascii="Calibri" w:hAnsi="Calibri"/>
          <w:sz w:val="20"/>
        </w:rPr>
        <w:t>ley</w:t>
      </w:r>
      <w:r>
        <w:rPr>
          <w:rFonts w:ascii="Calibri" w:hAnsi="Calibri"/>
          <w:spacing w:val="-3"/>
          <w:sz w:val="20"/>
        </w:rPr>
        <w:t xml:space="preserve"> </w:t>
      </w:r>
      <w:r>
        <w:rPr>
          <w:rFonts w:ascii="Calibri" w:hAnsi="Calibri"/>
          <w:sz w:val="20"/>
        </w:rPr>
        <w:t>N°</w:t>
      </w:r>
      <w:r>
        <w:rPr>
          <w:rFonts w:ascii="Calibri" w:hAnsi="Calibri"/>
          <w:spacing w:val="-4"/>
          <w:sz w:val="20"/>
        </w:rPr>
        <w:t xml:space="preserve"> </w:t>
      </w:r>
      <w:r>
        <w:rPr>
          <w:rFonts w:ascii="Calibri" w:hAnsi="Calibri"/>
          <w:sz w:val="20"/>
        </w:rPr>
        <w:t>19.968,</w:t>
      </w:r>
      <w:r>
        <w:rPr>
          <w:rFonts w:ascii="Calibri" w:hAnsi="Calibri"/>
          <w:spacing w:val="-4"/>
          <w:sz w:val="20"/>
        </w:rPr>
        <w:t xml:space="preserve"> </w:t>
      </w:r>
      <w:r>
        <w:rPr>
          <w:rFonts w:ascii="Calibri" w:hAnsi="Calibri"/>
          <w:sz w:val="20"/>
        </w:rPr>
        <w:t>Biblioteca</w:t>
      </w:r>
      <w:r>
        <w:rPr>
          <w:rFonts w:ascii="Calibri" w:hAnsi="Calibri"/>
          <w:spacing w:val="-4"/>
          <w:sz w:val="20"/>
        </w:rPr>
        <w:t xml:space="preserve"> </w:t>
      </w:r>
      <w:r>
        <w:rPr>
          <w:rFonts w:ascii="Calibri" w:hAnsi="Calibri"/>
          <w:sz w:val="20"/>
        </w:rPr>
        <w:t>del</w:t>
      </w:r>
      <w:r>
        <w:rPr>
          <w:rFonts w:ascii="Calibri" w:hAnsi="Calibri"/>
          <w:spacing w:val="-4"/>
          <w:sz w:val="20"/>
        </w:rPr>
        <w:t xml:space="preserve"> </w:t>
      </w:r>
      <w:r>
        <w:rPr>
          <w:rFonts w:ascii="Calibri" w:hAnsi="Calibri"/>
          <w:sz w:val="20"/>
        </w:rPr>
        <w:t>Congreso</w:t>
      </w:r>
      <w:r>
        <w:rPr>
          <w:rFonts w:ascii="Calibri" w:hAnsi="Calibri"/>
          <w:spacing w:val="-4"/>
          <w:sz w:val="20"/>
        </w:rPr>
        <w:t xml:space="preserve"> </w:t>
      </w:r>
      <w:r>
        <w:rPr>
          <w:rFonts w:ascii="Calibri" w:hAnsi="Calibri"/>
          <w:sz w:val="20"/>
        </w:rPr>
        <w:t>Nacional.</w:t>
      </w:r>
      <w:r>
        <w:rPr>
          <w:rFonts w:ascii="Calibri" w:hAnsi="Calibri"/>
          <w:spacing w:val="-4"/>
          <w:sz w:val="20"/>
        </w:rPr>
        <w:t xml:space="preserve"> </w:t>
      </w:r>
      <w:r>
        <w:rPr>
          <w:rFonts w:ascii="Calibri" w:hAnsi="Calibri"/>
          <w:sz w:val="20"/>
        </w:rPr>
        <w:t>Pg.</w:t>
      </w:r>
      <w:r>
        <w:rPr>
          <w:rFonts w:ascii="Calibri" w:hAnsi="Calibri"/>
          <w:spacing w:val="-4"/>
          <w:sz w:val="20"/>
        </w:rPr>
        <w:t xml:space="preserve"> </w:t>
      </w:r>
      <w:r>
        <w:rPr>
          <w:rFonts w:ascii="Calibri" w:hAnsi="Calibri"/>
          <w:spacing w:val="-5"/>
          <w:sz w:val="20"/>
        </w:rPr>
        <w:t>8.</w:t>
      </w:r>
    </w:p>
    <w:p w:rsidR="00253CCF" w:rsidRDefault="00842587">
      <w:pPr>
        <w:spacing w:before="179"/>
        <w:ind w:left="102"/>
        <w:rPr>
          <w:rFonts w:ascii="Calibri" w:hAnsi="Calibri"/>
          <w:sz w:val="20"/>
        </w:rPr>
      </w:pPr>
      <w:r>
        <w:rPr>
          <w:rFonts w:ascii="Calibri" w:hAnsi="Calibri"/>
          <w:sz w:val="20"/>
          <w:vertAlign w:val="superscript"/>
        </w:rPr>
        <w:t>4</w:t>
      </w:r>
      <w:r>
        <w:rPr>
          <w:rFonts w:ascii="Calibri" w:hAnsi="Calibri"/>
          <w:spacing w:val="-5"/>
          <w:sz w:val="20"/>
        </w:rPr>
        <w:t xml:space="preserve"> </w:t>
      </w:r>
      <w:r>
        <w:rPr>
          <w:rFonts w:ascii="Calibri" w:hAnsi="Calibri"/>
          <w:sz w:val="20"/>
        </w:rPr>
        <w:t>Historia</w:t>
      </w:r>
      <w:r>
        <w:rPr>
          <w:rFonts w:ascii="Calibri" w:hAnsi="Calibri"/>
          <w:spacing w:val="-4"/>
          <w:sz w:val="20"/>
        </w:rPr>
        <w:t xml:space="preserve"> </w:t>
      </w:r>
      <w:r>
        <w:rPr>
          <w:rFonts w:ascii="Calibri" w:hAnsi="Calibri"/>
          <w:sz w:val="20"/>
        </w:rPr>
        <w:t>de</w:t>
      </w:r>
      <w:r>
        <w:rPr>
          <w:rFonts w:ascii="Calibri" w:hAnsi="Calibri"/>
          <w:spacing w:val="-5"/>
          <w:sz w:val="20"/>
        </w:rPr>
        <w:t xml:space="preserve"> </w:t>
      </w:r>
      <w:r>
        <w:rPr>
          <w:rFonts w:ascii="Calibri" w:hAnsi="Calibri"/>
          <w:sz w:val="20"/>
        </w:rPr>
        <w:t>la</w:t>
      </w:r>
      <w:r>
        <w:rPr>
          <w:rFonts w:ascii="Calibri" w:hAnsi="Calibri"/>
          <w:spacing w:val="-4"/>
          <w:sz w:val="20"/>
        </w:rPr>
        <w:t xml:space="preserve"> </w:t>
      </w:r>
      <w:r>
        <w:rPr>
          <w:rFonts w:ascii="Calibri" w:hAnsi="Calibri"/>
          <w:sz w:val="20"/>
        </w:rPr>
        <w:t>ley</w:t>
      </w:r>
      <w:r>
        <w:rPr>
          <w:rFonts w:ascii="Calibri" w:hAnsi="Calibri"/>
          <w:spacing w:val="-3"/>
          <w:sz w:val="20"/>
        </w:rPr>
        <w:t xml:space="preserve"> </w:t>
      </w:r>
      <w:r>
        <w:rPr>
          <w:rFonts w:ascii="Calibri" w:hAnsi="Calibri"/>
          <w:sz w:val="20"/>
        </w:rPr>
        <w:t>N°</w:t>
      </w:r>
      <w:r>
        <w:rPr>
          <w:rFonts w:ascii="Calibri" w:hAnsi="Calibri"/>
          <w:spacing w:val="-5"/>
          <w:sz w:val="20"/>
        </w:rPr>
        <w:t xml:space="preserve"> </w:t>
      </w:r>
      <w:r>
        <w:rPr>
          <w:rFonts w:ascii="Calibri" w:hAnsi="Calibri"/>
          <w:sz w:val="20"/>
        </w:rPr>
        <w:t>19.968,</w:t>
      </w:r>
      <w:r>
        <w:rPr>
          <w:rFonts w:ascii="Calibri" w:hAnsi="Calibri"/>
          <w:spacing w:val="-4"/>
          <w:sz w:val="20"/>
        </w:rPr>
        <w:t xml:space="preserve"> </w:t>
      </w:r>
      <w:r>
        <w:rPr>
          <w:rFonts w:ascii="Calibri" w:hAnsi="Calibri"/>
          <w:sz w:val="20"/>
        </w:rPr>
        <w:t>Biblioteca</w:t>
      </w:r>
      <w:r>
        <w:rPr>
          <w:rFonts w:ascii="Calibri" w:hAnsi="Calibri"/>
          <w:spacing w:val="-4"/>
          <w:sz w:val="20"/>
        </w:rPr>
        <w:t xml:space="preserve"> </w:t>
      </w:r>
      <w:r>
        <w:rPr>
          <w:rFonts w:ascii="Calibri" w:hAnsi="Calibri"/>
          <w:sz w:val="20"/>
        </w:rPr>
        <w:t>del</w:t>
      </w:r>
      <w:r>
        <w:rPr>
          <w:rFonts w:ascii="Calibri" w:hAnsi="Calibri"/>
          <w:spacing w:val="-4"/>
          <w:sz w:val="20"/>
        </w:rPr>
        <w:t xml:space="preserve"> </w:t>
      </w:r>
      <w:r>
        <w:rPr>
          <w:rFonts w:ascii="Calibri" w:hAnsi="Calibri"/>
          <w:sz w:val="20"/>
        </w:rPr>
        <w:t>Congreso</w:t>
      </w:r>
      <w:r>
        <w:rPr>
          <w:rFonts w:ascii="Calibri" w:hAnsi="Calibri"/>
          <w:spacing w:val="-4"/>
          <w:sz w:val="20"/>
        </w:rPr>
        <w:t xml:space="preserve"> </w:t>
      </w:r>
      <w:r>
        <w:rPr>
          <w:rFonts w:ascii="Calibri" w:hAnsi="Calibri"/>
          <w:sz w:val="20"/>
        </w:rPr>
        <w:t>Nacional.</w:t>
      </w:r>
      <w:r>
        <w:rPr>
          <w:rFonts w:ascii="Calibri" w:hAnsi="Calibri"/>
          <w:spacing w:val="-4"/>
          <w:sz w:val="20"/>
        </w:rPr>
        <w:t xml:space="preserve"> </w:t>
      </w:r>
      <w:r>
        <w:rPr>
          <w:rFonts w:ascii="Calibri" w:hAnsi="Calibri"/>
          <w:sz w:val="20"/>
        </w:rPr>
        <w:t>Pg.</w:t>
      </w:r>
      <w:r>
        <w:rPr>
          <w:rFonts w:ascii="Calibri" w:hAnsi="Calibri"/>
          <w:spacing w:val="-4"/>
          <w:sz w:val="20"/>
        </w:rPr>
        <w:t xml:space="preserve"> 426.</w:t>
      </w:r>
    </w:p>
    <w:p w:rsidR="00253CCF" w:rsidRDefault="00253CCF">
      <w:pPr>
        <w:rPr>
          <w:rFonts w:ascii="Calibri" w:hAnsi="Calibri"/>
          <w:sz w:val="20"/>
        </w:rPr>
        <w:sectPr w:rsidR="00253CCF">
          <w:pgSz w:w="12240" w:h="15840"/>
          <w:pgMar w:top="1340" w:right="1580" w:bottom="280" w:left="1600" w:header="720" w:footer="720" w:gutter="0"/>
          <w:cols w:space="720"/>
        </w:sectPr>
      </w:pPr>
    </w:p>
    <w:p w:rsidR="00253CCF" w:rsidRDefault="00842587">
      <w:pPr>
        <w:spacing w:before="77" w:line="360" w:lineRule="auto"/>
        <w:ind w:left="102" w:right="124"/>
        <w:jc w:val="both"/>
        <w:rPr>
          <w:i/>
          <w:sz w:val="24"/>
        </w:rPr>
      </w:pPr>
      <w:r>
        <w:rPr>
          <w:i/>
          <w:sz w:val="24"/>
        </w:rPr>
        <w:lastRenderedPageBreak/>
        <w:t>“Sin perjuicio de lo anterior, tratándose del procedimiento previsto en el párrafo I del Título IV de esta ley, sólo podrán adoptarse las medidas señaladas en el artículo 42.”.</w:t>
      </w:r>
    </w:p>
    <w:p w:rsidR="00253CCF" w:rsidRDefault="00842587">
      <w:pPr>
        <w:spacing w:before="1" w:line="360" w:lineRule="auto"/>
        <w:ind w:left="102" w:right="118"/>
        <w:jc w:val="both"/>
        <w:rPr>
          <w:i/>
          <w:sz w:val="24"/>
        </w:rPr>
      </w:pPr>
      <w:r>
        <w:rPr>
          <w:sz w:val="24"/>
        </w:rPr>
        <w:t>Del mismo modo, el Ejecutivo sugirió modificar el artículo 42 (que, posteriormente, pasó a ser 71) haciendo más restrictivas las medidas cautelares aplicables al procedimiento de protección, con la mención a que “</w:t>
      </w:r>
      <w:r>
        <w:rPr>
          <w:i/>
          <w:sz w:val="24"/>
        </w:rPr>
        <w:t xml:space="preserve">el juez podrá adoptar las </w:t>
      </w:r>
      <w:r>
        <w:rPr>
          <w:i/>
          <w:sz w:val="24"/>
          <w:u w:val="single"/>
        </w:rPr>
        <w:t>siguientes</w:t>
      </w:r>
      <w:r>
        <w:rPr>
          <w:i/>
          <w:sz w:val="24"/>
        </w:rPr>
        <w:t xml:space="preserve"> medida</w:t>
      </w:r>
      <w:r>
        <w:rPr>
          <w:i/>
          <w:sz w:val="24"/>
        </w:rPr>
        <w:t>s cautelares:”</w:t>
      </w:r>
    </w:p>
    <w:p w:rsidR="00253CCF" w:rsidRDefault="00842587">
      <w:pPr>
        <w:pStyle w:val="Textoindependiente"/>
        <w:spacing w:before="1"/>
        <w:ind w:left="102"/>
        <w:jc w:val="both"/>
      </w:pPr>
      <w:r>
        <w:t>El</w:t>
      </w:r>
      <w:r>
        <w:rPr>
          <w:spacing w:val="-3"/>
        </w:rPr>
        <w:t xml:space="preserve"> </w:t>
      </w:r>
      <w:r>
        <w:t>debate</w:t>
      </w:r>
      <w:r>
        <w:rPr>
          <w:spacing w:val="-2"/>
        </w:rPr>
        <w:t xml:space="preserve"> </w:t>
      </w:r>
      <w:r>
        <w:t>no</w:t>
      </w:r>
      <w:r>
        <w:rPr>
          <w:spacing w:val="-3"/>
        </w:rPr>
        <w:t xml:space="preserve"> </w:t>
      </w:r>
      <w:r>
        <w:t>aclara</w:t>
      </w:r>
      <w:r>
        <w:rPr>
          <w:spacing w:val="-2"/>
        </w:rPr>
        <w:t xml:space="preserve"> </w:t>
      </w:r>
      <w:r>
        <w:t>con</w:t>
      </w:r>
      <w:r>
        <w:rPr>
          <w:spacing w:val="-1"/>
        </w:rPr>
        <w:t xml:space="preserve"> </w:t>
      </w:r>
      <w:r>
        <w:t>mayor</w:t>
      </w:r>
      <w:r>
        <w:rPr>
          <w:spacing w:val="-1"/>
        </w:rPr>
        <w:t xml:space="preserve"> </w:t>
      </w:r>
      <w:r>
        <w:t>profundidad</w:t>
      </w:r>
      <w:r>
        <w:rPr>
          <w:spacing w:val="2"/>
        </w:rPr>
        <w:t xml:space="preserve"> </w:t>
      </w:r>
      <w:r>
        <w:t>el</w:t>
      </w:r>
      <w:r>
        <w:rPr>
          <w:spacing w:val="-5"/>
        </w:rPr>
        <w:t xml:space="preserve"> </w:t>
      </w:r>
      <w:r>
        <w:t>motivo</w:t>
      </w:r>
      <w:r>
        <w:rPr>
          <w:spacing w:val="-1"/>
        </w:rPr>
        <w:t xml:space="preserve"> </w:t>
      </w:r>
      <w:r>
        <w:t>de</w:t>
      </w:r>
      <w:r>
        <w:rPr>
          <w:spacing w:val="1"/>
        </w:rPr>
        <w:t xml:space="preserve"> </w:t>
      </w:r>
      <w:r>
        <w:t>estas</w:t>
      </w:r>
      <w:r>
        <w:rPr>
          <w:spacing w:val="-1"/>
        </w:rPr>
        <w:t xml:space="preserve"> </w:t>
      </w:r>
      <w:r>
        <w:rPr>
          <w:spacing w:val="-2"/>
        </w:rPr>
        <w:t>restricciones.</w:t>
      </w:r>
    </w:p>
    <w:p w:rsidR="00253CCF" w:rsidRDefault="00253CCF">
      <w:pPr>
        <w:pStyle w:val="Textoindependiente"/>
        <w:rPr>
          <w:sz w:val="26"/>
        </w:rPr>
      </w:pPr>
    </w:p>
    <w:p w:rsidR="00253CCF" w:rsidRDefault="00253CCF">
      <w:pPr>
        <w:pStyle w:val="Textoindependiente"/>
        <w:spacing w:before="11"/>
        <w:rPr>
          <w:sz w:val="21"/>
        </w:rPr>
      </w:pPr>
    </w:p>
    <w:p w:rsidR="00253CCF" w:rsidRDefault="00842587">
      <w:pPr>
        <w:pStyle w:val="Textoindependiente"/>
        <w:spacing w:line="360" w:lineRule="auto"/>
        <w:ind w:left="102" w:right="116"/>
        <w:jc w:val="both"/>
      </w:pPr>
      <w:r>
        <w:t>7.-</w:t>
      </w:r>
      <w:r>
        <w:rPr>
          <w:spacing w:val="40"/>
        </w:rPr>
        <w:t xml:space="preserve">  </w:t>
      </w:r>
      <w:r>
        <w:t>Que lo anterior no había tenido hasta ahora mayor relevancia, toda vez que habitualmente se había interpretado extensivamente el artículo 71, aplicando las disposiciones de la Convención sobre los Derechos del Niño y, particularmente, el principio rector d</w:t>
      </w:r>
      <w:r>
        <w:t>el interés superior, mencionado precisamente a propósito de este tema, en el inciso primero del artículo 22.</w:t>
      </w:r>
    </w:p>
    <w:p w:rsidR="00253CCF" w:rsidRDefault="00842587">
      <w:pPr>
        <w:pStyle w:val="Textoindependiente"/>
        <w:spacing w:line="360" w:lineRule="auto"/>
        <w:ind w:left="102" w:right="115"/>
        <w:jc w:val="both"/>
      </w:pPr>
      <w:r>
        <w:t>Sin embargo, más recientemente, las Cortes de Apelaciones han recogido un criterio más restrictivo, admitiendo solo aquéllas medidas cautelares des</w:t>
      </w:r>
      <w:r>
        <w:t>critas expresamente en el artículo 71 y, consecuentemente, han revocado decisiones que imponían alimentos provisorios o normado la relación directa y regular.</w:t>
      </w:r>
    </w:p>
    <w:p w:rsidR="00253CCF" w:rsidRDefault="00842587">
      <w:pPr>
        <w:pStyle w:val="Textoindependiente"/>
        <w:spacing w:line="360" w:lineRule="auto"/>
        <w:ind w:left="102" w:right="113"/>
        <w:jc w:val="both"/>
      </w:pPr>
      <w:r>
        <w:t>Ilustrando esta inconsistencia Estrada explica “La letra e) del artículo 71 señala como posible m</w:t>
      </w:r>
      <w:r>
        <w:t>edida cautelar la suspensión de un determinado régimen relacional, pero ni esa letra ni ninguna otra contempla el establecimiento de un régimen relacional como cautelar. Esa medida habría que demandarla por la vía ordinaria, ¿pero qué sucede si quien requi</w:t>
      </w:r>
      <w:r>
        <w:t>ere es alguien que no es titular según el artículo 229 del Código Civil? Un hermano, por ejemplo, o el ex conviviente del padre o madre biológico. En tal caso no se podría imponer como cautelar ni como régimen provisional en un juicio ordinario. Esa es una</w:t>
      </w:r>
      <w:r>
        <w:t xml:space="preserve"> abierta vulneración a la </w:t>
      </w:r>
      <w:r>
        <w:rPr>
          <w:spacing w:val="-2"/>
        </w:rPr>
        <w:t>Convención.”</w:t>
      </w:r>
    </w:p>
    <w:p w:rsidR="00253CCF" w:rsidRDefault="00253CCF">
      <w:pPr>
        <w:pStyle w:val="Textoindependiente"/>
        <w:spacing w:before="1"/>
        <w:rPr>
          <w:sz w:val="36"/>
        </w:rPr>
      </w:pPr>
    </w:p>
    <w:p w:rsidR="00253CCF" w:rsidRDefault="00842587">
      <w:pPr>
        <w:pStyle w:val="Textoindependiente"/>
        <w:spacing w:line="360" w:lineRule="auto"/>
        <w:ind w:left="102" w:right="115"/>
        <w:jc w:val="both"/>
      </w:pPr>
      <w:r>
        <w:t>8.- Que, en razón de lo señalado, creemos</w:t>
      </w:r>
      <w:r>
        <w:rPr>
          <w:spacing w:val="-1"/>
        </w:rPr>
        <w:t xml:space="preserve"> </w:t>
      </w:r>
      <w:r>
        <w:t>necesario introducir una modificación a la ley N° 19.968 que amplíe las medidas cautelares aplicables en el caso del procedimiento</w:t>
      </w:r>
      <w:r>
        <w:rPr>
          <w:spacing w:val="40"/>
        </w:rPr>
        <w:t xml:space="preserve"> </w:t>
      </w:r>
      <w:r>
        <w:t>especial</w:t>
      </w:r>
      <w:r>
        <w:rPr>
          <w:spacing w:val="40"/>
        </w:rPr>
        <w:t xml:space="preserve"> </w:t>
      </w:r>
      <w:r>
        <w:t>de</w:t>
      </w:r>
      <w:r>
        <w:rPr>
          <w:spacing w:val="40"/>
        </w:rPr>
        <w:t xml:space="preserve"> </w:t>
      </w:r>
      <w:r>
        <w:t>aplicación</w:t>
      </w:r>
      <w:r>
        <w:rPr>
          <w:spacing w:val="40"/>
        </w:rPr>
        <w:t xml:space="preserve"> </w:t>
      </w:r>
      <w:r>
        <w:t>judicial</w:t>
      </w:r>
      <w:r>
        <w:rPr>
          <w:spacing w:val="40"/>
        </w:rPr>
        <w:t xml:space="preserve"> </w:t>
      </w:r>
      <w:r>
        <w:t>de</w:t>
      </w:r>
      <w:r>
        <w:rPr>
          <w:spacing w:val="40"/>
        </w:rPr>
        <w:t xml:space="preserve"> </w:t>
      </w:r>
      <w:r>
        <w:t>medidas</w:t>
      </w:r>
      <w:r>
        <w:rPr>
          <w:spacing w:val="40"/>
        </w:rPr>
        <w:t xml:space="preserve"> </w:t>
      </w:r>
      <w:r>
        <w:t>de</w:t>
      </w:r>
      <w:r>
        <w:rPr>
          <w:spacing w:val="40"/>
        </w:rPr>
        <w:t xml:space="preserve"> </w:t>
      </w:r>
      <w:r>
        <w:t>protección</w:t>
      </w:r>
      <w:r>
        <w:rPr>
          <w:spacing w:val="40"/>
        </w:rPr>
        <w:t xml:space="preserve"> </w:t>
      </w:r>
      <w:r>
        <w:t>de</w:t>
      </w:r>
      <w:r>
        <w:rPr>
          <w:spacing w:val="40"/>
        </w:rPr>
        <w:t xml:space="preserve"> </w:t>
      </w:r>
      <w:r>
        <w:t>los</w:t>
      </w:r>
    </w:p>
    <w:p w:rsidR="00253CCF" w:rsidRDefault="00253CCF">
      <w:pPr>
        <w:spacing w:line="360" w:lineRule="auto"/>
        <w:jc w:val="both"/>
        <w:sectPr w:rsidR="00253CCF">
          <w:pgSz w:w="12240" w:h="15840"/>
          <w:pgMar w:top="1340" w:right="1580" w:bottom="280" w:left="1600" w:header="720" w:footer="720" w:gutter="0"/>
          <w:cols w:space="720"/>
        </w:sectPr>
      </w:pPr>
    </w:p>
    <w:p w:rsidR="00253CCF" w:rsidRDefault="00842587">
      <w:pPr>
        <w:pStyle w:val="Textoindependiente"/>
        <w:spacing w:before="77" w:line="360" w:lineRule="auto"/>
        <w:ind w:left="102" w:right="119"/>
        <w:jc w:val="both"/>
      </w:pPr>
      <w:proofErr w:type="gramStart"/>
      <w:r>
        <w:lastRenderedPageBreak/>
        <w:t>derechos</w:t>
      </w:r>
      <w:proofErr w:type="gramEnd"/>
      <w:r>
        <w:t xml:space="preserve"> de los niños, niñas o adolescentes, haciéndolas concordantes con lo dispuesto tanto en el inciso primero del artículo 22 como en el artículo 92 de dicho texto y, restaurando, por tanto, el espíritu del Mensaje que di</w:t>
      </w:r>
      <w:r>
        <w:t>o origen a dicho cuerpo normativo.</w:t>
      </w:r>
    </w:p>
    <w:p w:rsidR="00253CCF" w:rsidRDefault="00253CCF">
      <w:pPr>
        <w:pStyle w:val="Textoindependiente"/>
        <w:spacing w:before="1"/>
        <w:rPr>
          <w:sz w:val="36"/>
        </w:rPr>
      </w:pPr>
    </w:p>
    <w:p w:rsidR="00253CCF" w:rsidRDefault="00842587">
      <w:pPr>
        <w:pStyle w:val="Textoindependiente"/>
        <w:spacing w:line="360" w:lineRule="auto"/>
        <w:ind w:left="102" w:right="119"/>
        <w:jc w:val="both"/>
      </w:pPr>
      <w:r>
        <w:t xml:space="preserve">Por lo anterior, las diputadas y diputados que suscriben, venimos en presentar el </w:t>
      </w:r>
      <w:r>
        <w:rPr>
          <w:spacing w:val="-2"/>
        </w:rPr>
        <w:t>siguiente:</w:t>
      </w:r>
    </w:p>
    <w:p w:rsidR="00253CCF" w:rsidRDefault="00253CCF">
      <w:pPr>
        <w:pStyle w:val="Textoindependiente"/>
        <w:spacing w:before="11"/>
        <w:rPr>
          <w:sz w:val="35"/>
        </w:rPr>
      </w:pPr>
    </w:p>
    <w:p w:rsidR="00253CCF" w:rsidRDefault="00842587">
      <w:pPr>
        <w:ind w:left="124" w:right="139"/>
        <w:jc w:val="center"/>
        <w:rPr>
          <w:b/>
          <w:sz w:val="24"/>
        </w:rPr>
      </w:pPr>
      <w:r>
        <w:rPr>
          <w:b/>
          <w:sz w:val="24"/>
        </w:rPr>
        <w:t>PROYECTO</w:t>
      </w:r>
      <w:r>
        <w:rPr>
          <w:b/>
          <w:spacing w:val="-4"/>
          <w:sz w:val="24"/>
        </w:rPr>
        <w:t xml:space="preserve"> </w:t>
      </w:r>
      <w:r>
        <w:rPr>
          <w:b/>
          <w:sz w:val="24"/>
        </w:rPr>
        <w:t>DE</w:t>
      </w:r>
      <w:r>
        <w:rPr>
          <w:b/>
          <w:spacing w:val="-4"/>
          <w:sz w:val="24"/>
        </w:rPr>
        <w:t xml:space="preserve"> </w:t>
      </w:r>
      <w:r>
        <w:rPr>
          <w:b/>
          <w:spacing w:val="-5"/>
          <w:sz w:val="24"/>
        </w:rPr>
        <w:t>LEY</w:t>
      </w:r>
    </w:p>
    <w:p w:rsidR="00253CCF" w:rsidRDefault="00253CCF">
      <w:pPr>
        <w:pStyle w:val="Textoindependiente"/>
        <w:rPr>
          <w:b/>
          <w:sz w:val="26"/>
        </w:rPr>
      </w:pPr>
    </w:p>
    <w:p w:rsidR="00253CCF" w:rsidRDefault="00253CCF">
      <w:pPr>
        <w:pStyle w:val="Textoindependiente"/>
        <w:rPr>
          <w:b/>
          <w:sz w:val="22"/>
        </w:rPr>
      </w:pPr>
    </w:p>
    <w:p w:rsidR="00253CCF" w:rsidRDefault="00842587">
      <w:pPr>
        <w:pStyle w:val="Textoindependiente"/>
        <w:spacing w:line="360" w:lineRule="auto"/>
        <w:ind w:left="102" w:right="116"/>
        <w:jc w:val="both"/>
      </w:pPr>
      <w:r>
        <w:t>Artículo único.-</w:t>
      </w:r>
      <w:r>
        <w:rPr>
          <w:spacing w:val="-1"/>
        </w:rPr>
        <w:t xml:space="preserve"> </w:t>
      </w:r>
      <w:r>
        <w:t>Modifícase la ley N°</w:t>
      </w:r>
      <w:r>
        <w:rPr>
          <w:spacing w:val="-1"/>
        </w:rPr>
        <w:t xml:space="preserve"> </w:t>
      </w:r>
      <w:r>
        <w:t>19.968,</w:t>
      </w:r>
      <w:r>
        <w:rPr>
          <w:spacing w:val="-3"/>
        </w:rPr>
        <w:t xml:space="preserve"> </w:t>
      </w:r>
      <w:r>
        <w:t>que crea los</w:t>
      </w:r>
      <w:r>
        <w:rPr>
          <w:spacing w:val="-1"/>
        </w:rPr>
        <w:t xml:space="preserve"> </w:t>
      </w:r>
      <w:r>
        <w:t>Tribunales</w:t>
      </w:r>
      <w:r>
        <w:rPr>
          <w:spacing w:val="-3"/>
        </w:rPr>
        <w:t xml:space="preserve"> </w:t>
      </w:r>
      <w:r>
        <w:t>de Familia, de la siguiente forma:</w:t>
      </w:r>
    </w:p>
    <w:p w:rsidR="00253CCF" w:rsidRDefault="00253CCF">
      <w:pPr>
        <w:pStyle w:val="Textoindependiente"/>
        <w:spacing w:before="1"/>
        <w:rPr>
          <w:sz w:val="36"/>
        </w:rPr>
      </w:pPr>
    </w:p>
    <w:p w:rsidR="00253CCF" w:rsidRDefault="00842587">
      <w:pPr>
        <w:pStyle w:val="Textoindependiente"/>
        <w:ind w:left="102"/>
        <w:jc w:val="both"/>
      </w:pPr>
      <w:r>
        <w:t>1.-</w:t>
      </w:r>
      <w:r>
        <w:rPr>
          <w:spacing w:val="73"/>
        </w:rPr>
        <w:t xml:space="preserve">   </w:t>
      </w:r>
      <w:r>
        <w:t>Elimínase</w:t>
      </w:r>
      <w:r>
        <w:rPr>
          <w:spacing w:val="-1"/>
        </w:rPr>
        <w:t xml:space="preserve"> </w:t>
      </w:r>
      <w:r>
        <w:t>el</w:t>
      </w:r>
      <w:r>
        <w:rPr>
          <w:spacing w:val="-2"/>
        </w:rPr>
        <w:t xml:space="preserve"> </w:t>
      </w:r>
      <w:r>
        <w:t>inciso</w:t>
      </w:r>
      <w:r>
        <w:rPr>
          <w:spacing w:val="-1"/>
        </w:rPr>
        <w:t xml:space="preserve"> </w:t>
      </w:r>
      <w:r>
        <w:t>final</w:t>
      </w:r>
      <w:r>
        <w:rPr>
          <w:spacing w:val="-2"/>
        </w:rPr>
        <w:t xml:space="preserve"> </w:t>
      </w:r>
      <w:r>
        <w:t>del</w:t>
      </w:r>
      <w:r>
        <w:rPr>
          <w:spacing w:val="-2"/>
        </w:rPr>
        <w:t xml:space="preserve"> </w:t>
      </w:r>
      <w:r>
        <w:t>artículo</w:t>
      </w:r>
      <w:r>
        <w:rPr>
          <w:spacing w:val="-1"/>
        </w:rPr>
        <w:t xml:space="preserve"> </w:t>
      </w:r>
      <w:r>
        <w:rPr>
          <w:spacing w:val="-5"/>
        </w:rPr>
        <w:t>22.</w:t>
      </w:r>
    </w:p>
    <w:p w:rsidR="00253CCF" w:rsidRDefault="00253CCF">
      <w:pPr>
        <w:pStyle w:val="Textoindependiente"/>
        <w:rPr>
          <w:sz w:val="26"/>
        </w:rPr>
      </w:pPr>
    </w:p>
    <w:p w:rsidR="00253CCF" w:rsidRDefault="00253CCF">
      <w:pPr>
        <w:pStyle w:val="Textoindependiente"/>
        <w:spacing w:before="1"/>
        <w:rPr>
          <w:sz w:val="22"/>
        </w:rPr>
      </w:pPr>
    </w:p>
    <w:p w:rsidR="00253CCF" w:rsidRDefault="00842587">
      <w:pPr>
        <w:pStyle w:val="Textoindependiente"/>
        <w:ind w:left="102"/>
        <w:jc w:val="both"/>
      </w:pPr>
      <w:r>
        <w:t>2.-</w:t>
      </w:r>
      <w:r>
        <w:rPr>
          <w:spacing w:val="-4"/>
        </w:rPr>
        <w:t xml:space="preserve"> </w:t>
      </w:r>
      <w:r>
        <w:t>Incorpórase,</w:t>
      </w:r>
      <w:r>
        <w:rPr>
          <w:spacing w:val="-1"/>
        </w:rPr>
        <w:t xml:space="preserve"> </w:t>
      </w:r>
      <w:r>
        <w:t>en</w:t>
      </w:r>
      <w:r>
        <w:rPr>
          <w:spacing w:val="-2"/>
        </w:rPr>
        <w:t xml:space="preserve"> </w:t>
      </w:r>
      <w:r>
        <w:t>el</w:t>
      </w:r>
      <w:r>
        <w:rPr>
          <w:spacing w:val="-3"/>
        </w:rPr>
        <w:t xml:space="preserve"> </w:t>
      </w:r>
      <w:r>
        <w:t>inciso</w:t>
      </w:r>
      <w:r>
        <w:rPr>
          <w:spacing w:val="-2"/>
        </w:rPr>
        <w:t xml:space="preserve"> </w:t>
      </w:r>
      <w:r>
        <w:t>primero</w:t>
      </w:r>
      <w:r>
        <w:rPr>
          <w:spacing w:val="-2"/>
        </w:rPr>
        <w:t xml:space="preserve"> </w:t>
      </w:r>
      <w:r>
        <w:t>del</w:t>
      </w:r>
      <w:r>
        <w:rPr>
          <w:spacing w:val="-3"/>
        </w:rPr>
        <w:t xml:space="preserve"> </w:t>
      </w:r>
      <w:r>
        <w:t>artículo</w:t>
      </w:r>
      <w:r>
        <w:rPr>
          <w:spacing w:val="-2"/>
        </w:rPr>
        <w:t xml:space="preserve"> </w:t>
      </w:r>
      <w:r>
        <w:t>71,</w:t>
      </w:r>
      <w:r>
        <w:rPr>
          <w:spacing w:val="-2"/>
        </w:rPr>
        <w:t xml:space="preserve"> </w:t>
      </w:r>
      <w:r>
        <w:t>la</w:t>
      </w:r>
      <w:r>
        <w:rPr>
          <w:spacing w:val="-2"/>
        </w:rPr>
        <w:t xml:space="preserve"> </w:t>
      </w:r>
      <w:r>
        <w:t>siguiente</w:t>
      </w:r>
      <w:r>
        <w:rPr>
          <w:spacing w:val="-1"/>
        </w:rPr>
        <w:t xml:space="preserve"> </w:t>
      </w:r>
      <w:r>
        <w:t>letra i)</w:t>
      </w:r>
      <w:r>
        <w:rPr>
          <w:spacing w:val="-3"/>
        </w:rPr>
        <w:t xml:space="preserve"> </w:t>
      </w:r>
      <w:r>
        <w:rPr>
          <w:spacing w:val="-2"/>
        </w:rPr>
        <w:t>nueva:</w:t>
      </w:r>
    </w:p>
    <w:p w:rsidR="00253CCF" w:rsidRDefault="00253CCF">
      <w:pPr>
        <w:pStyle w:val="Textoindependiente"/>
        <w:rPr>
          <w:sz w:val="26"/>
        </w:rPr>
      </w:pPr>
    </w:p>
    <w:p w:rsidR="00253CCF" w:rsidRDefault="00253CCF">
      <w:pPr>
        <w:pStyle w:val="Textoindependiente"/>
        <w:rPr>
          <w:sz w:val="22"/>
        </w:rPr>
      </w:pPr>
    </w:p>
    <w:p w:rsidR="00253CCF" w:rsidRDefault="00842587">
      <w:pPr>
        <w:pStyle w:val="Textoindependiente"/>
        <w:spacing w:line="360" w:lineRule="auto"/>
        <w:ind w:left="102" w:right="116"/>
        <w:jc w:val="both"/>
      </w:pPr>
      <w:r>
        <w:t>“i) Las medidas establecidas en el artículo 92 que resulten aplicables y, en</w:t>
      </w:r>
      <w:r>
        <w:rPr>
          <w:spacing w:val="40"/>
        </w:rPr>
        <w:t xml:space="preserve"> </w:t>
      </w:r>
      <w:r>
        <w:t>general, aquéllas que el juez estime indispensables para la protección de los derechos de los niños, niñas o adolescentes.”</w:t>
      </w:r>
    </w:p>
    <w:p w:rsidR="00253CCF" w:rsidRDefault="00253CCF">
      <w:pPr>
        <w:pStyle w:val="Textoindependiente"/>
        <w:rPr>
          <w:sz w:val="20"/>
        </w:rPr>
      </w:pPr>
    </w:p>
    <w:p w:rsidR="00253CCF" w:rsidRDefault="00842587">
      <w:pPr>
        <w:pStyle w:val="Textoindependiente"/>
        <w:rPr>
          <w:sz w:val="14"/>
        </w:rPr>
      </w:pPr>
      <w:r>
        <w:rPr>
          <w:noProof/>
          <w:lang w:val="es-CL" w:eastAsia="es-CL"/>
        </w:rPr>
        <w:drawing>
          <wp:anchor distT="0" distB="0" distL="0" distR="0" simplePos="0" relativeHeight="2" behindDoc="0" locked="0" layoutInCell="1" allowOverlap="1">
            <wp:simplePos x="0" y="0"/>
            <wp:positionH relativeFrom="page">
              <wp:posOffset>1129305</wp:posOffset>
            </wp:positionH>
            <wp:positionV relativeFrom="paragraph">
              <wp:posOffset>117615</wp:posOffset>
            </wp:positionV>
            <wp:extent cx="2537669" cy="146913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537669" cy="1469136"/>
                    </a:xfrm>
                    <a:prstGeom prst="rect">
                      <a:avLst/>
                    </a:prstGeom>
                  </pic:spPr>
                </pic:pic>
              </a:graphicData>
            </a:graphic>
          </wp:anchor>
        </w:drawing>
      </w:r>
    </w:p>
    <w:p w:rsidR="00253CCF" w:rsidRDefault="00842587">
      <w:pPr>
        <w:spacing w:before="127"/>
        <w:ind w:left="102"/>
        <w:rPr>
          <w:b/>
          <w:sz w:val="24"/>
        </w:rPr>
      </w:pPr>
      <w:r>
        <w:rPr>
          <w:b/>
          <w:sz w:val="24"/>
        </w:rPr>
        <w:t>ANA</w:t>
      </w:r>
      <w:r>
        <w:rPr>
          <w:b/>
          <w:spacing w:val="-6"/>
          <w:sz w:val="24"/>
        </w:rPr>
        <w:t xml:space="preserve"> </w:t>
      </w:r>
      <w:r>
        <w:rPr>
          <w:b/>
          <w:sz w:val="24"/>
        </w:rPr>
        <w:t>MARIA</w:t>
      </w:r>
      <w:r>
        <w:rPr>
          <w:b/>
          <w:spacing w:val="-6"/>
          <w:sz w:val="24"/>
        </w:rPr>
        <w:t xml:space="preserve"> </w:t>
      </w:r>
      <w:r>
        <w:rPr>
          <w:b/>
          <w:sz w:val="24"/>
        </w:rPr>
        <w:t>BRAVO</w:t>
      </w:r>
      <w:r>
        <w:rPr>
          <w:b/>
          <w:spacing w:val="-6"/>
          <w:sz w:val="24"/>
        </w:rPr>
        <w:t xml:space="preserve"> </w:t>
      </w:r>
      <w:r>
        <w:rPr>
          <w:b/>
          <w:spacing w:val="-2"/>
          <w:sz w:val="24"/>
        </w:rPr>
        <w:t>CASTRO</w:t>
      </w:r>
    </w:p>
    <w:p w:rsidR="00253CCF" w:rsidRDefault="00842587">
      <w:pPr>
        <w:spacing w:before="137" w:line="360" w:lineRule="auto"/>
        <w:ind w:left="771" w:right="5120" w:hanging="468"/>
        <w:rPr>
          <w:b/>
          <w:sz w:val="24"/>
        </w:rPr>
      </w:pPr>
      <w:r>
        <w:rPr>
          <w:b/>
          <w:sz w:val="24"/>
        </w:rPr>
        <w:t>Diputada</w:t>
      </w:r>
      <w:r>
        <w:rPr>
          <w:b/>
          <w:spacing w:val="-12"/>
          <w:sz w:val="24"/>
        </w:rPr>
        <w:t xml:space="preserve"> </w:t>
      </w:r>
      <w:r>
        <w:rPr>
          <w:b/>
          <w:sz w:val="24"/>
        </w:rPr>
        <w:t>de</w:t>
      </w:r>
      <w:r>
        <w:rPr>
          <w:b/>
          <w:spacing w:val="-13"/>
          <w:sz w:val="24"/>
        </w:rPr>
        <w:t xml:space="preserve"> </w:t>
      </w:r>
      <w:r>
        <w:rPr>
          <w:b/>
          <w:sz w:val="24"/>
        </w:rPr>
        <w:t>la</w:t>
      </w:r>
      <w:r>
        <w:rPr>
          <w:b/>
          <w:spacing w:val="-12"/>
          <w:sz w:val="24"/>
        </w:rPr>
        <w:t xml:space="preserve"> </w:t>
      </w:r>
      <w:r>
        <w:rPr>
          <w:b/>
          <w:sz w:val="24"/>
        </w:rPr>
        <w:t>República Distrito N°24</w:t>
      </w:r>
    </w:p>
    <w:p w:rsidR="00253CCF" w:rsidRDefault="00253CCF">
      <w:pPr>
        <w:spacing w:line="360" w:lineRule="auto"/>
        <w:rPr>
          <w:sz w:val="24"/>
        </w:rPr>
        <w:sectPr w:rsidR="00253CCF">
          <w:pgSz w:w="12240" w:h="15840"/>
          <w:pgMar w:top="1340" w:right="1580" w:bottom="280" w:left="1600" w:header="720" w:footer="720" w:gutter="0"/>
          <w:cols w:space="720"/>
        </w:sectPr>
      </w:pPr>
    </w:p>
    <w:p w:rsidR="00253CCF" w:rsidRDefault="00253CCF">
      <w:pPr>
        <w:pStyle w:val="Textoindependiente"/>
        <w:spacing w:before="4"/>
        <w:rPr>
          <w:b/>
          <w:sz w:val="17"/>
        </w:rPr>
      </w:pPr>
    </w:p>
    <w:sectPr w:rsidR="00253CCF">
      <w:pgSz w:w="12240" w:h="15840"/>
      <w:pgMar w:top="18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53CCF"/>
    <w:rsid w:val="00253CCF"/>
    <w:rsid w:val="008425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EC1AB2D-AA9F-4E1C-ACA2-342597D7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uesto">
    <w:name w:val="Title"/>
    <w:basedOn w:val="Normal"/>
    <w:uiPriority w:val="1"/>
    <w:qFormat/>
    <w:pPr>
      <w:spacing w:before="75"/>
      <w:ind w:left="124" w:right="139"/>
      <w:jc w:val="center"/>
    </w:pPr>
    <w:rPr>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1641</Words>
  <Characters>9027</Characters>
  <Application>Microsoft Office Word</Application>
  <DocSecurity>0</DocSecurity>
  <Lines>75</Lines>
  <Paragraphs>21</Paragraphs>
  <ScaleCrop>false</ScaleCrop>
  <Company/>
  <LinksUpToDate>false</LinksUpToDate>
  <CharactersWithSpaces>10647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Leonardo Lueiza Ureta</cp:lastModifiedBy>
  <cp:revision>1</cp:revision>
  <dcterms:created xsi:type="dcterms:W3CDTF">2022-12-20T18:49:00Z</dcterms:created>
  <dcterms:modified xsi:type="dcterms:W3CDTF">2023-01-03T14:49:00Z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LTSC</vt:lpwstr>
  </property>
  <property fmtid="{D5CDD505-2E9C-101B-9397-08002B2CF9AE}" pid="4" name="LastSaved">
    <vt:filetime>2022-12-20T00:00:00Z</vt:filetime>
  </property>
  <property fmtid="{D5CDD505-2E9C-101B-9397-08002B2CF9AE}" pid="5" name="Producer">
    <vt:lpwstr>Microsoft® Word LTSC</vt:lpwstr>
  </property>
</Properties>
</file>