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07" w:rsidRDefault="00177DF3">
      <w:pPr>
        <w:pStyle w:val="Textoindependiente"/>
        <w:ind w:left="141"/>
        <w:jc w:val="left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831743" cy="829818"/>
            <wp:effectExtent l="0" t="0" r="0" b="0"/>
            <wp:docPr id="1" name="image1.png" descr="Cámara de Diputadas y Diputados de Chile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743" cy="82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207" w:rsidRDefault="00436207">
      <w:pPr>
        <w:pStyle w:val="Textoindependiente"/>
        <w:spacing w:before="3"/>
        <w:ind w:left="0"/>
        <w:jc w:val="left"/>
        <w:rPr>
          <w:rFonts w:ascii="Times New Roman"/>
          <w:sz w:val="17"/>
        </w:rPr>
      </w:pPr>
    </w:p>
    <w:p w:rsidR="00436207" w:rsidRDefault="00177DF3">
      <w:pPr>
        <w:spacing w:before="96" w:line="360" w:lineRule="auto"/>
        <w:ind w:left="209" w:right="209"/>
        <w:jc w:val="center"/>
        <w:rPr>
          <w:b/>
          <w:sz w:val="24"/>
        </w:rPr>
      </w:pPr>
      <w:r>
        <w:pict>
          <v:rect id="docshape1" o:spid="_x0000_s1026" style="position:absolute;left:0;text-align:left;margin-left:83.65pt;margin-top:70.95pt;width:444.8pt;height:.7pt;z-index:-25165875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PROYECTO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ESTABLECE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OBLIGATORIEDAD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CONTAR CON SALAS CUNA A LOS ESTABLECIMIENTOS DE EDUCACIÓN </w:t>
      </w:r>
      <w:r>
        <w:rPr>
          <w:b/>
          <w:spacing w:val="-2"/>
          <w:sz w:val="24"/>
        </w:rPr>
        <w:t>SUPERIOR.</w:t>
      </w:r>
    </w:p>
    <w:p w:rsidR="00436207" w:rsidRDefault="00436207">
      <w:pPr>
        <w:pStyle w:val="Textoindependiente"/>
        <w:ind w:left="0"/>
        <w:jc w:val="left"/>
        <w:rPr>
          <w:b/>
          <w:sz w:val="20"/>
        </w:rPr>
      </w:pPr>
    </w:p>
    <w:p w:rsidR="00436207" w:rsidRDefault="00436207">
      <w:pPr>
        <w:pStyle w:val="Textoindependiente"/>
        <w:ind w:left="0"/>
        <w:jc w:val="left"/>
        <w:rPr>
          <w:b/>
          <w:sz w:val="20"/>
        </w:rPr>
      </w:pPr>
    </w:p>
    <w:p w:rsidR="00436207" w:rsidRDefault="00436207">
      <w:pPr>
        <w:pStyle w:val="Textoindependiente"/>
        <w:spacing w:before="6"/>
        <w:ind w:left="0"/>
        <w:jc w:val="left"/>
        <w:rPr>
          <w:b/>
          <w:sz w:val="22"/>
        </w:rPr>
      </w:pPr>
    </w:p>
    <w:p w:rsidR="00436207" w:rsidRDefault="00177DF3">
      <w:pPr>
        <w:pStyle w:val="Prrafodelista"/>
        <w:numPr>
          <w:ilvl w:val="0"/>
          <w:numId w:val="1"/>
        </w:numPr>
        <w:tabs>
          <w:tab w:val="left" w:pos="1221"/>
          <w:tab w:val="left" w:pos="1222"/>
        </w:tabs>
        <w:ind w:hanging="721"/>
        <w:rPr>
          <w:b/>
          <w:sz w:val="24"/>
        </w:rPr>
      </w:pPr>
      <w:r>
        <w:rPr>
          <w:b/>
          <w:sz w:val="24"/>
        </w:rPr>
        <w:t>IDEAS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GENERALES.</w:t>
      </w:r>
    </w:p>
    <w:p w:rsidR="00436207" w:rsidRDefault="00436207">
      <w:pPr>
        <w:pStyle w:val="Textoindependiente"/>
        <w:spacing w:before="5"/>
        <w:ind w:left="0"/>
        <w:jc w:val="left"/>
        <w:rPr>
          <w:b/>
          <w:sz w:val="25"/>
        </w:rPr>
      </w:pPr>
    </w:p>
    <w:p w:rsidR="00436207" w:rsidRDefault="00177DF3">
      <w:pPr>
        <w:pStyle w:val="Textoindependiente"/>
        <w:spacing w:line="360" w:lineRule="auto"/>
        <w:ind w:right="135" w:firstLine="359"/>
      </w:pPr>
      <w:r>
        <w:t>Actualmente, no contamos con cifras que nos permitan identificar la cantidad de madres o padres con hijos menores de dos años en el contexto académico de la educación superior, menos aún, podemos determinar la cantidad de trabajadores, docentes y estudiant</w:t>
      </w:r>
      <w:r>
        <w:t>es que actualmente requieren del servicio de salas cuna en dichos establecimientos.</w:t>
      </w:r>
    </w:p>
    <w:p w:rsidR="00436207" w:rsidRDefault="00177DF3">
      <w:pPr>
        <w:pStyle w:val="Textoindependiente"/>
        <w:spacing w:before="161" w:line="360" w:lineRule="auto"/>
        <w:ind w:right="135" w:firstLine="359"/>
      </w:pPr>
      <w:r>
        <w:t>En dicho sentido, desde el ámbito laboral, solo contamos con lo establecido en</w:t>
      </w:r>
      <w:r>
        <w:rPr>
          <w:spacing w:val="40"/>
        </w:rPr>
        <w:t xml:space="preserve"> </w:t>
      </w:r>
      <w:r>
        <w:t xml:space="preserve">el artículo 203 del Código Civil, y en normativa estatutaria para funcionarios públicos. Por </w:t>
      </w:r>
      <w:r>
        <w:t>su parte, desde el ámbito estudiantil, no existiría ninguna normativa legal que asegure derechos asociados al cuidado, generándose una clara posición de</w:t>
      </w:r>
      <w:r>
        <w:rPr>
          <w:spacing w:val="-1"/>
        </w:rPr>
        <w:t xml:space="preserve"> </w:t>
      </w:r>
      <w:r>
        <w:t>desventaja</w:t>
      </w:r>
      <w:r>
        <w:rPr>
          <w:spacing w:val="-1"/>
        </w:rPr>
        <w:t xml:space="preserve"> </w:t>
      </w:r>
      <w:r>
        <w:t>debido a las complejidades</w:t>
      </w:r>
      <w:r>
        <w:rPr>
          <w:spacing w:val="-2"/>
        </w:rPr>
        <w:t xml:space="preserve"> </w:t>
      </w:r>
      <w:r>
        <w:t>propias</w:t>
      </w:r>
      <w:r>
        <w:rPr>
          <w:spacing w:val="-3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maternidad y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 xml:space="preserve">paternidad </w:t>
      </w:r>
      <w:proofErr w:type="gramStart"/>
      <w:r>
        <w:t>en</w:t>
      </w:r>
      <w:proofErr w:type="gramEnd"/>
      <w:r>
        <w:t xml:space="preserve"> un contexto de estudi</w:t>
      </w:r>
      <w:r>
        <w:t>os superiores, no existiendo facilidades de ningún tipo, salvo las establecidas por iniciativa propia de los planteles educativos.</w:t>
      </w:r>
    </w:p>
    <w:p w:rsidR="00436207" w:rsidRDefault="00177DF3">
      <w:pPr>
        <w:pStyle w:val="Textoindependiente"/>
        <w:spacing w:before="159" w:line="360" w:lineRule="auto"/>
        <w:ind w:right="135" w:firstLine="359"/>
      </w:pPr>
      <w:r>
        <w:t>Es así como podemos mencionar lo realizado por la Universidad de Chile, institución de educación superior que en junio de 201</w:t>
      </w:r>
      <w:r>
        <w:t>7 estableció una Política de Corresponsabilidad donde consagro derechos de los estudiantes tales como prenatal de 6 semanas y posnatal de 24 semanas, jardines infantiles con vínculo JUNJI, flexibilidad académica, entre otras. No obstante, este tipo de inic</w:t>
      </w:r>
      <w:r>
        <w:t>iativas no</w:t>
      </w:r>
      <w:r>
        <w:rPr>
          <w:spacing w:val="40"/>
        </w:rPr>
        <w:t xml:space="preserve"> </w:t>
      </w:r>
      <w:r>
        <w:t>se ha</w:t>
      </w:r>
      <w:r>
        <w:rPr>
          <w:spacing w:val="-1"/>
        </w:rPr>
        <w:t xml:space="preserve"> </w:t>
      </w:r>
      <w:r>
        <w:t>replicado en todas</w:t>
      </w:r>
      <w:r>
        <w:rPr>
          <w:spacing w:val="-1"/>
        </w:rPr>
        <w:t xml:space="preserve"> </w:t>
      </w:r>
      <w:r>
        <w:t>las universidades, ni tampoco en</w:t>
      </w:r>
      <w:r>
        <w:rPr>
          <w:spacing w:val="-1"/>
        </w:rPr>
        <w:t xml:space="preserve"> </w:t>
      </w:r>
      <w:r>
        <w:t>institutos</w:t>
      </w:r>
      <w:r>
        <w:rPr>
          <w:spacing w:val="-1"/>
        </w:rPr>
        <w:t xml:space="preserve"> </w:t>
      </w:r>
      <w:r>
        <w:t>profesionales</w:t>
      </w:r>
      <w:r>
        <w:rPr>
          <w:spacing w:val="-1"/>
        </w:rPr>
        <w:t xml:space="preserve"> </w:t>
      </w:r>
      <w:r>
        <w:t>o centros de formación técnica.</w:t>
      </w:r>
    </w:p>
    <w:p w:rsidR="00436207" w:rsidRDefault="00177DF3">
      <w:pPr>
        <w:pStyle w:val="Textoindependiente"/>
        <w:spacing w:before="162" w:line="360" w:lineRule="auto"/>
        <w:ind w:right="136" w:firstLine="359"/>
      </w:pPr>
      <w:r>
        <w:t>Cabe mencionar que esta falta de soluciones no solo significaría una despreocupación respecto del interés superior de estos menores, sino que también una contravención al artículo 19 numeral 10° de nuestra Constitución, y a lo establecido en el artículo 11</w:t>
      </w:r>
      <w:r>
        <w:t xml:space="preserve"> de la Ley N° 20.370 General de educación, que establece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obligación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todos</w:t>
      </w:r>
      <w:r>
        <w:rPr>
          <w:spacing w:val="7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planteles</w:t>
      </w:r>
      <w:r>
        <w:rPr>
          <w:spacing w:val="10"/>
        </w:rPr>
        <w:t xml:space="preserve"> </w:t>
      </w:r>
      <w:r>
        <w:t>educativos,</w:t>
      </w:r>
      <w:r>
        <w:rPr>
          <w:spacing w:val="9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todos</w:t>
      </w:r>
      <w:r>
        <w:rPr>
          <w:spacing w:val="8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niveles,</w:t>
      </w:r>
      <w:r>
        <w:rPr>
          <w:spacing w:val="9"/>
        </w:rPr>
        <w:t xml:space="preserve"> </w:t>
      </w:r>
      <w:r>
        <w:rPr>
          <w:spacing w:val="-5"/>
        </w:rPr>
        <w:t>de</w:t>
      </w:r>
    </w:p>
    <w:p w:rsidR="00436207" w:rsidRDefault="00436207">
      <w:pPr>
        <w:spacing w:line="360" w:lineRule="auto"/>
        <w:sectPr w:rsidR="00436207">
          <w:type w:val="continuous"/>
          <w:pgSz w:w="12240" w:h="18720"/>
          <w:pgMar w:top="1420" w:right="1560" w:bottom="280" w:left="1560" w:header="720" w:footer="720" w:gutter="0"/>
          <w:cols w:space="720"/>
        </w:sectPr>
      </w:pPr>
    </w:p>
    <w:p w:rsidR="00436207" w:rsidRDefault="00177DF3">
      <w:pPr>
        <w:pStyle w:val="Textoindependiente"/>
        <w:spacing w:before="76" w:line="360" w:lineRule="auto"/>
        <w:ind w:right="140"/>
      </w:pPr>
      <w:proofErr w:type="gramStart"/>
      <w:r>
        <w:lastRenderedPageBreak/>
        <w:t>facilitar</w:t>
      </w:r>
      <w:proofErr w:type="gramEnd"/>
      <w:r>
        <w:t xml:space="preserve"> y eliminar impedimentos</w:t>
      </w:r>
      <w:r>
        <w:rPr>
          <w:spacing w:val="-1"/>
        </w:rPr>
        <w:t xml:space="preserve"> </w:t>
      </w:r>
      <w:r>
        <w:t>a la formación académica de estudiantes</w:t>
      </w:r>
      <w:r>
        <w:rPr>
          <w:spacing w:val="-1"/>
        </w:rPr>
        <w:t xml:space="preserve"> </w:t>
      </w:r>
      <w:r>
        <w:t>durante su embarazo o la crianza de sus hijos e hijas.</w:t>
      </w:r>
    </w:p>
    <w:p w:rsidR="00436207" w:rsidRDefault="00177DF3">
      <w:pPr>
        <w:pStyle w:val="Textoindependiente"/>
        <w:spacing w:before="161" w:line="360" w:lineRule="auto"/>
        <w:ind w:right="136" w:firstLine="359"/>
      </w:pPr>
      <w:r>
        <w:t>Es por ello por lo que desde la perspectiva de los derechos del niño consideramos que es un mínimo jurídico y social el considerar espacios, dentro de las instituciones de educación superior, de cuidad</w:t>
      </w:r>
      <w:r>
        <w:t>os integrales para los menores cuyos padres y madres se encuentren vinculados a dichos establecimientos por el trabajo o sus estudios.</w:t>
      </w:r>
    </w:p>
    <w:p w:rsidR="00436207" w:rsidRDefault="00177DF3">
      <w:pPr>
        <w:pStyle w:val="Textoindependiente"/>
        <w:spacing w:before="162" w:line="360" w:lineRule="auto"/>
        <w:ind w:right="135" w:firstLine="359"/>
      </w:pPr>
      <w:r>
        <w:t>Finalmente, es importante mencionar los compromisos sobre la materia que como Estado hemos asumido mediante la Convención</w:t>
      </w:r>
      <w:r>
        <w:t xml:space="preserve"> de Derechos del Niño. De esta manera podemos mencionar el artículo 3.1. que establece que “[e]n todas las medidas concernientes a los niños que tomen las instituciones públicas o privadas de bienestar social, los tribunales, las autoridades administrativa</w:t>
      </w:r>
      <w:r>
        <w:t>s o los órganos legislativos,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consideración</w:t>
      </w:r>
      <w:r>
        <w:rPr>
          <w:spacing w:val="-4"/>
        </w:rPr>
        <w:t xml:space="preserve"> </w:t>
      </w:r>
      <w:r>
        <w:t>primordial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atenderá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interés</w:t>
      </w:r>
      <w:r>
        <w:rPr>
          <w:spacing w:val="-4"/>
        </w:rPr>
        <w:t xml:space="preserve"> </w:t>
      </w:r>
      <w:r>
        <w:t>superior del niño.”.</w:t>
      </w:r>
    </w:p>
    <w:p w:rsidR="00436207" w:rsidRDefault="00177DF3">
      <w:pPr>
        <w:pStyle w:val="Textoindependiente"/>
        <w:spacing w:before="159" w:line="360" w:lineRule="auto"/>
        <w:ind w:right="137" w:firstLine="359"/>
      </w:pPr>
      <w:r>
        <w:t>Luego en el artículo 3.2. se aclara que los Estados Parte “se comprometen a asegurar al niño la protección y el cuidado que sean necesarios pa</w:t>
      </w:r>
      <w:r>
        <w:t>ra su bienestar, teniendo en cuenta los derechos y deberes de sus padres, tutores u otras personas responsables de él ante la ley y, con ese fin, tomarán todas las medidas legislativas y administrativas adecuadas.”.</w:t>
      </w:r>
    </w:p>
    <w:p w:rsidR="00436207" w:rsidRDefault="00436207">
      <w:pPr>
        <w:pStyle w:val="Textoindependiente"/>
        <w:ind w:left="0"/>
        <w:jc w:val="left"/>
        <w:rPr>
          <w:sz w:val="28"/>
        </w:rPr>
      </w:pPr>
    </w:p>
    <w:p w:rsidR="00436207" w:rsidRDefault="00436207">
      <w:pPr>
        <w:pStyle w:val="Textoindependiente"/>
        <w:spacing w:before="10"/>
        <w:ind w:left="0"/>
        <w:jc w:val="left"/>
        <w:rPr>
          <w:sz w:val="33"/>
        </w:rPr>
      </w:pPr>
    </w:p>
    <w:p w:rsidR="00436207" w:rsidRDefault="00177DF3">
      <w:pPr>
        <w:pStyle w:val="Prrafodelista"/>
        <w:numPr>
          <w:ilvl w:val="0"/>
          <w:numId w:val="1"/>
        </w:numPr>
        <w:tabs>
          <w:tab w:val="left" w:pos="1221"/>
          <w:tab w:val="left" w:pos="1222"/>
        </w:tabs>
        <w:ind w:hanging="721"/>
        <w:rPr>
          <w:b/>
          <w:sz w:val="24"/>
        </w:rPr>
      </w:pPr>
      <w:r>
        <w:rPr>
          <w:b/>
          <w:sz w:val="24"/>
        </w:rPr>
        <w:t>OBJETO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PROYECTO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LEY.</w:t>
      </w:r>
    </w:p>
    <w:p w:rsidR="00436207" w:rsidRDefault="00436207">
      <w:pPr>
        <w:pStyle w:val="Textoindependiente"/>
        <w:spacing w:before="2"/>
        <w:ind w:left="0"/>
        <w:jc w:val="left"/>
        <w:rPr>
          <w:b/>
          <w:sz w:val="25"/>
        </w:rPr>
      </w:pPr>
    </w:p>
    <w:p w:rsidR="00436207" w:rsidRDefault="00177DF3">
      <w:pPr>
        <w:pStyle w:val="Textoindependiente"/>
        <w:spacing w:before="1" w:line="360" w:lineRule="auto"/>
        <w:ind w:right="137" w:firstLine="359"/>
      </w:pPr>
      <w:r>
        <w:t>Este proyecto tiene por objeto el establecimiento de la obligación de que todos los establecimientos de educación superior mencionados en el artículo 52 de la Ley General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Educación, cuenten con salas cuna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cuidado</w:t>
      </w:r>
      <w:r>
        <w:rPr>
          <w:spacing w:val="-1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hijos menores de dos años</w:t>
      </w:r>
      <w:r>
        <w:t xml:space="preserve"> de estudiantes de educación superior, siendo aplicable lo mismo, en función del principio de igualdad, para los hijos de docentes y trabajadores.</w:t>
      </w:r>
    </w:p>
    <w:p w:rsidR="00436207" w:rsidRDefault="00177DF3">
      <w:pPr>
        <w:pStyle w:val="Textoindependiente"/>
        <w:spacing w:before="160" w:line="360" w:lineRule="auto"/>
        <w:ind w:right="134" w:firstLine="359"/>
      </w:pP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vez,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adecuado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normativa,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establece,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 artículo 2°, como sanción an</w:t>
      </w:r>
      <w:r>
        <w:t>te la desobediencia de esta norma la imposibilidad de acceder a la acreditación del plantel educativo, mientras se encuentre en tal infracción. Junto con lo anterior, se establece un plazo de un año desde la publicación de esta ley para que comience a regi</w:t>
      </w:r>
      <w:r>
        <w:t>r.</w:t>
      </w:r>
    </w:p>
    <w:p w:rsidR="00436207" w:rsidRDefault="00436207">
      <w:pPr>
        <w:spacing w:line="360" w:lineRule="auto"/>
        <w:sectPr w:rsidR="00436207">
          <w:pgSz w:w="12240" w:h="18720"/>
          <w:pgMar w:top="1340" w:right="1560" w:bottom="280" w:left="1560" w:header="720" w:footer="720" w:gutter="0"/>
          <w:cols w:space="720"/>
        </w:sectPr>
      </w:pPr>
    </w:p>
    <w:p w:rsidR="00436207" w:rsidRDefault="00177DF3">
      <w:pPr>
        <w:pStyle w:val="Prrafodelista"/>
        <w:numPr>
          <w:ilvl w:val="0"/>
          <w:numId w:val="1"/>
        </w:numPr>
        <w:tabs>
          <w:tab w:val="left" w:pos="1221"/>
          <w:tab w:val="left" w:pos="1222"/>
        </w:tabs>
        <w:spacing w:before="76"/>
        <w:ind w:hanging="721"/>
        <w:rPr>
          <w:b/>
          <w:sz w:val="24"/>
        </w:rPr>
      </w:pPr>
      <w:r>
        <w:rPr>
          <w:b/>
          <w:sz w:val="24"/>
        </w:rPr>
        <w:lastRenderedPageBreak/>
        <w:t>PROYECTO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LEY.</w:t>
      </w:r>
    </w:p>
    <w:p w:rsidR="00436207" w:rsidRDefault="00436207">
      <w:pPr>
        <w:pStyle w:val="Textoindependiente"/>
        <w:spacing w:before="4"/>
        <w:ind w:left="0"/>
        <w:jc w:val="left"/>
        <w:rPr>
          <w:b/>
          <w:sz w:val="25"/>
        </w:rPr>
      </w:pPr>
    </w:p>
    <w:p w:rsidR="00436207" w:rsidRDefault="00177DF3">
      <w:pPr>
        <w:pStyle w:val="Textoindependiente"/>
        <w:spacing w:line="360" w:lineRule="auto"/>
        <w:ind w:right="135" w:firstLine="359"/>
      </w:pPr>
      <w:r>
        <w:rPr>
          <w:b/>
        </w:rPr>
        <w:t xml:space="preserve">Artículo 1°. </w:t>
      </w:r>
      <w:r>
        <w:t>Los hijos e hijas, menores de dos años, de docentes, empleados, administrativos y estudiantes de educación superior, tendrán derecho a cuidados integrales dentro de los respectivos establecimientos durante las horas en que sus madres o padres trabajen o es</w:t>
      </w:r>
      <w:r>
        <w:t>tudien.</w:t>
      </w:r>
    </w:p>
    <w:p w:rsidR="00436207" w:rsidRDefault="00177DF3">
      <w:pPr>
        <w:pStyle w:val="Textoindependiente"/>
        <w:spacing w:before="160" w:line="360" w:lineRule="auto"/>
        <w:ind w:right="136" w:firstLine="359"/>
      </w:pPr>
      <w:r>
        <w:t>Las universidades, los institutos profesionales, los centros de formación técnica y demás instituciones de educación superior deberán contar con salas anexas e independientes, en donde las mujeres y hombres, pertenecientes a dichas instituciones, p</w:t>
      </w:r>
      <w:r>
        <w:t>uedan dar alimento a sus hijos y dejarlos al cuidado de profesionales especializados.</w:t>
      </w:r>
    </w:p>
    <w:p w:rsidR="00436207" w:rsidRDefault="00177DF3">
      <w:pPr>
        <w:pStyle w:val="Textoindependiente"/>
        <w:spacing w:before="161" w:line="360" w:lineRule="auto"/>
        <w:ind w:right="135" w:firstLine="359"/>
      </w:pPr>
      <w:r>
        <w:t>Para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entenderá</w:t>
      </w:r>
      <w:r>
        <w:rPr>
          <w:spacing w:val="-1"/>
        </w:rPr>
        <w:t xml:space="preserve"> </w:t>
      </w:r>
      <w:r>
        <w:t>por instituciones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educación</w:t>
      </w:r>
      <w:r>
        <w:rPr>
          <w:spacing w:val="-2"/>
        </w:rPr>
        <w:t xml:space="preserve"> </w:t>
      </w:r>
      <w:r>
        <w:t>superior las comprendidas en el artículo 52 del decreto con fuerza de ley Nº 2, del</w:t>
      </w:r>
      <w:r>
        <w:rPr>
          <w:spacing w:val="40"/>
        </w:rPr>
        <w:t xml:space="preserve"> </w:t>
      </w:r>
      <w:r>
        <w:t>Ministerio de Educación, promulgado el año 2009 y publicado el año 2010, que fija el texto refundido, coordinado y sistematizado de la ley Nº 20.370 con las normas no derogadas del decreto con fuerza de ley Nº 1, de 2005.</w:t>
      </w:r>
    </w:p>
    <w:p w:rsidR="00436207" w:rsidRDefault="00177DF3">
      <w:pPr>
        <w:pStyle w:val="Textoindependiente"/>
        <w:spacing w:before="161" w:line="360" w:lineRule="auto"/>
        <w:ind w:right="135" w:firstLine="359"/>
      </w:pPr>
      <w:r>
        <w:rPr>
          <w:b/>
        </w:rPr>
        <w:t xml:space="preserve">Artículo 2°. </w:t>
      </w:r>
      <w:r>
        <w:t xml:space="preserve">Las instituciones de </w:t>
      </w:r>
      <w:r>
        <w:t xml:space="preserve">educación superior señaladas en esta ley que no den cumplimiento a la obligación del inciso segundo del artículo 1° no podrán acceder u obtener la acreditación institucional que prevé la ley N° 20.129, que establece un sistema nacional de aseguramiento de </w:t>
      </w:r>
      <w:r>
        <w:t xml:space="preserve">la calidad de la educación </w:t>
      </w:r>
      <w:r>
        <w:rPr>
          <w:spacing w:val="-2"/>
        </w:rPr>
        <w:t>superior.</w:t>
      </w:r>
    </w:p>
    <w:p w:rsidR="00436207" w:rsidRDefault="00177DF3">
      <w:pPr>
        <w:pStyle w:val="Textoindependiente"/>
        <w:spacing w:before="159" w:line="360" w:lineRule="auto"/>
        <w:ind w:right="136" w:firstLine="359"/>
      </w:pPr>
      <w:r>
        <w:rPr>
          <w:b/>
        </w:rPr>
        <w:t xml:space="preserve">Artículo transitorio. </w:t>
      </w:r>
      <w:r>
        <w:t>Las instituciones de educación superior señaladas en esta ley tendrán un plazo máximo de un año desde su publicación para dar cumplimiento a la obligación dispuesta en la presente ley.</w:t>
      </w:r>
    </w:p>
    <w:p w:rsidR="00436207" w:rsidRDefault="00436207">
      <w:pPr>
        <w:pStyle w:val="Textoindependiente"/>
        <w:ind w:left="0"/>
        <w:jc w:val="left"/>
        <w:rPr>
          <w:sz w:val="28"/>
        </w:rPr>
      </w:pPr>
    </w:p>
    <w:p w:rsidR="00436207" w:rsidRDefault="00436207">
      <w:pPr>
        <w:pStyle w:val="Textoindependiente"/>
        <w:ind w:left="0"/>
        <w:jc w:val="left"/>
        <w:rPr>
          <w:sz w:val="28"/>
        </w:rPr>
      </w:pPr>
    </w:p>
    <w:p w:rsidR="00436207" w:rsidRDefault="00436207">
      <w:pPr>
        <w:pStyle w:val="Textoindependiente"/>
        <w:ind w:left="0"/>
        <w:jc w:val="left"/>
        <w:rPr>
          <w:sz w:val="28"/>
        </w:rPr>
      </w:pPr>
    </w:p>
    <w:p w:rsidR="00436207" w:rsidRDefault="00436207">
      <w:pPr>
        <w:pStyle w:val="Textoindependiente"/>
        <w:spacing w:before="8"/>
        <w:ind w:left="0"/>
        <w:jc w:val="left"/>
        <w:rPr>
          <w:sz w:val="26"/>
        </w:rPr>
      </w:pPr>
    </w:p>
    <w:p w:rsidR="00436207" w:rsidRDefault="00177DF3">
      <w:pPr>
        <w:ind w:left="3336" w:right="2978" w:firstLine="4"/>
        <w:jc w:val="center"/>
        <w:rPr>
          <w:b/>
          <w:sz w:val="24"/>
        </w:rPr>
      </w:pPr>
      <w:r>
        <w:rPr>
          <w:b/>
          <w:sz w:val="24"/>
        </w:rPr>
        <w:t xml:space="preserve">Natalia </w:t>
      </w:r>
      <w:r>
        <w:rPr>
          <w:b/>
          <w:sz w:val="24"/>
        </w:rPr>
        <w:t xml:space="preserve">Romero </w:t>
      </w:r>
      <w:proofErr w:type="spellStart"/>
      <w:r>
        <w:rPr>
          <w:b/>
          <w:sz w:val="24"/>
        </w:rPr>
        <w:t>Talguia</w:t>
      </w:r>
      <w:proofErr w:type="spellEnd"/>
      <w:r>
        <w:rPr>
          <w:b/>
          <w:sz w:val="24"/>
        </w:rPr>
        <w:t xml:space="preserve"> Diputada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República Distrito 15</w:t>
      </w:r>
    </w:p>
    <w:p w:rsidR="00436207" w:rsidRDefault="00177DF3">
      <w:pPr>
        <w:spacing w:line="288" w:lineRule="exact"/>
        <w:ind w:left="566" w:right="209"/>
        <w:jc w:val="center"/>
        <w:rPr>
          <w:b/>
          <w:sz w:val="24"/>
        </w:rPr>
      </w:pPr>
      <w:r>
        <w:rPr>
          <w:b/>
          <w:sz w:val="24"/>
        </w:rPr>
        <w:t>Región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O’Higgins</w:t>
      </w:r>
    </w:p>
    <w:sectPr w:rsidR="00436207">
      <w:pgSz w:w="12240" w:h="18720"/>
      <w:pgMar w:top="134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63CDA"/>
    <w:multiLevelType w:val="hybridMultilevel"/>
    <w:tmpl w:val="7CE01F0A"/>
    <w:lvl w:ilvl="0" w:tplc="1D686EAC">
      <w:start w:val="1"/>
      <w:numFmt w:val="upperRoman"/>
      <w:lvlText w:val="%1."/>
      <w:lvlJc w:val="left"/>
      <w:pPr>
        <w:ind w:left="1222" w:hanging="720"/>
        <w:jc w:val="left"/>
      </w:pPr>
      <w:rPr>
        <w:rFonts w:ascii="Book Antiqua" w:eastAsia="Book Antiqua" w:hAnsi="Book Antiqua" w:cs="Book Antiqua" w:hint="default"/>
        <w:b/>
        <w:bCs/>
        <w:i w:val="0"/>
        <w:iCs w:val="0"/>
        <w:w w:val="100"/>
        <w:sz w:val="24"/>
        <w:szCs w:val="24"/>
        <w:lang w:val="es-ES" w:eastAsia="en-US" w:bidi="ar-SA"/>
      </w:rPr>
    </w:lvl>
    <w:lvl w:ilvl="1" w:tplc="291A4D54">
      <w:numFmt w:val="bullet"/>
      <w:lvlText w:val="•"/>
      <w:lvlJc w:val="left"/>
      <w:pPr>
        <w:ind w:left="2010" w:hanging="720"/>
      </w:pPr>
      <w:rPr>
        <w:rFonts w:hint="default"/>
        <w:lang w:val="es-ES" w:eastAsia="en-US" w:bidi="ar-SA"/>
      </w:rPr>
    </w:lvl>
    <w:lvl w:ilvl="2" w:tplc="1D18796C">
      <w:numFmt w:val="bullet"/>
      <w:lvlText w:val="•"/>
      <w:lvlJc w:val="left"/>
      <w:pPr>
        <w:ind w:left="2800" w:hanging="720"/>
      </w:pPr>
      <w:rPr>
        <w:rFonts w:hint="default"/>
        <w:lang w:val="es-ES" w:eastAsia="en-US" w:bidi="ar-SA"/>
      </w:rPr>
    </w:lvl>
    <w:lvl w:ilvl="3" w:tplc="9E688DFE">
      <w:numFmt w:val="bullet"/>
      <w:lvlText w:val="•"/>
      <w:lvlJc w:val="left"/>
      <w:pPr>
        <w:ind w:left="3590" w:hanging="720"/>
      </w:pPr>
      <w:rPr>
        <w:rFonts w:hint="default"/>
        <w:lang w:val="es-ES" w:eastAsia="en-US" w:bidi="ar-SA"/>
      </w:rPr>
    </w:lvl>
    <w:lvl w:ilvl="4" w:tplc="B4942C12">
      <w:numFmt w:val="bullet"/>
      <w:lvlText w:val="•"/>
      <w:lvlJc w:val="left"/>
      <w:pPr>
        <w:ind w:left="4380" w:hanging="720"/>
      </w:pPr>
      <w:rPr>
        <w:rFonts w:hint="default"/>
        <w:lang w:val="es-ES" w:eastAsia="en-US" w:bidi="ar-SA"/>
      </w:rPr>
    </w:lvl>
    <w:lvl w:ilvl="5" w:tplc="245C4858">
      <w:numFmt w:val="bullet"/>
      <w:lvlText w:val="•"/>
      <w:lvlJc w:val="left"/>
      <w:pPr>
        <w:ind w:left="5170" w:hanging="720"/>
      </w:pPr>
      <w:rPr>
        <w:rFonts w:hint="default"/>
        <w:lang w:val="es-ES" w:eastAsia="en-US" w:bidi="ar-SA"/>
      </w:rPr>
    </w:lvl>
    <w:lvl w:ilvl="6" w:tplc="B11C14CE">
      <w:numFmt w:val="bullet"/>
      <w:lvlText w:val="•"/>
      <w:lvlJc w:val="left"/>
      <w:pPr>
        <w:ind w:left="5960" w:hanging="720"/>
      </w:pPr>
      <w:rPr>
        <w:rFonts w:hint="default"/>
        <w:lang w:val="es-ES" w:eastAsia="en-US" w:bidi="ar-SA"/>
      </w:rPr>
    </w:lvl>
    <w:lvl w:ilvl="7" w:tplc="75B06CFC">
      <w:numFmt w:val="bullet"/>
      <w:lvlText w:val="•"/>
      <w:lvlJc w:val="left"/>
      <w:pPr>
        <w:ind w:left="6750" w:hanging="720"/>
      </w:pPr>
      <w:rPr>
        <w:rFonts w:hint="default"/>
        <w:lang w:val="es-ES" w:eastAsia="en-US" w:bidi="ar-SA"/>
      </w:rPr>
    </w:lvl>
    <w:lvl w:ilvl="8" w:tplc="7076E0F0">
      <w:numFmt w:val="bullet"/>
      <w:lvlText w:val="•"/>
      <w:lvlJc w:val="left"/>
      <w:pPr>
        <w:ind w:left="7540" w:hanging="72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36207"/>
    <w:rsid w:val="00177DF3"/>
    <w:rsid w:val="0043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30AD0A38-1BE7-45E1-906A-E34788E6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42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222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Murillo Velásquez</dc:creator>
  <cp:lastModifiedBy>Leonardo Lueiza Ureta</cp:lastModifiedBy>
  <cp:revision>1</cp:revision>
  <dcterms:created xsi:type="dcterms:W3CDTF">2022-10-11T17:45:00Z</dcterms:created>
  <dcterms:modified xsi:type="dcterms:W3CDTF">2023-01-10T14:29:00Z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2022-10-11T00:00:00Z</vt:filetime>
  </property>
  <property fmtid="{D5CDD505-2E9C-101B-9397-08002B2CF9AE}" pid="5" name="Producer">
    <vt:lpwstr>Microsoft® Word para Microsoft 365</vt:lpwstr>
  </property>
</Properties>
</file>