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2E" w:rsidRDefault="00737498">
      <w:pPr>
        <w:pStyle w:val="Textoindependiente"/>
        <w:ind w:left="115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740402" cy="731520"/>
            <wp:effectExtent l="0" t="0" r="0" b="0"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0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2E" w:rsidRDefault="001D3E2E">
      <w:pPr>
        <w:pStyle w:val="Textoindependiente"/>
        <w:rPr>
          <w:sz w:val="20"/>
        </w:rPr>
      </w:pPr>
    </w:p>
    <w:p w:rsidR="001D3E2E" w:rsidRDefault="001D3E2E">
      <w:pPr>
        <w:pStyle w:val="Textoindependiente"/>
        <w:spacing w:before="1"/>
        <w:rPr>
          <w:sz w:val="28"/>
        </w:rPr>
      </w:pPr>
    </w:p>
    <w:p w:rsidR="001D3E2E" w:rsidRDefault="00737498">
      <w:pPr>
        <w:pStyle w:val="Ttulo1"/>
        <w:spacing w:before="90" w:line="480" w:lineRule="auto"/>
        <w:ind w:left="662" w:right="118" w:firstLine="0"/>
        <w:jc w:val="both"/>
      </w:pPr>
      <w:r>
        <w:pict>
          <v:line id="_x0000_s1028" style="position:absolute;left:0;text-align:left;z-index:-15770112;mso-position-horizontal-relative:page" from="82.9pt,102.85pt" to="523.95pt,103.65pt" strokeweight=".5pt">
            <w10:wrap anchorx="page"/>
          </v:line>
        </w:pict>
      </w:r>
      <w:r>
        <w:t>PROYECTO DE LEY QUE MODIFICA EL CÓDIGO PENAL CON OBJETO DE ESTABLECER UNA MULTA POR EL DELITO DE PITANZAS Y DE ESTABLECER EL PAGO SOLIDARIO DEL PADRE, MADRE O REPRESENTANTE LEGAL EN ESTE CASO</w:t>
      </w:r>
    </w:p>
    <w:p w:rsidR="001D3E2E" w:rsidRDefault="00737498">
      <w:pPr>
        <w:pStyle w:val="Prrafodelista"/>
        <w:numPr>
          <w:ilvl w:val="0"/>
          <w:numId w:val="1"/>
        </w:numPr>
        <w:tabs>
          <w:tab w:val="left" w:pos="1382"/>
        </w:tabs>
        <w:spacing w:before="162"/>
        <w:jc w:val="both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1D3E2E" w:rsidRDefault="001D3E2E">
      <w:pPr>
        <w:pStyle w:val="Textoindependiente"/>
        <w:rPr>
          <w:b/>
        </w:rPr>
      </w:pP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line="480" w:lineRule="auto"/>
        <w:ind w:right="117"/>
        <w:jc w:val="both"/>
        <w:rPr>
          <w:sz w:val="24"/>
        </w:rPr>
      </w:pPr>
      <w:r>
        <w:rPr>
          <w:sz w:val="24"/>
        </w:rPr>
        <w:t xml:space="preserve">El artículo 1° de nuestra Constitución Política de la República dispone que </w:t>
      </w:r>
      <w:r>
        <w:rPr>
          <w:i/>
          <w:sz w:val="24"/>
        </w:rPr>
        <w:t xml:space="preserve">“Es </w:t>
      </w:r>
      <w:r>
        <w:rPr>
          <w:i/>
          <w:spacing w:val="-2"/>
          <w:sz w:val="24"/>
        </w:rPr>
        <w:t>deber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Estado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resguardar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seguridad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nacional,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dar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protección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 xml:space="preserve">población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familia”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Así,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aparato</w:t>
      </w:r>
      <w:r>
        <w:rPr>
          <w:spacing w:val="-15"/>
          <w:sz w:val="24"/>
        </w:rPr>
        <w:t xml:space="preserve"> </w:t>
      </w:r>
      <w:r>
        <w:rPr>
          <w:sz w:val="24"/>
        </w:rPr>
        <w:t>estatal</w:t>
      </w:r>
      <w:r>
        <w:rPr>
          <w:spacing w:val="-15"/>
          <w:sz w:val="24"/>
        </w:rPr>
        <w:t xml:space="preserve"> </w:t>
      </w:r>
      <w:r>
        <w:rPr>
          <w:sz w:val="24"/>
        </w:rPr>
        <w:t>debe</w:t>
      </w:r>
      <w:r>
        <w:rPr>
          <w:spacing w:val="-15"/>
          <w:sz w:val="24"/>
        </w:rPr>
        <w:t xml:space="preserve"> </w:t>
      </w:r>
      <w:r>
        <w:rPr>
          <w:sz w:val="24"/>
        </w:rPr>
        <w:t>contar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herramientas</w:t>
      </w:r>
      <w:r>
        <w:rPr>
          <w:spacing w:val="-15"/>
          <w:sz w:val="24"/>
        </w:rPr>
        <w:t xml:space="preserve"> </w:t>
      </w:r>
      <w:r>
        <w:rPr>
          <w:sz w:val="24"/>
        </w:rPr>
        <w:t>reales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firmes que tengan la función de evitar posibles sucesos que atenten contra la seguridad de todas las personas y de reaccionar oportunamente en caso de posibles amenazas y hechos que generen desórdenes sociales.</w:t>
      </w: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before="1" w:line="480" w:lineRule="auto"/>
        <w:ind w:right="119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últimas</w:t>
      </w:r>
      <w:r>
        <w:rPr>
          <w:spacing w:val="-10"/>
          <w:sz w:val="24"/>
        </w:rPr>
        <w:t xml:space="preserve"> </w:t>
      </w:r>
      <w:r>
        <w:rPr>
          <w:sz w:val="24"/>
        </w:rPr>
        <w:t>décadas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ha</w:t>
      </w:r>
      <w:r>
        <w:rPr>
          <w:spacing w:val="-12"/>
          <w:sz w:val="24"/>
        </w:rPr>
        <w:t xml:space="preserve"> </w:t>
      </w:r>
      <w:r>
        <w:rPr>
          <w:sz w:val="24"/>
        </w:rPr>
        <w:t>suscitado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lamentable</w:t>
      </w:r>
      <w:r>
        <w:rPr>
          <w:spacing w:val="-1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pone</w:t>
      </w:r>
      <w:r>
        <w:rPr>
          <w:spacing w:val="-12"/>
          <w:sz w:val="24"/>
        </w:rPr>
        <w:t xml:space="preserve"> </w:t>
      </w:r>
      <w:r>
        <w:rPr>
          <w:sz w:val="24"/>
        </w:rPr>
        <w:t>en riesgo la estabilidad psicológica de las personas y que despliega costosas operaciones para las instituciones encargadas de prestar auxilio en casos de emergencia, lo cual se intensifica aún más en un contexto como el qu</w:t>
      </w:r>
      <w:r>
        <w:rPr>
          <w:sz w:val="24"/>
        </w:rPr>
        <w:t>e hemos experimentado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últimos</w:t>
      </w:r>
      <w:r>
        <w:rPr>
          <w:spacing w:val="-8"/>
          <w:sz w:val="24"/>
        </w:rPr>
        <w:t xml:space="preserve"> </w:t>
      </w:r>
      <w:r>
        <w:rPr>
          <w:sz w:val="24"/>
        </w:rPr>
        <w:t>años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causa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sismos,</w:t>
      </w:r>
      <w:r>
        <w:rPr>
          <w:spacing w:val="-6"/>
          <w:sz w:val="24"/>
        </w:rPr>
        <w:t xml:space="preserve"> </w:t>
      </w:r>
      <w:r>
        <w:rPr>
          <w:sz w:val="24"/>
        </w:rPr>
        <w:t>incendios,</w:t>
      </w:r>
      <w:r>
        <w:rPr>
          <w:spacing w:val="-9"/>
          <w:sz w:val="24"/>
        </w:rPr>
        <w:t xml:space="preserve"> </w:t>
      </w:r>
      <w:r>
        <w:rPr>
          <w:sz w:val="24"/>
        </w:rPr>
        <w:t>hechos</w:t>
      </w:r>
      <w:r>
        <w:rPr>
          <w:spacing w:val="-9"/>
          <w:sz w:val="24"/>
        </w:rPr>
        <w:t xml:space="preserve"> </w:t>
      </w:r>
      <w:r>
        <w:rPr>
          <w:sz w:val="24"/>
        </w:rPr>
        <w:t>delictivos</w:t>
      </w:r>
      <w:r>
        <w:rPr>
          <w:spacing w:val="-9"/>
          <w:sz w:val="24"/>
        </w:rPr>
        <w:t xml:space="preserve"> </w:t>
      </w:r>
      <w:r>
        <w:rPr>
          <w:sz w:val="24"/>
        </w:rPr>
        <w:t>y la propagación del Covid-19.</w:t>
      </w: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Los graves hechos a los que nos referimos los constituyen las falsas alarmas, las cuales se manifiestan principalmente mediante llamados t</w:t>
      </w:r>
      <w:r>
        <w:rPr>
          <w:sz w:val="24"/>
        </w:rPr>
        <w:t>elefónicos conocidas coloquialmente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pitanzas.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estos</w:t>
      </w:r>
      <w:r>
        <w:rPr>
          <w:spacing w:val="-12"/>
          <w:sz w:val="24"/>
        </w:rPr>
        <w:t xml:space="preserve"> </w:t>
      </w:r>
      <w:r>
        <w:rPr>
          <w:sz w:val="24"/>
        </w:rPr>
        <w:t>hechos</w:t>
      </w:r>
      <w:r>
        <w:rPr>
          <w:spacing w:val="-12"/>
          <w:sz w:val="24"/>
        </w:rPr>
        <w:t xml:space="preserve"> </w:t>
      </w:r>
      <w:r>
        <w:rPr>
          <w:sz w:val="24"/>
        </w:rPr>
        <w:t>tienen</w:t>
      </w:r>
      <w:r>
        <w:rPr>
          <w:spacing w:val="-10"/>
          <w:sz w:val="24"/>
        </w:rPr>
        <w:t xml:space="preserve"> </w:t>
      </w:r>
      <w:r>
        <w:rPr>
          <w:sz w:val="24"/>
        </w:rPr>
        <w:t>ánimo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</w:p>
    <w:p w:rsidR="001D3E2E" w:rsidRDefault="001D3E2E">
      <w:pPr>
        <w:spacing w:line="480" w:lineRule="auto"/>
        <w:jc w:val="both"/>
        <w:rPr>
          <w:sz w:val="24"/>
        </w:rPr>
        <w:sectPr w:rsidR="001D3E2E">
          <w:type w:val="continuous"/>
          <w:pgSz w:w="12240" w:h="15840"/>
          <w:pgMar w:top="1420" w:right="1580" w:bottom="280" w:left="1040" w:header="720" w:footer="720" w:gutter="0"/>
          <w:cols w:space="720"/>
        </w:sectPr>
      </w:pPr>
    </w:p>
    <w:p w:rsidR="001D3E2E" w:rsidRDefault="00737498">
      <w:pPr>
        <w:pStyle w:val="Textoindependiente"/>
        <w:spacing w:before="75" w:line="480" w:lineRule="auto"/>
        <w:ind w:left="1742" w:right="117"/>
        <w:jc w:val="both"/>
      </w:pPr>
      <w:proofErr w:type="gramStart"/>
      <w:r>
        <w:lastRenderedPageBreak/>
        <w:t>engañar</w:t>
      </w:r>
      <w:proofErr w:type="gramEnd"/>
      <w:r>
        <w:t xml:space="preserve"> a la población con objeto de poner en marcha servicios que actúan en situaciones de emergencia, tal como lo son carabineros, bomberos, grupos de rescate marítimo y ambulancias, entre otros.</w:t>
      </w: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Estos</w:t>
      </w:r>
      <w:r>
        <w:rPr>
          <w:spacing w:val="-10"/>
          <w:sz w:val="24"/>
        </w:rPr>
        <w:t xml:space="preserve"> </w:t>
      </w:r>
      <w:r>
        <w:rPr>
          <w:sz w:val="24"/>
        </w:rPr>
        <w:t>actos</w:t>
      </w:r>
      <w:r>
        <w:rPr>
          <w:spacing w:val="-10"/>
          <w:sz w:val="24"/>
        </w:rPr>
        <w:t xml:space="preserve"> </w:t>
      </w:r>
      <w:r>
        <w:rPr>
          <w:sz w:val="24"/>
        </w:rPr>
        <w:t>atentan</w:t>
      </w:r>
      <w:r>
        <w:rPr>
          <w:spacing w:val="-9"/>
          <w:sz w:val="24"/>
        </w:rPr>
        <w:t xml:space="preserve"> </w:t>
      </w:r>
      <w:r>
        <w:rPr>
          <w:sz w:val="24"/>
        </w:rPr>
        <w:t>deliberadamente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contra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orden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1"/>
          <w:sz w:val="24"/>
        </w:rPr>
        <w:t xml:space="preserve"> </w:t>
      </w:r>
      <w:r>
        <w:rPr>
          <w:sz w:val="24"/>
        </w:rPr>
        <w:t>pública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 nación, y ponen en riesgo la integridad psicológica de las personas que son engañadas, lo cual incluso puede poner en riesgo la vida. Es de público conocimiento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sufren</w:t>
      </w:r>
      <w:r>
        <w:rPr>
          <w:spacing w:val="-1"/>
          <w:sz w:val="24"/>
        </w:rPr>
        <w:t xml:space="preserve"> </w:t>
      </w:r>
      <w:r>
        <w:rPr>
          <w:sz w:val="24"/>
        </w:rPr>
        <w:t>de fobia</w:t>
      </w:r>
      <w:r>
        <w:rPr>
          <w:spacing w:val="-3"/>
          <w:sz w:val="24"/>
        </w:rPr>
        <w:t xml:space="preserve"> </w:t>
      </w:r>
      <w:r>
        <w:rPr>
          <w:sz w:val="24"/>
        </w:rPr>
        <w:t>ante</w:t>
      </w:r>
      <w:r>
        <w:rPr>
          <w:spacing w:val="-2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riesgo,</w:t>
      </w:r>
      <w:r>
        <w:rPr>
          <w:spacing w:val="-1"/>
          <w:sz w:val="24"/>
        </w:rPr>
        <w:t xml:space="preserve"> </w:t>
      </w:r>
      <w:r>
        <w:rPr>
          <w:sz w:val="24"/>
        </w:rPr>
        <w:t>lo cual</w:t>
      </w:r>
      <w:r>
        <w:rPr>
          <w:sz w:val="24"/>
        </w:rPr>
        <w:t xml:space="preserve"> les puede generar ataques de pánico e incluso ataques cardíacos.</w:t>
      </w: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before="1" w:line="480" w:lineRule="auto"/>
        <w:ind w:right="118"/>
        <w:jc w:val="both"/>
        <w:rPr>
          <w:sz w:val="24"/>
        </w:rPr>
      </w:pPr>
      <w:r>
        <w:rPr>
          <w:sz w:val="24"/>
        </w:rPr>
        <w:t>Respecto al impacto económico de estas conductas, cabe destacar que los procedimientos que se ejecutan durante situaciones de emergencia cuentan con alto presupuesto, pues muchas veces impli</w:t>
      </w:r>
      <w:r>
        <w:rPr>
          <w:sz w:val="24"/>
        </w:rPr>
        <w:t>can poner en marcha helicópteros, carros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bomberos,</w:t>
      </w:r>
      <w:r>
        <w:rPr>
          <w:spacing w:val="-2"/>
          <w:sz w:val="24"/>
        </w:rPr>
        <w:t xml:space="preserve"> </w:t>
      </w:r>
      <w:r>
        <w:rPr>
          <w:sz w:val="24"/>
        </w:rPr>
        <w:t>ambulancias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incluso</w:t>
      </w:r>
      <w:r>
        <w:rPr>
          <w:spacing w:val="-2"/>
          <w:sz w:val="24"/>
        </w:rPr>
        <w:t xml:space="preserve"> </w:t>
      </w:r>
      <w:r>
        <w:rPr>
          <w:sz w:val="24"/>
        </w:rPr>
        <w:t>aterrizajes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emergencia,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generando un perjuicio en aquellas oportunidades en que realmente ocurre una catástrofe </w:t>
      </w:r>
      <w:r>
        <w:rPr>
          <w:spacing w:val="-2"/>
          <w:sz w:val="24"/>
        </w:rPr>
        <w:t>real.</w:t>
      </w: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before="1" w:line="480" w:lineRule="auto"/>
        <w:ind w:right="115"/>
        <w:jc w:val="both"/>
        <w:rPr>
          <w:sz w:val="24"/>
        </w:rPr>
      </w:pPr>
      <w:r>
        <w:rPr>
          <w:sz w:val="24"/>
        </w:rPr>
        <w:t xml:space="preserve">Una muestra de lo anterior es lo ocurrido durante junio de </w:t>
      </w:r>
      <w:r>
        <w:rPr>
          <w:sz w:val="24"/>
        </w:rPr>
        <w:t xml:space="preserve">2022, cuando un hombre realizó llamados telefónicos a la Central de Alarmas del Cuerpo de Bomberos de Valdivia y </w:t>
      </w:r>
      <w:proofErr w:type="spellStart"/>
      <w:r>
        <w:rPr>
          <w:sz w:val="24"/>
        </w:rPr>
        <w:t>Paillaco</w:t>
      </w:r>
      <w:proofErr w:type="spellEnd"/>
      <w:r>
        <w:rPr>
          <w:sz w:val="24"/>
        </w:rPr>
        <w:t xml:space="preserve"> y a Carabineros para solicitar socorro de organismos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emergencia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falso</w:t>
      </w:r>
      <w:r>
        <w:rPr>
          <w:spacing w:val="-5"/>
          <w:sz w:val="24"/>
        </w:rPr>
        <w:t xml:space="preserve"> </w:t>
      </w:r>
      <w:r>
        <w:rPr>
          <w:sz w:val="24"/>
        </w:rPr>
        <w:t>accidente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tránsito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ruta</w:t>
      </w:r>
      <w:r>
        <w:rPr>
          <w:spacing w:val="-6"/>
          <w:sz w:val="24"/>
        </w:rPr>
        <w:t xml:space="preserve"> </w:t>
      </w:r>
      <w:r>
        <w:rPr>
          <w:sz w:val="24"/>
        </w:rPr>
        <w:t>T-206.</w:t>
      </w:r>
      <w:r>
        <w:rPr>
          <w:spacing w:val="-5"/>
          <w:sz w:val="24"/>
        </w:rPr>
        <w:t xml:space="preserve"> </w:t>
      </w:r>
      <w:r>
        <w:rPr>
          <w:sz w:val="24"/>
        </w:rPr>
        <w:t>En dicha ocasión se condenó al responsable a 41 días de prisión sin posibilidad de pena sustitutiva.</w:t>
      </w:r>
      <w:r>
        <w:rPr>
          <w:sz w:val="24"/>
          <w:vertAlign w:val="superscript"/>
        </w:rPr>
        <w:t>1</w:t>
      </w:r>
    </w:p>
    <w:p w:rsidR="001D3E2E" w:rsidRDefault="001D3E2E">
      <w:pPr>
        <w:pStyle w:val="Textoindependiente"/>
        <w:rPr>
          <w:sz w:val="20"/>
        </w:rPr>
      </w:pPr>
    </w:p>
    <w:p w:rsidR="001D3E2E" w:rsidRDefault="001D3E2E">
      <w:pPr>
        <w:pStyle w:val="Textoindependiente"/>
        <w:rPr>
          <w:sz w:val="20"/>
        </w:rPr>
      </w:pPr>
    </w:p>
    <w:p w:rsidR="001D3E2E" w:rsidRDefault="001D3E2E">
      <w:pPr>
        <w:pStyle w:val="Textoindependiente"/>
        <w:rPr>
          <w:sz w:val="20"/>
        </w:rPr>
      </w:pPr>
    </w:p>
    <w:p w:rsidR="001D3E2E" w:rsidRDefault="00737498">
      <w:pPr>
        <w:pStyle w:val="Textoindependiente"/>
        <w:spacing w:before="8"/>
        <w:rPr>
          <w:sz w:val="19"/>
        </w:rPr>
      </w:pPr>
      <w:r>
        <w:pict>
          <v:rect id="docshape1" o:spid="_x0000_s1027" style="position:absolute;margin-left:85.1pt;margin-top:12.5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D3E2E" w:rsidRDefault="001D3E2E">
      <w:pPr>
        <w:pStyle w:val="Textoindependiente"/>
        <w:spacing w:before="4"/>
        <w:rPr>
          <w:sz w:val="19"/>
        </w:rPr>
      </w:pPr>
    </w:p>
    <w:p w:rsidR="001D3E2E" w:rsidRDefault="00737498">
      <w:pPr>
        <w:spacing w:before="60"/>
        <w:ind w:left="662" w:right="13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1 </w:t>
      </w:r>
      <w:r>
        <w:rPr>
          <w:rFonts w:ascii="Calibri" w:hAnsi="Calibri"/>
          <w:i/>
          <w:sz w:val="20"/>
        </w:rPr>
        <w:t>“Bomberos de Valdivia logra condena de sujeto por falsa alarma”</w:t>
      </w:r>
      <w:r>
        <w:rPr>
          <w:rFonts w:ascii="Calibri" w:hAnsi="Calibri"/>
          <w:sz w:val="20"/>
        </w:rPr>
        <w:t xml:space="preserve">. Diario de Osorno. Disponible en: </w:t>
      </w:r>
      <w:r>
        <w:rPr>
          <w:rFonts w:ascii="Calibri" w:hAnsi="Calibri"/>
          <w:spacing w:val="-2"/>
          <w:sz w:val="20"/>
        </w:rPr>
        <w:t>https:/</w:t>
      </w:r>
      <w:hyperlink r:id="rId6">
        <w:r>
          <w:rPr>
            <w:rFonts w:ascii="Calibri" w:hAnsi="Calibri"/>
            <w:spacing w:val="-2"/>
            <w:sz w:val="20"/>
          </w:rPr>
          <w:t>/w</w:t>
        </w:r>
      </w:hyperlink>
      <w:r>
        <w:rPr>
          <w:rFonts w:ascii="Calibri" w:hAnsi="Calibri"/>
          <w:spacing w:val="-2"/>
          <w:sz w:val="20"/>
        </w:rPr>
        <w:t>w</w:t>
      </w:r>
      <w:hyperlink r:id="rId7">
        <w:r>
          <w:rPr>
            <w:rFonts w:ascii="Calibri" w:hAnsi="Calibri"/>
            <w:spacing w:val="-2"/>
            <w:sz w:val="20"/>
          </w:rPr>
          <w:t>w.diariodeosorno.cl/noticia/actualidad/2022/06/bombe</w:t>
        </w:r>
        <w:r>
          <w:rPr>
            <w:rFonts w:ascii="Calibri" w:hAnsi="Calibri"/>
            <w:spacing w:val="-2"/>
            <w:sz w:val="20"/>
          </w:rPr>
          <w:t>ros-de-valdivia-logra-condena-de-sujeto-</w:t>
        </w:r>
      </w:hyperlink>
      <w:r>
        <w:rPr>
          <w:rFonts w:ascii="Calibri" w:hAnsi="Calibri"/>
          <w:spacing w:val="-2"/>
          <w:sz w:val="20"/>
        </w:rPr>
        <w:t xml:space="preserve"> por-falsa-alarma</w:t>
      </w:r>
    </w:p>
    <w:p w:rsidR="001D3E2E" w:rsidRDefault="001D3E2E">
      <w:pPr>
        <w:rPr>
          <w:rFonts w:ascii="Calibri" w:hAnsi="Calibri"/>
          <w:sz w:val="20"/>
        </w:rPr>
        <w:sectPr w:rsidR="001D3E2E">
          <w:pgSz w:w="12240" w:h="15840"/>
          <w:pgMar w:top="1340" w:right="1580" w:bottom="280" w:left="1040" w:header="720" w:footer="720" w:gutter="0"/>
          <w:cols w:space="720"/>
        </w:sectPr>
      </w:pP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before="75" w:line="48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situación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vivió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día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avión</w:t>
      </w:r>
      <w:r>
        <w:rPr>
          <w:spacing w:val="-5"/>
          <w:sz w:val="24"/>
        </w:rPr>
        <w:t xml:space="preserve"> </w:t>
      </w:r>
      <w:r>
        <w:rPr>
          <w:sz w:val="24"/>
        </w:rPr>
        <w:t>comercial</w:t>
      </w:r>
      <w:r>
        <w:rPr>
          <w:spacing w:val="-6"/>
          <w:sz w:val="24"/>
        </w:rPr>
        <w:t xml:space="preserve"> </w:t>
      </w:r>
      <w:r>
        <w:rPr>
          <w:sz w:val="24"/>
        </w:rPr>
        <w:t>de la línea aérea LATAM, donde un hombre dio un falso aviso de la presencia de una bomba, generando la evacuación del aeropuerto de Iquique y retrasando el despegue y llegada de varios vuelos. En tal contexto se procedió a activar el protocolo de emergenci</w:t>
      </w:r>
      <w:r>
        <w:rPr>
          <w:sz w:val="24"/>
        </w:rPr>
        <w:t xml:space="preserve">a y posteriormente se tomó detenido al responsable. </w:t>
      </w:r>
      <w:r>
        <w:rPr>
          <w:sz w:val="24"/>
          <w:vertAlign w:val="superscript"/>
        </w:rPr>
        <w:t>2</w:t>
      </w:r>
    </w:p>
    <w:p w:rsidR="001D3E2E" w:rsidRDefault="00737498">
      <w:pPr>
        <w:pStyle w:val="Prrafodelista"/>
        <w:numPr>
          <w:ilvl w:val="1"/>
          <w:numId w:val="1"/>
        </w:numPr>
        <w:tabs>
          <w:tab w:val="left" w:pos="2078"/>
        </w:tabs>
        <w:spacing w:before="1" w:line="480" w:lineRule="auto"/>
        <w:ind w:right="118"/>
        <w:jc w:val="both"/>
        <w:rPr>
          <w:sz w:val="24"/>
        </w:rPr>
      </w:pPr>
      <w:r>
        <w:rPr>
          <w:sz w:val="24"/>
        </w:rPr>
        <w:t>Si bien nuestro ordenamiento jurídico castiga penalmente este tipo de conductas,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menester</w:t>
      </w:r>
      <w:r>
        <w:rPr>
          <w:spacing w:val="-4"/>
          <w:sz w:val="24"/>
        </w:rPr>
        <w:t xml:space="preserve"> </w:t>
      </w:r>
      <w:r>
        <w:rPr>
          <w:sz w:val="24"/>
        </w:rPr>
        <w:t>indicar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5"/>
          <w:sz w:val="24"/>
        </w:rPr>
        <w:t xml:space="preserve"> </w:t>
      </w:r>
      <w:r>
        <w:rPr>
          <w:sz w:val="24"/>
        </w:rPr>
        <w:t>asociada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delito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cuestión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lo suficientemente disuasiva para inhibir su reitera</w:t>
      </w:r>
      <w:r>
        <w:rPr>
          <w:sz w:val="24"/>
        </w:rPr>
        <w:t>da comisión y para resarcir el daño económico provocado por el responsable, en virtud de lo cual se hace necesario incorporar multas cuantiosas.</w:t>
      </w:r>
    </w:p>
    <w:p w:rsidR="001D3E2E" w:rsidRDefault="00737498">
      <w:pPr>
        <w:pStyle w:val="Prrafodelista"/>
        <w:numPr>
          <w:ilvl w:val="1"/>
          <w:numId w:val="1"/>
        </w:numPr>
        <w:tabs>
          <w:tab w:val="left" w:pos="1742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Es necesario indicar que los responsables de este tipo de conductas suelen ser menores de edad incapaces de responder económicamente por los daños producidos.</w:t>
      </w:r>
      <w:r>
        <w:rPr>
          <w:spacing w:val="-1"/>
          <w:sz w:val="24"/>
        </w:rPr>
        <w:t xml:space="preserve"> </w:t>
      </w:r>
      <w:r>
        <w:rPr>
          <w:sz w:val="24"/>
        </w:rPr>
        <w:t>Así,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necesario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padre,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responda solidariamente en estos caso</w:t>
      </w:r>
      <w:r>
        <w:rPr>
          <w:sz w:val="24"/>
        </w:rPr>
        <w:t>s, haciéndose cargo del pago de la multa asociada.</w:t>
      </w:r>
    </w:p>
    <w:p w:rsidR="001D3E2E" w:rsidRDefault="001D3E2E">
      <w:pPr>
        <w:pStyle w:val="Textoindependiente"/>
        <w:rPr>
          <w:sz w:val="26"/>
        </w:rPr>
      </w:pPr>
    </w:p>
    <w:p w:rsidR="001D3E2E" w:rsidRDefault="001D3E2E">
      <w:pPr>
        <w:pStyle w:val="Textoindependiente"/>
        <w:spacing w:before="1"/>
        <w:rPr>
          <w:sz w:val="22"/>
        </w:rPr>
      </w:pPr>
    </w:p>
    <w:p w:rsidR="001D3E2E" w:rsidRDefault="00737498">
      <w:pPr>
        <w:pStyle w:val="Ttulo1"/>
        <w:numPr>
          <w:ilvl w:val="0"/>
          <w:numId w:val="1"/>
        </w:numPr>
        <w:tabs>
          <w:tab w:val="left" w:pos="1381"/>
          <w:tab w:val="left" w:pos="1382"/>
        </w:tabs>
        <w:ind w:hanging="608"/>
        <w:jc w:val="left"/>
      </w:pPr>
      <w:r>
        <w:t>PROPUESTA</w:t>
      </w:r>
      <w:r>
        <w:rPr>
          <w:spacing w:val="-13"/>
        </w:rPr>
        <w:t xml:space="preserve"> </w:t>
      </w:r>
      <w:r>
        <w:rPr>
          <w:spacing w:val="-2"/>
        </w:rPr>
        <w:t>LEGISLATIVA.</w:t>
      </w:r>
    </w:p>
    <w:p w:rsidR="001D3E2E" w:rsidRDefault="001D3E2E">
      <w:pPr>
        <w:pStyle w:val="Textoindependiente"/>
        <w:rPr>
          <w:b/>
        </w:rPr>
      </w:pPr>
    </w:p>
    <w:p w:rsidR="001D3E2E" w:rsidRDefault="00737498">
      <w:pPr>
        <w:pStyle w:val="Textoindependiente"/>
        <w:spacing w:before="1" w:line="480" w:lineRule="auto"/>
        <w:ind w:left="1382" w:right="118"/>
        <w:jc w:val="both"/>
      </w:pPr>
      <w:r>
        <w:t>Este proyecto de ley modifica el Código Penal con objeto de exigir el pago de una multa</w:t>
      </w:r>
      <w:r>
        <w:rPr>
          <w:spacing w:val="-15"/>
        </w:rPr>
        <w:t xml:space="preserve"> </w:t>
      </w:r>
      <w:r>
        <w:t>pecuniaria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responsables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delito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falsa</w:t>
      </w:r>
      <w:r>
        <w:rPr>
          <w:spacing w:val="-15"/>
        </w:rPr>
        <w:t xml:space="preserve"> </w:t>
      </w:r>
      <w:r>
        <w:t>alarma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incendio,</w:t>
      </w:r>
      <w:r>
        <w:rPr>
          <w:spacing w:val="-15"/>
        </w:rPr>
        <w:t xml:space="preserve"> </w:t>
      </w:r>
      <w:r>
        <w:t>emergencia o</w:t>
      </w:r>
      <w:r>
        <w:rPr>
          <w:spacing w:val="-15"/>
        </w:rPr>
        <w:t xml:space="preserve"> </w:t>
      </w:r>
      <w:r>
        <w:t>calamidad</w:t>
      </w:r>
      <w:r>
        <w:rPr>
          <w:spacing w:val="-15"/>
        </w:rPr>
        <w:t xml:space="preserve"> </w:t>
      </w:r>
      <w:r>
        <w:t>pública,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variar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80</w:t>
      </w:r>
      <w:r>
        <w:rPr>
          <w:spacing w:val="-15"/>
        </w:rPr>
        <w:t xml:space="preserve"> </w:t>
      </w:r>
      <w:r>
        <w:t>unidades</w:t>
      </w:r>
      <w:r>
        <w:rPr>
          <w:spacing w:val="-15"/>
        </w:rPr>
        <w:t xml:space="preserve"> </w:t>
      </w:r>
      <w:r>
        <w:t>tributarias</w:t>
      </w:r>
      <w:r>
        <w:rPr>
          <w:spacing w:val="-15"/>
        </w:rPr>
        <w:t xml:space="preserve"> </w:t>
      </w:r>
      <w:r>
        <w:t>mensuales. De</w:t>
      </w:r>
      <w:r>
        <w:rPr>
          <w:spacing w:val="8"/>
        </w:rPr>
        <w:t xml:space="preserve"> </w:t>
      </w:r>
      <w:r>
        <w:t>igual</w:t>
      </w:r>
      <w:r>
        <w:rPr>
          <w:spacing w:val="10"/>
        </w:rPr>
        <w:t xml:space="preserve"> </w:t>
      </w:r>
      <w:r>
        <w:t>manera,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establece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posibilidad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padre,</w:t>
      </w:r>
      <w:r>
        <w:rPr>
          <w:spacing w:val="10"/>
        </w:rPr>
        <w:t xml:space="preserve"> </w:t>
      </w:r>
      <w:r>
        <w:t>madre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representante</w:t>
      </w:r>
    </w:p>
    <w:p w:rsidR="001D3E2E" w:rsidRDefault="001D3E2E">
      <w:pPr>
        <w:pStyle w:val="Textoindependiente"/>
        <w:rPr>
          <w:sz w:val="20"/>
        </w:rPr>
      </w:pPr>
    </w:p>
    <w:p w:rsidR="001D3E2E" w:rsidRDefault="001D3E2E">
      <w:pPr>
        <w:pStyle w:val="Textoindependiente"/>
        <w:rPr>
          <w:sz w:val="20"/>
        </w:rPr>
      </w:pPr>
    </w:p>
    <w:p w:rsidR="001D3E2E" w:rsidRDefault="00737498">
      <w:pPr>
        <w:pStyle w:val="Textoindependiente"/>
        <w:spacing w:before="3"/>
        <w:rPr>
          <w:sz w:val="18"/>
        </w:rPr>
      </w:pPr>
      <w:r>
        <w:pict>
          <v:rect id="docshape2" o:spid="_x0000_s1026" style="position:absolute;margin-left:85.1pt;margin-top:11.7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D3E2E" w:rsidRDefault="001D3E2E">
      <w:pPr>
        <w:pStyle w:val="Textoindependiente"/>
        <w:spacing w:before="5"/>
        <w:rPr>
          <w:sz w:val="19"/>
        </w:rPr>
      </w:pPr>
    </w:p>
    <w:p w:rsidR="001D3E2E" w:rsidRDefault="00737498">
      <w:pPr>
        <w:spacing w:before="59"/>
        <w:ind w:left="662" w:right="17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“Aeropuerto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Iquique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fue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evacuado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por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falso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aviso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bomba: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pasajero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gritó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que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tenía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explosivo”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Biobío Chile. Disponible en: https://</w:t>
      </w:r>
      <w:hyperlink r:id="rId8">
        <w:r>
          <w:rPr>
            <w:rFonts w:ascii="Calibri" w:hAnsi="Calibri"/>
            <w:sz w:val="20"/>
          </w:rPr>
          <w:t>www.biobiochile.cl/noticias/nacional/region-de-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tarapaca/2023/01/09/evacuan-aeropuerto-de-iquique-luego-que-pasajero-gritar</w:t>
      </w:r>
      <w:r>
        <w:rPr>
          <w:rFonts w:ascii="Calibri" w:hAnsi="Calibri"/>
          <w:spacing w:val="-2"/>
          <w:sz w:val="20"/>
        </w:rPr>
        <w:t>a-que-tenia-una-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boma.shtml</w:t>
      </w:r>
    </w:p>
    <w:p w:rsidR="001D3E2E" w:rsidRDefault="001D3E2E">
      <w:pPr>
        <w:rPr>
          <w:rFonts w:ascii="Calibri" w:hAnsi="Calibri"/>
          <w:sz w:val="20"/>
        </w:rPr>
        <w:sectPr w:rsidR="001D3E2E">
          <w:pgSz w:w="12240" w:h="15840"/>
          <w:pgMar w:top="1340" w:right="1580" w:bottom="280" w:left="1040" w:header="720" w:footer="720" w:gutter="0"/>
          <w:cols w:space="720"/>
        </w:sectPr>
      </w:pPr>
    </w:p>
    <w:p w:rsidR="001D3E2E" w:rsidRDefault="00737498">
      <w:pPr>
        <w:pStyle w:val="Textoindependiente"/>
        <w:spacing w:before="75" w:line="480" w:lineRule="auto"/>
        <w:ind w:left="1382" w:right="124"/>
        <w:jc w:val="both"/>
      </w:pPr>
      <w:proofErr w:type="gramStart"/>
      <w:r>
        <w:lastRenderedPageBreak/>
        <w:t>legal</w:t>
      </w:r>
      <w:proofErr w:type="gramEnd"/>
      <w:r>
        <w:t xml:space="preserve"> se haga cargo del pago de la multa en aquellos casos en que el responsable sea un menor de edad.</w:t>
      </w:r>
    </w:p>
    <w:p w:rsidR="001D3E2E" w:rsidRDefault="001D3E2E">
      <w:pPr>
        <w:pStyle w:val="Textoindependiente"/>
        <w:rPr>
          <w:sz w:val="26"/>
        </w:rPr>
      </w:pPr>
    </w:p>
    <w:p w:rsidR="001D3E2E" w:rsidRDefault="001D3E2E">
      <w:pPr>
        <w:pStyle w:val="Textoindependiente"/>
        <w:rPr>
          <w:sz w:val="22"/>
        </w:rPr>
      </w:pPr>
    </w:p>
    <w:p w:rsidR="001D3E2E" w:rsidRDefault="00737498">
      <w:pPr>
        <w:pStyle w:val="Ttulo1"/>
        <w:numPr>
          <w:ilvl w:val="0"/>
          <w:numId w:val="1"/>
        </w:numPr>
        <w:tabs>
          <w:tab w:val="left" w:pos="1381"/>
          <w:tab w:val="left" w:pos="1382"/>
        </w:tabs>
        <w:ind w:hanging="701"/>
        <w:jc w:val="left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LEY.</w:t>
      </w:r>
    </w:p>
    <w:p w:rsidR="001D3E2E" w:rsidRDefault="001D3E2E">
      <w:pPr>
        <w:pStyle w:val="Textoindependiente"/>
        <w:rPr>
          <w:b/>
        </w:rPr>
      </w:pPr>
    </w:p>
    <w:p w:rsidR="001D3E2E" w:rsidRDefault="00737498">
      <w:pPr>
        <w:spacing w:line="480" w:lineRule="auto"/>
        <w:ind w:left="1382" w:right="120"/>
        <w:jc w:val="both"/>
        <w:rPr>
          <w:i/>
          <w:sz w:val="24"/>
        </w:rPr>
      </w:pPr>
      <w:r>
        <w:rPr>
          <w:sz w:val="24"/>
        </w:rPr>
        <w:t>Agréguese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siguiente</w:t>
      </w:r>
      <w:r>
        <w:rPr>
          <w:spacing w:val="-15"/>
          <w:sz w:val="24"/>
        </w:rPr>
        <w:t xml:space="preserve"> </w:t>
      </w:r>
      <w:r>
        <w:rPr>
          <w:sz w:val="24"/>
        </w:rPr>
        <w:t>inciso</w:t>
      </w:r>
      <w:r>
        <w:rPr>
          <w:spacing w:val="-15"/>
          <w:sz w:val="24"/>
        </w:rPr>
        <w:t xml:space="preserve"> </w:t>
      </w:r>
      <w:r>
        <w:rPr>
          <w:sz w:val="24"/>
        </w:rPr>
        <w:t>segundo,</w:t>
      </w:r>
      <w:r>
        <w:rPr>
          <w:spacing w:val="-15"/>
          <w:sz w:val="24"/>
        </w:rPr>
        <w:t xml:space="preserve"> </w:t>
      </w:r>
      <w:r>
        <w:rPr>
          <w:sz w:val="24"/>
        </w:rPr>
        <w:t>nuevo,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268</w:t>
      </w:r>
      <w:r>
        <w:rPr>
          <w:spacing w:val="-15"/>
          <w:sz w:val="24"/>
        </w:rPr>
        <w:t xml:space="preserve"> </w:t>
      </w:r>
      <w:r>
        <w:rPr>
          <w:sz w:val="24"/>
        </w:rPr>
        <w:t>bis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Código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Penal: </w:t>
      </w:r>
      <w:r>
        <w:rPr>
          <w:i/>
          <w:sz w:val="24"/>
        </w:rPr>
        <w:t>“Quien incurra en la conducta descrita en este artículo deberá pagar una multa de 20 a 80 unidades tributarias mensuales, y si esta persona fuese menor de edad, el padre, madre o representante legal responderá solidariamente de esta conducta.”</w:t>
      </w:r>
    </w:p>
    <w:sectPr w:rsidR="001D3E2E">
      <w:pgSz w:w="12240" w:h="15840"/>
      <w:pgMar w:top="1340" w:right="1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61075"/>
    <w:multiLevelType w:val="hybridMultilevel"/>
    <w:tmpl w:val="0E96DC86"/>
    <w:lvl w:ilvl="0" w:tplc="B6848EC8">
      <w:start w:val="1"/>
      <w:numFmt w:val="upperRoman"/>
      <w:lvlText w:val="%1."/>
      <w:lvlJc w:val="left"/>
      <w:pPr>
        <w:ind w:left="138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FEF80ADA">
      <w:start w:val="1"/>
      <w:numFmt w:val="lowerRoman"/>
      <w:lvlText w:val="%2)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 w:tplc="C3262E60">
      <w:numFmt w:val="bullet"/>
      <w:lvlText w:val="•"/>
      <w:lvlJc w:val="left"/>
      <w:pPr>
        <w:ind w:left="2615" w:hanging="360"/>
      </w:pPr>
      <w:rPr>
        <w:rFonts w:hint="default"/>
        <w:lang w:val="es-ES" w:eastAsia="en-US" w:bidi="ar-SA"/>
      </w:rPr>
    </w:lvl>
    <w:lvl w:ilvl="3" w:tplc="9F2E4BB4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4" w:tplc="874277F8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023AA998">
      <w:numFmt w:val="bullet"/>
      <w:lvlText w:val="•"/>
      <w:lvlJc w:val="left"/>
      <w:pPr>
        <w:ind w:left="5242" w:hanging="360"/>
      </w:pPr>
      <w:rPr>
        <w:rFonts w:hint="default"/>
        <w:lang w:val="es-ES" w:eastAsia="en-US" w:bidi="ar-SA"/>
      </w:rPr>
    </w:lvl>
    <w:lvl w:ilvl="6" w:tplc="9BA21E78">
      <w:numFmt w:val="bullet"/>
      <w:lvlText w:val="•"/>
      <w:lvlJc w:val="left"/>
      <w:pPr>
        <w:ind w:left="6117" w:hanging="360"/>
      </w:pPr>
      <w:rPr>
        <w:rFonts w:hint="default"/>
        <w:lang w:val="es-ES" w:eastAsia="en-US" w:bidi="ar-SA"/>
      </w:rPr>
    </w:lvl>
    <w:lvl w:ilvl="7" w:tplc="365CE734">
      <w:numFmt w:val="bullet"/>
      <w:lvlText w:val="•"/>
      <w:lvlJc w:val="left"/>
      <w:pPr>
        <w:ind w:left="6993" w:hanging="360"/>
      </w:pPr>
      <w:rPr>
        <w:rFonts w:hint="default"/>
        <w:lang w:val="es-ES" w:eastAsia="en-US" w:bidi="ar-SA"/>
      </w:rPr>
    </w:lvl>
    <w:lvl w:ilvl="8" w:tplc="3C724C8A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3E2E"/>
    <w:rsid w:val="001D3E2E"/>
    <w:rsid w:val="007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BEF96AC4-FA96-47DC-83FD-80119CA0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382" w:hanging="7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4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iochile.cl/noticias/nacional/region-d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iodeosorno.cl/noticia/actualidad/2022/06/bomberos-de-valdivia-logra-condena-de-sujet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deosorno.cl/noticia/actualidad/2022/06/bomberos-de-valdivia-logra-condena-de-sujeto-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Leonardo Lueiza Ureta</cp:lastModifiedBy>
  <cp:revision>1</cp:revision>
  <dcterms:created xsi:type="dcterms:W3CDTF">2023-01-31T14:19:00Z</dcterms:created>
  <dcterms:modified xsi:type="dcterms:W3CDTF">2023-03-07T20:56:00Z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para Microsoft 365</vt:lpwstr>
  </property>
</Properties>
</file>