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338A" w:rsidRDefault="002D338A">
      <w:pPr>
        <w:pStyle w:val="Textoindependiente"/>
        <w:rPr>
          <w:rFonts w:ascii="Times New Roman"/>
          <w:sz w:val="20"/>
        </w:rPr>
      </w:pPr>
    </w:p>
    <w:p w:rsidR="002D338A" w:rsidRDefault="009C5DD3">
      <w:pPr>
        <w:pStyle w:val="Ttulo1"/>
        <w:spacing w:before="226" w:line="360" w:lineRule="auto"/>
        <w:ind w:left="119"/>
        <w:jc w:val="both"/>
      </w:pPr>
      <w:r>
        <w:t>PROYECTO DE LEY QUE MODIFICA EL ARTÍCULO 391 DEL CÓDIGO</w:t>
      </w:r>
      <w:r>
        <w:rPr>
          <w:spacing w:val="40"/>
        </w:rPr>
        <w:t xml:space="preserve"> </w:t>
      </w:r>
      <w:r>
        <w:t>PENAL CON EL FIN DE QUE</w:t>
      </w:r>
      <w:r>
        <w:rPr>
          <w:spacing w:val="-1"/>
        </w:rPr>
        <w:t xml:space="preserve"> </w:t>
      </w:r>
      <w:r>
        <w:t>NO SEAN APLICABLES LAS CIRCUNSTANCIAS ATENUANTES RESPECTO DE QUIENES COMETAN HOMICIDIO POR PREMIO O PROMESA REMUNERATORIA, O POR CUALQUIER OTRO</w:t>
      </w:r>
      <w:r>
        <w:rPr>
          <w:spacing w:val="40"/>
        </w:rPr>
        <w:t xml:space="preserve"> </w:t>
      </w:r>
      <w:r>
        <w:t>MEDIO QUE IMPLIQUE ÁNIMO DE LUCRO, ASÍ COMO TAMPOCO DE QUIENES ENCARGUEN LA COMISIÓN DEL DELITO.</w:t>
      </w:r>
    </w:p>
    <w:p w:rsidR="002D338A" w:rsidRDefault="002D338A">
      <w:pPr>
        <w:pStyle w:val="Textoindependiente"/>
        <w:spacing w:before="10"/>
        <w:rPr>
          <w:b/>
          <w:sz w:val="35"/>
        </w:rPr>
      </w:pPr>
    </w:p>
    <w:p w:rsidR="002D338A" w:rsidRDefault="009C5DD3">
      <w:pPr>
        <w:ind w:left="119"/>
        <w:rPr>
          <w:b/>
          <w:sz w:val="24"/>
        </w:rPr>
      </w:pPr>
      <w:r>
        <w:rPr>
          <w:b/>
          <w:spacing w:val="-2"/>
          <w:sz w:val="24"/>
          <w:u w:val="single"/>
        </w:rPr>
        <w:t>Fundamentos:</w:t>
      </w:r>
    </w:p>
    <w:p w:rsidR="002D338A" w:rsidRDefault="002D338A">
      <w:pPr>
        <w:pStyle w:val="Textoindependiente"/>
        <w:rPr>
          <w:b/>
          <w:sz w:val="20"/>
        </w:rPr>
      </w:pPr>
    </w:p>
    <w:p w:rsidR="002D338A" w:rsidRDefault="002D338A">
      <w:pPr>
        <w:pStyle w:val="Textoindependiente"/>
        <w:spacing w:before="1"/>
        <w:rPr>
          <w:b/>
          <w:sz w:val="20"/>
        </w:rPr>
      </w:pPr>
    </w:p>
    <w:p w:rsidR="002D338A" w:rsidRDefault="009C5DD3">
      <w:pPr>
        <w:pStyle w:val="Textoindependiente"/>
        <w:spacing w:before="100" w:line="357" w:lineRule="auto"/>
        <w:ind w:left="119"/>
      </w:pPr>
      <w:r>
        <w:rPr>
          <w:b/>
        </w:rPr>
        <w:t xml:space="preserve">1.- </w:t>
      </w:r>
      <w:r>
        <w:t>Nuestro</w:t>
      </w:r>
      <w:r>
        <w:rPr>
          <w:spacing w:val="-3"/>
        </w:rPr>
        <w:t xml:space="preserve"> </w:t>
      </w:r>
      <w:r>
        <w:t>Código</w:t>
      </w:r>
      <w:r>
        <w:rPr>
          <w:spacing w:val="-3"/>
        </w:rPr>
        <w:t xml:space="preserve"> </w:t>
      </w:r>
      <w:r>
        <w:t>Penal</w:t>
      </w:r>
      <w:r>
        <w:rPr>
          <w:spacing w:val="-4"/>
        </w:rPr>
        <w:t xml:space="preserve"> </w:t>
      </w:r>
      <w:r>
        <w:t>regula</w:t>
      </w:r>
      <w:r>
        <w:rPr>
          <w:spacing w:val="-3"/>
        </w:rPr>
        <w:t xml:space="preserve"> </w:t>
      </w:r>
      <w:r>
        <w:t>y</w:t>
      </w:r>
      <w:r>
        <w:rPr>
          <w:spacing w:val="-1"/>
        </w:rPr>
        <w:t xml:space="preserve"> </w:t>
      </w:r>
      <w:r>
        <w:t>pena</w:t>
      </w:r>
      <w:r>
        <w:rPr>
          <w:spacing w:val="-3"/>
        </w:rPr>
        <w:t xml:space="preserve"> </w:t>
      </w:r>
      <w:r>
        <w:t>el</w:t>
      </w:r>
      <w:r>
        <w:rPr>
          <w:spacing w:val="-4"/>
        </w:rPr>
        <w:t xml:space="preserve"> </w:t>
      </w:r>
      <w:r>
        <w:t>homicidio</w:t>
      </w:r>
      <w:r>
        <w:rPr>
          <w:spacing w:val="-3"/>
        </w:rPr>
        <w:t xml:space="preserve"> </w:t>
      </w:r>
      <w:r>
        <w:t>por</w:t>
      </w:r>
      <w:r>
        <w:rPr>
          <w:spacing w:val="-3"/>
        </w:rPr>
        <w:t xml:space="preserve"> </w:t>
      </w:r>
      <w:r>
        <w:t>encargo</w:t>
      </w:r>
      <w:r>
        <w:rPr>
          <w:spacing w:val="-3"/>
        </w:rPr>
        <w:t xml:space="preserve"> </w:t>
      </w:r>
      <w:r>
        <w:t>o</w:t>
      </w:r>
      <w:r>
        <w:rPr>
          <w:spacing w:val="-3"/>
        </w:rPr>
        <w:t xml:space="preserve"> </w:t>
      </w:r>
      <w:r>
        <w:t>“sicariato”</w:t>
      </w:r>
      <w:r>
        <w:rPr>
          <w:spacing w:val="-3"/>
        </w:rPr>
        <w:t xml:space="preserve"> </w:t>
      </w:r>
      <w:r>
        <w:t>en</w:t>
      </w:r>
      <w:r>
        <w:rPr>
          <w:spacing w:val="-1"/>
        </w:rPr>
        <w:t xml:space="preserve"> </w:t>
      </w:r>
      <w:r>
        <w:t>el artículo 391 numeral 1° circunstancia segunda, donde señala:</w:t>
      </w:r>
    </w:p>
    <w:p w:rsidR="002D338A" w:rsidRDefault="009C5DD3">
      <w:pPr>
        <w:spacing w:line="343" w:lineRule="auto"/>
        <w:ind w:left="119"/>
        <w:rPr>
          <w:i/>
          <w:sz w:val="25"/>
        </w:rPr>
      </w:pPr>
      <w:r>
        <w:rPr>
          <w:i/>
          <w:spacing w:val="-2"/>
          <w:sz w:val="25"/>
        </w:rPr>
        <w:t>391:</w:t>
      </w:r>
      <w:r>
        <w:rPr>
          <w:i/>
          <w:spacing w:val="-15"/>
          <w:sz w:val="25"/>
        </w:rPr>
        <w:t xml:space="preserve"> </w:t>
      </w:r>
      <w:r>
        <w:rPr>
          <w:i/>
          <w:spacing w:val="-2"/>
          <w:sz w:val="25"/>
        </w:rPr>
        <w:t>“El</w:t>
      </w:r>
      <w:r>
        <w:rPr>
          <w:i/>
          <w:spacing w:val="-18"/>
          <w:sz w:val="25"/>
        </w:rPr>
        <w:t xml:space="preserve"> </w:t>
      </w:r>
      <w:r>
        <w:rPr>
          <w:i/>
          <w:spacing w:val="-2"/>
          <w:sz w:val="25"/>
        </w:rPr>
        <w:t>que</w:t>
      </w:r>
      <w:r>
        <w:rPr>
          <w:i/>
          <w:spacing w:val="-16"/>
          <w:sz w:val="25"/>
        </w:rPr>
        <w:t xml:space="preserve"> </w:t>
      </w:r>
      <w:r>
        <w:rPr>
          <w:i/>
          <w:spacing w:val="-2"/>
          <w:sz w:val="25"/>
        </w:rPr>
        <w:t>mate</w:t>
      </w:r>
      <w:r>
        <w:rPr>
          <w:i/>
          <w:spacing w:val="-17"/>
          <w:sz w:val="25"/>
        </w:rPr>
        <w:t xml:space="preserve"> </w:t>
      </w:r>
      <w:r>
        <w:rPr>
          <w:i/>
          <w:spacing w:val="-2"/>
          <w:sz w:val="25"/>
        </w:rPr>
        <w:t>a</w:t>
      </w:r>
      <w:r>
        <w:rPr>
          <w:i/>
          <w:spacing w:val="-16"/>
          <w:sz w:val="25"/>
        </w:rPr>
        <w:t xml:space="preserve"> </w:t>
      </w:r>
      <w:r>
        <w:rPr>
          <w:i/>
          <w:spacing w:val="-2"/>
          <w:sz w:val="25"/>
        </w:rPr>
        <w:t>otro</w:t>
      </w:r>
      <w:r>
        <w:rPr>
          <w:i/>
          <w:spacing w:val="-13"/>
          <w:sz w:val="25"/>
        </w:rPr>
        <w:t xml:space="preserve"> </w:t>
      </w:r>
      <w:r>
        <w:rPr>
          <w:i/>
          <w:spacing w:val="-2"/>
          <w:sz w:val="25"/>
        </w:rPr>
        <w:t>y</w:t>
      </w:r>
      <w:r>
        <w:rPr>
          <w:i/>
          <w:spacing w:val="-15"/>
          <w:sz w:val="25"/>
        </w:rPr>
        <w:t xml:space="preserve"> </w:t>
      </w:r>
      <w:r>
        <w:rPr>
          <w:i/>
          <w:spacing w:val="-2"/>
          <w:sz w:val="25"/>
        </w:rPr>
        <w:t>no</w:t>
      </w:r>
      <w:r>
        <w:rPr>
          <w:i/>
          <w:spacing w:val="-15"/>
          <w:sz w:val="25"/>
        </w:rPr>
        <w:t xml:space="preserve"> </w:t>
      </w:r>
      <w:r>
        <w:rPr>
          <w:i/>
          <w:spacing w:val="-2"/>
          <w:sz w:val="25"/>
        </w:rPr>
        <w:t>esté</w:t>
      </w:r>
      <w:r>
        <w:rPr>
          <w:i/>
          <w:spacing w:val="-17"/>
          <w:sz w:val="25"/>
        </w:rPr>
        <w:t xml:space="preserve"> </w:t>
      </w:r>
      <w:r>
        <w:rPr>
          <w:i/>
          <w:spacing w:val="-2"/>
          <w:sz w:val="25"/>
        </w:rPr>
        <w:t>comprendido</w:t>
      </w:r>
      <w:r>
        <w:rPr>
          <w:i/>
          <w:spacing w:val="-16"/>
          <w:sz w:val="25"/>
        </w:rPr>
        <w:t xml:space="preserve"> </w:t>
      </w:r>
      <w:r>
        <w:rPr>
          <w:i/>
          <w:spacing w:val="-2"/>
          <w:sz w:val="25"/>
        </w:rPr>
        <w:t>en</w:t>
      </w:r>
      <w:r>
        <w:rPr>
          <w:i/>
          <w:spacing w:val="-15"/>
          <w:sz w:val="25"/>
        </w:rPr>
        <w:t xml:space="preserve"> </w:t>
      </w:r>
      <w:r>
        <w:rPr>
          <w:i/>
          <w:spacing w:val="-2"/>
          <w:sz w:val="25"/>
        </w:rPr>
        <w:t>los</w:t>
      </w:r>
      <w:r>
        <w:rPr>
          <w:i/>
          <w:spacing w:val="-17"/>
          <w:sz w:val="25"/>
        </w:rPr>
        <w:t xml:space="preserve"> </w:t>
      </w:r>
      <w:r>
        <w:rPr>
          <w:i/>
          <w:spacing w:val="-2"/>
          <w:sz w:val="25"/>
        </w:rPr>
        <w:t>artículos</w:t>
      </w:r>
      <w:r>
        <w:rPr>
          <w:i/>
          <w:spacing w:val="-17"/>
          <w:sz w:val="25"/>
        </w:rPr>
        <w:t xml:space="preserve"> </w:t>
      </w:r>
      <w:r>
        <w:rPr>
          <w:i/>
          <w:spacing w:val="-2"/>
          <w:sz w:val="25"/>
        </w:rPr>
        <w:t>390,</w:t>
      </w:r>
      <w:r>
        <w:rPr>
          <w:i/>
          <w:spacing w:val="-16"/>
          <w:sz w:val="25"/>
        </w:rPr>
        <w:t xml:space="preserve"> </w:t>
      </w:r>
      <w:r>
        <w:rPr>
          <w:i/>
          <w:spacing w:val="-2"/>
          <w:sz w:val="25"/>
        </w:rPr>
        <w:t>390</w:t>
      </w:r>
      <w:r>
        <w:rPr>
          <w:i/>
          <w:spacing w:val="-16"/>
          <w:sz w:val="25"/>
        </w:rPr>
        <w:t xml:space="preserve"> </w:t>
      </w:r>
      <w:r>
        <w:rPr>
          <w:i/>
          <w:spacing w:val="-2"/>
          <w:sz w:val="25"/>
        </w:rPr>
        <w:t>bis</w:t>
      </w:r>
      <w:r>
        <w:rPr>
          <w:i/>
          <w:spacing w:val="-17"/>
          <w:sz w:val="25"/>
        </w:rPr>
        <w:t xml:space="preserve"> </w:t>
      </w:r>
      <w:r>
        <w:rPr>
          <w:i/>
          <w:spacing w:val="-2"/>
          <w:sz w:val="25"/>
        </w:rPr>
        <w:t>y</w:t>
      </w:r>
      <w:r>
        <w:rPr>
          <w:i/>
          <w:spacing w:val="-15"/>
          <w:sz w:val="25"/>
        </w:rPr>
        <w:t xml:space="preserve"> </w:t>
      </w:r>
      <w:r>
        <w:rPr>
          <w:i/>
          <w:spacing w:val="-2"/>
          <w:sz w:val="25"/>
        </w:rPr>
        <w:t xml:space="preserve">390 </w:t>
      </w:r>
      <w:r>
        <w:rPr>
          <w:i/>
          <w:sz w:val="25"/>
        </w:rPr>
        <w:t>ter, será penado:</w:t>
      </w:r>
    </w:p>
    <w:p w:rsidR="002D338A" w:rsidRDefault="009C5DD3">
      <w:pPr>
        <w:spacing w:before="2" w:line="343" w:lineRule="auto"/>
        <w:ind w:left="119" w:firstLine="302"/>
        <w:rPr>
          <w:i/>
          <w:sz w:val="25"/>
        </w:rPr>
      </w:pPr>
      <w:r>
        <w:rPr>
          <w:i/>
          <w:spacing w:val="-2"/>
          <w:sz w:val="25"/>
        </w:rPr>
        <w:t>1.</w:t>
      </w:r>
      <w:r>
        <w:rPr>
          <w:i/>
          <w:spacing w:val="-18"/>
          <w:sz w:val="25"/>
        </w:rPr>
        <w:t xml:space="preserve"> </w:t>
      </w:r>
      <w:r>
        <w:rPr>
          <w:i/>
          <w:spacing w:val="-2"/>
          <w:sz w:val="25"/>
        </w:rPr>
        <w:t>°</w:t>
      </w:r>
      <w:r>
        <w:rPr>
          <w:i/>
          <w:spacing w:val="-18"/>
          <w:sz w:val="25"/>
        </w:rPr>
        <w:t xml:space="preserve"> </w:t>
      </w:r>
      <w:r>
        <w:rPr>
          <w:i/>
          <w:spacing w:val="-2"/>
          <w:sz w:val="25"/>
        </w:rPr>
        <w:t>Con</w:t>
      </w:r>
      <w:r>
        <w:rPr>
          <w:i/>
          <w:spacing w:val="-17"/>
          <w:sz w:val="25"/>
        </w:rPr>
        <w:t xml:space="preserve"> </w:t>
      </w:r>
      <w:r>
        <w:rPr>
          <w:i/>
          <w:spacing w:val="-2"/>
          <w:sz w:val="25"/>
        </w:rPr>
        <w:t>presidio</w:t>
      </w:r>
      <w:r>
        <w:rPr>
          <w:i/>
          <w:spacing w:val="-18"/>
          <w:sz w:val="25"/>
        </w:rPr>
        <w:t xml:space="preserve"> </w:t>
      </w:r>
      <w:r>
        <w:rPr>
          <w:i/>
          <w:spacing w:val="-2"/>
          <w:sz w:val="25"/>
        </w:rPr>
        <w:t>mayor</w:t>
      </w:r>
      <w:r>
        <w:rPr>
          <w:i/>
          <w:spacing w:val="-17"/>
          <w:sz w:val="25"/>
        </w:rPr>
        <w:t xml:space="preserve"> </w:t>
      </w:r>
      <w:r>
        <w:rPr>
          <w:i/>
          <w:spacing w:val="-2"/>
          <w:sz w:val="25"/>
        </w:rPr>
        <w:t>en</w:t>
      </w:r>
      <w:r>
        <w:rPr>
          <w:i/>
          <w:spacing w:val="-18"/>
          <w:sz w:val="25"/>
        </w:rPr>
        <w:t xml:space="preserve"> </w:t>
      </w:r>
      <w:r>
        <w:rPr>
          <w:i/>
          <w:spacing w:val="-2"/>
          <w:sz w:val="25"/>
        </w:rPr>
        <w:t>su</w:t>
      </w:r>
      <w:r>
        <w:rPr>
          <w:i/>
          <w:spacing w:val="-17"/>
          <w:sz w:val="25"/>
        </w:rPr>
        <w:t xml:space="preserve"> </w:t>
      </w:r>
      <w:r>
        <w:rPr>
          <w:i/>
          <w:spacing w:val="-2"/>
          <w:sz w:val="25"/>
        </w:rPr>
        <w:t>grado</w:t>
      </w:r>
      <w:r>
        <w:rPr>
          <w:i/>
          <w:spacing w:val="-18"/>
          <w:sz w:val="25"/>
        </w:rPr>
        <w:t xml:space="preserve"> </w:t>
      </w:r>
      <w:r>
        <w:rPr>
          <w:i/>
          <w:spacing w:val="-2"/>
          <w:sz w:val="25"/>
        </w:rPr>
        <w:t>máximo</w:t>
      </w:r>
      <w:r>
        <w:rPr>
          <w:i/>
          <w:spacing w:val="-17"/>
          <w:sz w:val="25"/>
        </w:rPr>
        <w:t xml:space="preserve"> </w:t>
      </w:r>
      <w:r>
        <w:rPr>
          <w:i/>
          <w:spacing w:val="-2"/>
          <w:sz w:val="25"/>
        </w:rPr>
        <w:t>a</w:t>
      </w:r>
      <w:r>
        <w:rPr>
          <w:i/>
          <w:spacing w:val="-18"/>
          <w:sz w:val="25"/>
        </w:rPr>
        <w:t xml:space="preserve"> </w:t>
      </w:r>
      <w:r>
        <w:rPr>
          <w:i/>
          <w:spacing w:val="-2"/>
          <w:sz w:val="25"/>
        </w:rPr>
        <w:t>presidio</w:t>
      </w:r>
      <w:r>
        <w:rPr>
          <w:i/>
          <w:spacing w:val="-17"/>
          <w:sz w:val="25"/>
        </w:rPr>
        <w:t xml:space="preserve"> </w:t>
      </w:r>
      <w:r>
        <w:rPr>
          <w:i/>
          <w:spacing w:val="-2"/>
          <w:sz w:val="25"/>
        </w:rPr>
        <w:t>perpetuo,</w:t>
      </w:r>
      <w:r>
        <w:rPr>
          <w:i/>
          <w:spacing w:val="-18"/>
          <w:sz w:val="25"/>
        </w:rPr>
        <w:t xml:space="preserve"> </w:t>
      </w:r>
      <w:r>
        <w:rPr>
          <w:i/>
          <w:spacing w:val="-2"/>
          <w:sz w:val="25"/>
        </w:rPr>
        <w:t>si</w:t>
      </w:r>
      <w:r>
        <w:rPr>
          <w:i/>
          <w:spacing w:val="-16"/>
          <w:sz w:val="25"/>
        </w:rPr>
        <w:t xml:space="preserve"> </w:t>
      </w:r>
      <w:r>
        <w:rPr>
          <w:i/>
          <w:spacing w:val="-2"/>
          <w:sz w:val="25"/>
        </w:rPr>
        <w:t>ejecutare</w:t>
      </w:r>
      <w:r>
        <w:rPr>
          <w:i/>
          <w:spacing w:val="-15"/>
          <w:sz w:val="25"/>
        </w:rPr>
        <w:t xml:space="preserve"> </w:t>
      </w:r>
      <w:r>
        <w:rPr>
          <w:i/>
          <w:spacing w:val="-2"/>
          <w:sz w:val="25"/>
        </w:rPr>
        <w:t xml:space="preserve">el </w:t>
      </w:r>
      <w:r>
        <w:rPr>
          <w:i/>
          <w:sz w:val="25"/>
        </w:rPr>
        <w:t>homicidio</w:t>
      </w:r>
      <w:r>
        <w:rPr>
          <w:i/>
          <w:spacing w:val="-20"/>
          <w:sz w:val="25"/>
        </w:rPr>
        <w:t xml:space="preserve"> </w:t>
      </w:r>
      <w:r>
        <w:rPr>
          <w:i/>
          <w:sz w:val="25"/>
        </w:rPr>
        <w:t>con</w:t>
      </w:r>
      <w:r>
        <w:rPr>
          <w:i/>
          <w:spacing w:val="-18"/>
          <w:sz w:val="25"/>
        </w:rPr>
        <w:t xml:space="preserve"> </w:t>
      </w:r>
      <w:r>
        <w:rPr>
          <w:i/>
          <w:sz w:val="25"/>
        </w:rPr>
        <w:t>alguna</w:t>
      </w:r>
      <w:r>
        <w:rPr>
          <w:i/>
          <w:spacing w:val="-19"/>
          <w:sz w:val="25"/>
        </w:rPr>
        <w:t xml:space="preserve"> </w:t>
      </w:r>
      <w:r>
        <w:rPr>
          <w:i/>
          <w:sz w:val="25"/>
        </w:rPr>
        <w:t>de</w:t>
      </w:r>
      <w:r>
        <w:rPr>
          <w:i/>
          <w:spacing w:val="-20"/>
          <w:sz w:val="25"/>
        </w:rPr>
        <w:t xml:space="preserve"> </w:t>
      </w:r>
      <w:r>
        <w:rPr>
          <w:i/>
          <w:sz w:val="25"/>
        </w:rPr>
        <w:t>las</w:t>
      </w:r>
      <w:r>
        <w:rPr>
          <w:i/>
          <w:spacing w:val="-19"/>
          <w:sz w:val="25"/>
        </w:rPr>
        <w:t xml:space="preserve"> </w:t>
      </w:r>
      <w:r>
        <w:rPr>
          <w:i/>
          <w:sz w:val="25"/>
        </w:rPr>
        <w:t>circunstancias</w:t>
      </w:r>
      <w:r>
        <w:rPr>
          <w:i/>
          <w:spacing w:val="-20"/>
          <w:sz w:val="25"/>
        </w:rPr>
        <w:t xml:space="preserve"> </w:t>
      </w:r>
      <w:r>
        <w:rPr>
          <w:i/>
          <w:sz w:val="25"/>
        </w:rPr>
        <w:t>siguientes:</w:t>
      </w:r>
    </w:p>
    <w:p w:rsidR="002D338A" w:rsidRDefault="009C5DD3">
      <w:pPr>
        <w:spacing w:before="6" w:line="343" w:lineRule="auto"/>
        <w:ind w:left="119"/>
        <w:rPr>
          <w:i/>
          <w:sz w:val="25"/>
        </w:rPr>
      </w:pPr>
      <w:r>
        <w:rPr>
          <w:i/>
          <w:sz w:val="25"/>
        </w:rPr>
        <w:t>Segunda.-</w:t>
      </w:r>
      <w:r>
        <w:rPr>
          <w:i/>
          <w:spacing w:val="-6"/>
          <w:sz w:val="25"/>
        </w:rPr>
        <w:t xml:space="preserve"> </w:t>
      </w:r>
      <w:r>
        <w:rPr>
          <w:i/>
          <w:sz w:val="25"/>
        </w:rPr>
        <w:t>Por</w:t>
      </w:r>
      <w:r>
        <w:rPr>
          <w:i/>
          <w:spacing w:val="-6"/>
          <w:sz w:val="25"/>
        </w:rPr>
        <w:t xml:space="preserve"> </w:t>
      </w:r>
      <w:r>
        <w:rPr>
          <w:i/>
          <w:sz w:val="25"/>
        </w:rPr>
        <w:t>premio</w:t>
      </w:r>
      <w:r>
        <w:rPr>
          <w:i/>
          <w:spacing w:val="-6"/>
          <w:sz w:val="25"/>
        </w:rPr>
        <w:t xml:space="preserve"> </w:t>
      </w:r>
      <w:r>
        <w:rPr>
          <w:i/>
          <w:sz w:val="25"/>
        </w:rPr>
        <w:t>o</w:t>
      </w:r>
      <w:r>
        <w:rPr>
          <w:i/>
          <w:spacing w:val="-6"/>
          <w:sz w:val="25"/>
        </w:rPr>
        <w:t xml:space="preserve"> </w:t>
      </w:r>
      <w:r>
        <w:rPr>
          <w:i/>
          <w:sz w:val="25"/>
        </w:rPr>
        <w:t>promesa</w:t>
      </w:r>
      <w:r>
        <w:rPr>
          <w:i/>
          <w:spacing w:val="-6"/>
          <w:sz w:val="25"/>
        </w:rPr>
        <w:t xml:space="preserve"> </w:t>
      </w:r>
      <w:r>
        <w:rPr>
          <w:i/>
          <w:sz w:val="25"/>
        </w:rPr>
        <w:t>remuneratoria,</w:t>
      </w:r>
      <w:r>
        <w:rPr>
          <w:i/>
          <w:spacing w:val="-6"/>
          <w:sz w:val="25"/>
        </w:rPr>
        <w:t xml:space="preserve"> </w:t>
      </w:r>
      <w:r>
        <w:rPr>
          <w:i/>
          <w:sz w:val="25"/>
        </w:rPr>
        <w:t>o</w:t>
      </w:r>
      <w:r>
        <w:rPr>
          <w:i/>
          <w:spacing w:val="-6"/>
          <w:sz w:val="25"/>
        </w:rPr>
        <w:t xml:space="preserve"> </w:t>
      </w:r>
      <w:r>
        <w:rPr>
          <w:i/>
          <w:sz w:val="25"/>
        </w:rPr>
        <w:t>por</w:t>
      </w:r>
      <w:r>
        <w:rPr>
          <w:i/>
          <w:spacing w:val="-6"/>
          <w:sz w:val="25"/>
        </w:rPr>
        <w:t xml:space="preserve"> </w:t>
      </w:r>
      <w:r>
        <w:rPr>
          <w:i/>
          <w:sz w:val="25"/>
        </w:rPr>
        <w:t>cualquier</w:t>
      </w:r>
      <w:r>
        <w:rPr>
          <w:i/>
          <w:spacing w:val="-5"/>
          <w:sz w:val="25"/>
        </w:rPr>
        <w:t xml:space="preserve"> </w:t>
      </w:r>
      <w:r>
        <w:rPr>
          <w:i/>
          <w:sz w:val="25"/>
        </w:rPr>
        <w:t>otro</w:t>
      </w:r>
      <w:r>
        <w:rPr>
          <w:i/>
          <w:spacing w:val="-6"/>
          <w:sz w:val="25"/>
        </w:rPr>
        <w:t xml:space="preserve"> </w:t>
      </w:r>
      <w:r>
        <w:rPr>
          <w:i/>
          <w:sz w:val="25"/>
        </w:rPr>
        <w:t>medio</w:t>
      </w:r>
      <w:r>
        <w:rPr>
          <w:i/>
          <w:spacing w:val="-6"/>
          <w:sz w:val="25"/>
        </w:rPr>
        <w:t xml:space="preserve"> </w:t>
      </w:r>
      <w:r>
        <w:rPr>
          <w:i/>
          <w:sz w:val="25"/>
        </w:rPr>
        <w:t>que implique ánimo de lucro.”</w:t>
      </w:r>
    </w:p>
    <w:p w:rsidR="002D338A" w:rsidRDefault="002D338A">
      <w:pPr>
        <w:pStyle w:val="Textoindependiente"/>
        <w:spacing w:before="1"/>
        <w:rPr>
          <w:i/>
          <w:sz w:val="37"/>
        </w:rPr>
      </w:pPr>
    </w:p>
    <w:p w:rsidR="002D338A" w:rsidRDefault="009C5DD3">
      <w:pPr>
        <w:pStyle w:val="Textoindependiente"/>
        <w:spacing w:line="360" w:lineRule="auto"/>
        <w:ind w:left="119" w:right="113"/>
        <w:jc w:val="both"/>
      </w:pPr>
      <w:r>
        <w:rPr>
          <w:b/>
        </w:rPr>
        <w:t xml:space="preserve">2.- </w:t>
      </w:r>
      <w:r>
        <w:t>Desde el punto</w:t>
      </w:r>
      <w:r>
        <w:rPr>
          <w:spacing w:val="-2"/>
        </w:rPr>
        <w:t xml:space="preserve"> </w:t>
      </w:r>
      <w:r>
        <w:t xml:space="preserve">de vista jurídico, cabe hacer presente que el “sicariato” no está tipificado como delito individualmente establecido en nuestra legislación. La figura que consagra el Código Penal es la de </w:t>
      </w:r>
      <w:r>
        <w:rPr>
          <w:b/>
        </w:rPr>
        <w:t>homicidio calific</w:t>
      </w:r>
      <w:r>
        <w:rPr>
          <w:b/>
        </w:rPr>
        <w:t xml:space="preserve">ado </w:t>
      </w:r>
      <w:r>
        <w:t>con penas que pueden ir</w:t>
      </w:r>
      <w:r>
        <w:rPr>
          <w:spacing w:val="-1"/>
        </w:rPr>
        <w:t xml:space="preserve"> </w:t>
      </w:r>
      <w:r>
        <w:t>de</w:t>
      </w:r>
      <w:r>
        <w:rPr>
          <w:spacing w:val="-2"/>
        </w:rPr>
        <w:t xml:space="preserve"> </w:t>
      </w:r>
      <w:r>
        <w:t>15</w:t>
      </w:r>
      <w:r>
        <w:rPr>
          <w:spacing w:val="-2"/>
        </w:rPr>
        <w:t xml:space="preserve"> </w:t>
      </w:r>
      <w:r>
        <w:t>a</w:t>
      </w:r>
      <w:r>
        <w:rPr>
          <w:spacing w:val="-2"/>
        </w:rPr>
        <w:t xml:space="preserve"> </w:t>
      </w:r>
      <w:r>
        <w:t>20</w:t>
      </w:r>
      <w:r>
        <w:rPr>
          <w:spacing w:val="-2"/>
        </w:rPr>
        <w:t xml:space="preserve"> </w:t>
      </w:r>
      <w:r>
        <w:t>años</w:t>
      </w:r>
      <w:r>
        <w:rPr>
          <w:spacing w:val="-3"/>
        </w:rPr>
        <w:t xml:space="preserve"> </w:t>
      </w:r>
      <w:r>
        <w:t>de</w:t>
      </w:r>
      <w:r>
        <w:rPr>
          <w:spacing w:val="-2"/>
        </w:rPr>
        <w:t xml:space="preserve"> </w:t>
      </w:r>
      <w:r>
        <w:t>cárcel</w:t>
      </w:r>
      <w:r>
        <w:rPr>
          <w:spacing w:val="-3"/>
        </w:rPr>
        <w:t xml:space="preserve"> </w:t>
      </w:r>
      <w:r>
        <w:t>para</w:t>
      </w:r>
      <w:r>
        <w:rPr>
          <w:spacing w:val="-2"/>
        </w:rPr>
        <w:t xml:space="preserve"> </w:t>
      </w:r>
      <w:r>
        <w:t>el</w:t>
      </w:r>
      <w:r>
        <w:rPr>
          <w:spacing w:val="-3"/>
        </w:rPr>
        <w:t xml:space="preserve"> </w:t>
      </w:r>
      <w:r>
        <w:t>ejecutor</w:t>
      </w:r>
      <w:r>
        <w:rPr>
          <w:spacing w:val="-2"/>
        </w:rPr>
        <w:t xml:space="preserve"> </w:t>
      </w:r>
      <w:r>
        <w:t>del</w:t>
      </w:r>
      <w:r>
        <w:rPr>
          <w:spacing w:val="-3"/>
        </w:rPr>
        <w:t xml:space="preserve"> </w:t>
      </w:r>
      <w:r>
        <w:t>delito,</w:t>
      </w:r>
      <w:r>
        <w:rPr>
          <w:spacing w:val="-2"/>
        </w:rPr>
        <w:t xml:space="preserve"> </w:t>
      </w:r>
      <w:r>
        <w:t>es</w:t>
      </w:r>
      <w:r>
        <w:rPr>
          <w:spacing w:val="-2"/>
        </w:rPr>
        <w:t xml:space="preserve"> </w:t>
      </w:r>
      <w:r>
        <w:t>decir,</w:t>
      </w:r>
      <w:r>
        <w:rPr>
          <w:spacing w:val="-2"/>
        </w:rPr>
        <w:t xml:space="preserve"> </w:t>
      </w:r>
      <w:r>
        <w:t>para</w:t>
      </w:r>
      <w:r>
        <w:rPr>
          <w:spacing w:val="-2"/>
        </w:rPr>
        <w:t xml:space="preserve"> </w:t>
      </w:r>
      <w:r>
        <w:t>quien comete materialmente el asesinato.</w:t>
      </w:r>
    </w:p>
    <w:p w:rsidR="002D338A" w:rsidRDefault="002D338A">
      <w:pPr>
        <w:pStyle w:val="Textoindependiente"/>
        <w:rPr>
          <w:sz w:val="36"/>
        </w:rPr>
      </w:pPr>
    </w:p>
    <w:p w:rsidR="002D338A" w:rsidRDefault="009C5DD3">
      <w:pPr>
        <w:pStyle w:val="Textoindependiente"/>
        <w:spacing w:line="360" w:lineRule="auto"/>
        <w:ind w:left="119" w:right="113"/>
        <w:jc w:val="both"/>
      </w:pPr>
      <w:r>
        <w:rPr>
          <w:b/>
        </w:rPr>
        <w:t xml:space="preserve">3.- </w:t>
      </w:r>
      <w:r>
        <w:t>Dentro de la historia policial chilena y a lo largo de la vigencia del Código</w:t>
      </w:r>
      <w:r>
        <w:rPr>
          <w:spacing w:val="40"/>
        </w:rPr>
        <w:t xml:space="preserve"> </w:t>
      </w:r>
      <w:r>
        <w:t xml:space="preserve">Penal, el delito de homicidio por </w:t>
      </w:r>
      <w:r>
        <w:t>premio o promesa remuneratoria había sido calificado como un delito poco usual, más bien ligado a disputas familiares o de herencias. A pesar de ser hechos aislados, este tipo de delitos siempre tuvieron gran impacto social en nuestro país, puesto que el h</w:t>
      </w:r>
      <w:r>
        <w:t>omicidio por encargo y ánimo de lucro es altamente reprochable y ajeno a nuestra idiosincrasia.</w:t>
      </w:r>
      <w:r>
        <w:rPr>
          <w:spacing w:val="80"/>
        </w:rPr>
        <w:t xml:space="preserve"> </w:t>
      </w:r>
      <w:r>
        <w:t>Casos como el de María Del Pilar Pérez, conocida como “La</w:t>
      </w:r>
      <w:r>
        <w:rPr>
          <w:spacing w:val="-3"/>
        </w:rPr>
        <w:t xml:space="preserve"> </w:t>
      </w:r>
      <w:r>
        <w:t>Quintrala”, quien resultó condenada a cadena perpetua por</w:t>
      </w:r>
      <w:r>
        <w:rPr>
          <w:spacing w:val="-3"/>
        </w:rPr>
        <w:t xml:space="preserve"> </w:t>
      </w:r>
      <w:r>
        <w:t>haber encargado el homicidio de su madre, he</w:t>
      </w:r>
      <w:r>
        <w:t>rmana, cuñado y sobrina. Pero tras un confuso devenir de las cosas, resultó muerto el novio de su sobrina, Diego Schmidt-Hebbel. A su vez, tras la indagatoria se logró concluir que María del Pilar Pérez también encargó el crimen de su ex</w:t>
      </w:r>
      <w:r>
        <w:rPr>
          <w:spacing w:val="-1"/>
        </w:rPr>
        <w:t xml:space="preserve"> </w:t>
      </w:r>
      <w:r>
        <w:t>esposo junto a su</w:t>
      </w:r>
      <w:r>
        <w:rPr>
          <w:spacing w:val="-1"/>
        </w:rPr>
        <w:t xml:space="preserve"> </w:t>
      </w:r>
      <w:r>
        <w:t>pareja, también bajo la figura del “sicariato”.</w:t>
      </w:r>
    </w:p>
    <w:p w:rsidR="002D338A" w:rsidRDefault="002D338A">
      <w:pPr>
        <w:spacing w:line="360" w:lineRule="auto"/>
        <w:jc w:val="both"/>
        <w:sectPr w:rsidR="002D338A">
          <w:headerReference w:type="default" r:id="rId6"/>
          <w:type w:val="continuous"/>
          <w:pgSz w:w="12240" w:h="20160"/>
          <w:pgMar w:top="2140" w:right="1580" w:bottom="280" w:left="1580" w:header="721" w:footer="0" w:gutter="0"/>
          <w:pgNumType w:start="1"/>
          <w:cols w:space="720"/>
        </w:sectPr>
      </w:pPr>
    </w:p>
    <w:p w:rsidR="002D338A" w:rsidRDefault="009C5DD3">
      <w:pPr>
        <w:pStyle w:val="Textoindependiente"/>
        <w:spacing w:before="14" w:line="360" w:lineRule="auto"/>
        <w:ind w:left="119" w:right="114"/>
        <w:jc w:val="both"/>
      </w:pPr>
      <w:r>
        <w:rPr>
          <w:b/>
        </w:rPr>
        <w:lastRenderedPageBreak/>
        <w:t xml:space="preserve">3.- </w:t>
      </w:r>
      <w:r>
        <w:t>Casos como el mencionado, conmocionaron enormemente a la opinión pública dada la frialdad en el actuar y en la capacidad de una persona para encargar el asesinato de otra a cambio de dinero, hecho absolutamente repudiable. Sin embargo, desde aproximadament</w:t>
      </w:r>
      <w:r>
        <w:t>e una</w:t>
      </w:r>
      <w:r>
        <w:rPr>
          <w:spacing w:val="-4"/>
        </w:rPr>
        <w:t xml:space="preserve"> </w:t>
      </w:r>
      <w:r>
        <w:t>década, el delito de “sicariato” se ha hecho cada vez más común dentro de nuestra sociedad. La entrada de la droga y de los carteles de narcotraficantes, de origen nacional y extranjero, nos ha dejado entre tantas consecuencias el hecho de que este t</w:t>
      </w:r>
      <w:r>
        <w:t>ipo de delitos sea cada vez más frecuente, al punto de llegar a registrarse varios casos durante los últimos años. Casos como el homicidio calificado del empresario de Concón Alejandro Correa, quien falleció a manos de un sicario en el año 2020 a raíz de u</w:t>
      </w:r>
      <w:r>
        <w:t>na disputa inmobiliaria</w:t>
      </w:r>
      <w:r>
        <w:rPr>
          <w:position w:val="8"/>
          <w:sz w:val="16"/>
        </w:rPr>
        <w:t>1</w:t>
      </w:r>
      <w:r>
        <w:t>, o bien, el caso de un guardia de barrio Meiggs en Santiago, el cual perdió la vida a manos de asesinos por encargo, en diciembre del año 2022</w:t>
      </w:r>
      <w:r>
        <w:rPr>
          <w:position w:val="8"/>
          <w:sz w:val="16"/>
        </w:rPr>
        <w:t>2</w:t>
      </w:r>
      <w:r>
        <w:t xml:space="preserve">, se han ido “normalizando”, al punto de que la sociedad ha dejado de conmocionarse con </w:t>
      </w:r>
      <w:r>
        <w:t>este tipo de hechos, lo cual es a todas luces un retroceso en materia de seguridad ciudadana.</w:t>
      </w:r>
    </w:p>
    <w:p w:rsidR="002D338A" w:rsidRDefault="002D338A">
      <w:pPr>
        <w:pStyle w:val="Textoindependiente"/>
        <w:spacing w:before="4"/>
        <w:rPr>
          <w:sz w:val="36"/>
        </w:rPr>
      </w:pPr>
    </w:p>
    <w:p w:rsidR="002D338A" w:rsidRDefault="009C5DD3">
      <w:pPr>
        <w:pStyle w:val="Textoindependiente"/>
        <w:spacing w:before="1" w:line="360" w:lineRule="auto"/>
        <w:ind w:left="119" w:right="120"/>
        <w:jc w:val="both"/>
      </w:pPr>
      <w:r>
        <w:rPr>
          <w:b/>
        </w:rPr>
        <w:t xml:space="preserve">4.- </w:t>
      </w:r>
      <w:r>
        <w:t>A su vez, cabe hacer presente que la rápida proliferación y desarrollo de este delito en Chile, ha permitido a las bandas criminales a seleccionar cuidadosam</w:t>
      </w:r>
      <w:r>
        <w:t xml:space="preserve">ente a los sicarios, a fin de que operen las circunstancias atenuantes sobre el hechor y obtener consecuencialmente una menor pena. Así, por ejemplo, una persona extranjera, que no cuenta con antecedentes penales en nuestro país y que cometa homicidio por </w:t>
      </w:r>
      <w:r>
        <w:t>encargo, pueda ser beneficiado de una circunstancia atenuante consagrada en el artículo 11 del Código Penal, puesto que podría considerarse que su conducta anterior al crimen es irreprochable. Así, para computar la pena aplicable, hoy se debe tener en cuen</w:t>
      </w:r>
      <w:r>
        <w:t>ta dicha situación y así acceder a una pena más baja. Misma situación ocurre cuando el crimen es cometido por personas jóvenes con bajo historial criminal.</w:t>
      </w:r>
    </w:p>
    <w:p w:rsidR="002D338A" w:rsidRDefault="002D338A">
      <w:pPr>
        <w:pStyle w:val="Textoindependiente"/>
        <w:spacing w:before="11"/>
        <w:rPr>
          <w:sz w:val="35"/>
        </w:rPr>
      </w:pPr>
    </w:p>
    <w:p w:rsidR="002D338A" w:rsidRDefault="009C5DD3">
      <w:pPr>
        <w:pStyle w:val="Textoindependiente"/>
        <w:spacing w:before="1" w:line="360" w:lineRule="auto"/>
        <w:ind w:left="119" w:right="113"/>
        <w:jc w:val="both"/>
      </w:pPr>
      <w:r>
        <w:rPr>
          <w:b/>
        </w:rPr>
        <w:t xml:space="preserve">5.- </w:t>
      </w:r>
      <w:r>
        <w:t>Esta situación evidentemente genera una sensación de injusticia e indefensión para los familiar</w:t>
      </w:r>
      <w:r>
        <w:t xml:space="preserve">es de la víctima. Por ello, consideramos que se deben tomar cartas en el asunto y legislar al respecto, a fin de dotar de mayor seguridad para los familiares de las víctimas y fortalecer las herramientas jurídicas que permitan desincentivar la comisión de </w:t>
      </w:r>
      <w:r>
        <w:t>este tipo de delitos. Así, al propuesta en la presente moción es impedir aplicar las atenuantes consagradas en el artículo 11° del Código Penal</w:t>
      </w:r>
      <w:r>
        <w:rPr>
          <w:spacing w:val="56"/>
        </w:rPr>
        <w:t xml:space="preserve"> </w:t>
      </w:r>
      <w:r>
        <w:t>para</w:t>
      </w:r>
      <w:r>
        <w:rPr>
          <w:spacing w:val="60"/>
        </w:rPr>
        <w:t xml:space="preserve"> </w:t>
      </w:r>
      <w:r>
        <w:t>el</w:t>
      </w:r>
      <w:r>
        <w:rPr>
          <w:spacing w:val="59"/>
        </w:rPr>
        <w:t xml:space="preserve"> </w:t>
      </w:r>
      <w:r>
        <w:t>caso</w:t>
      </w:r>
      <w:r>
        <w:rPr>
          <w:spacing w:val="61"/>
        </w:rPr>
        <w:t xml:space="preserve"> </w:t>
      </w:r>
      <w:r>
        <w:t>de</w:t>
      </w:r>
      <w:r>
        <w:rPr>
          <w:spacing w:val="59"/>
        </w:rPr>
        <w:t xml:space="preserve"> </w:t>
      </w:r>
      <w:r>
        <w:t>que</w:t>
      </w:r>
      <w:r>
        <w:rPr>
          <w:spacing w:val="61"/>
        </w:rPr>
        <w:t xml:space="preserve"> </w:t>
      </w:r>
      <w:r>
        <w:t>el</w:t>
      </w:r>
      <w:r>
        <w:rPr>
          <w:spacing w:val="59"/>
        </w:rPr>
        <w:t xml:space="preserve"> </w:t>
      </w:r>
      <w:r>
        <w:t>homicidio</w:t>
      </w:r>
      <w:r>
        <w:rPr>
          <w:spacing w:val="61"/>
        </w:rPr>
        <w:t xml:space="preserve"> </w:t>
      </w:r>
      <w:r>
        <w:t>calificado</w:t>
      </w:r>
      <w:r>
        <w:rPr>
          <w:spacing w:val="60"/>
        </w:rPr>
        <w:t xml:space="preserve"> </w:t>
      </w:r>
      <w:r>
        <w:t>sea</w:t>
      </w:r>
      <w:r>
        <w:rPr>
          <w:spacing w:val="60"/>
        </w:rPr>
        <w:t xml:space="preserve"> </w:t>
      </w:r>
      <w:r>
        <w:t>cometido</w:t>
      </w:r>
      <w:r>
        <w:rPr>
          <w:spacing w:val="61"/>
        </w:rPr>
        <w:t xml:space="preserve"> </w:t>
      </w:r>
      <w:r>
        <w:t>por</w:t>
      </w:r>
      <w:r>
        <w:rPr>
          <w:spacing w:val="61"/>
        </w:rPr>
        <w:t xml:space="preserve"> </w:t>
      </w:r>
      <w:r>
        <w:t>premio</w:t>
      </w:r>
      <w:r>
        <w:rPr>
          <w:spacing w:val="61"/>
        </w:rPr>
        <w:t xml:space="preserve"> </w:t>
      </w:r>
      <w:r>
        <w:rPr>
          <w:spacing w:val="-10"/>
        </w:rPr>
        <w:t>o</w:t>
      </w:r>
    </w:p>
    <w:p w:rsidR="002D338A" w:rsidRDefault="009C5DD3">
      <w:pPr>
        <w:pStyle w:val="Textoindependiente"/>
        <w:spacing w:before="4"/>
      </w:pPr>
      <w:r>
        <w:pict>
          <v:rect id="docshape1" o:spid="_x0000_s1026" style="position:absolute;margin-left:85pt;margin-top:15.95pt;width:144.05pt;height:.5pt;z-index:-251658752;mso-wrap-distance-left:0;mso-wrap-distance-right:0;mso-position-horizontal-relative:page" fillcolor="black" stroked="f">
            <w10:wrap type="topAndBottom" anchorx="page"/>
          </v:rect>
        </w:pict>
      </w:r>
    </w:p>
    <w:p w:rsidR="002D338A" w:rsidRDefault="009C5DD3">
      <w:pPr>
        <w:spacing w:before="111"/>
        <w:ind w:left="119" w:right="267"/>
        <w:rPr>
          <w:rFonts w:ascii="Times New Roman"/>
          <w:sz w:val="20"/>
        </w:rPr>
      </w:pPr>
      <w:r>
        <w:rPr>
          <w:rFonts w:ascii="Times New Roman"/>
          <w:sz w:val="20"/>
          <w:vertAlign w:val="superscript"/>
        </w:rPr>
        <w:t>1</w:t>
      </w:r>
      <w:r>
        <w:rPr>
          <w:rFonts w:ascii="Times New Roman"/>
          <w:spacing w:val="-13"/>
          <w:sz w:val="20"/>
        </w:rPr>
        <w:t xml:space="preserve"> </w:t>
      </w:r>
      <w:r>
        <w:rPr>
          <w:rFonts w:ascii="Times New Roman"/>
          <w:sz w:val="20"/>
        </w:rPr>
        <w:t>Fuente:</w:t>
      </w:r>
      <w:r>
        <w:rPr>
          <w:rFonts w:ascii="Times New Roman"/>
          <w:spacing w:val="-12"/>
          <w:sz w:val="20"/>
        </w:rPr>
        <w:t xml:space="preserve"> </w:t>
      </w:r>
      <w:r>
        <w:rPr>
          <w:rFonts w:ascii="Times New Roman"/>
          <w:sz w:val="20"/>
        </w:rPr>
        <w:t>https://</w:t>
      </w:r>
      <w:hyperlink r:id="rId7">
        <w:r>
          <w:rPr>
            <w:rFonts w:ascii="Times New Roman"/>
            <w:sz w:val="20"/>
          </w:rPr>
          <w:t>www.infobae.com/america/america-latina/2022/04/01/el-sicariato-de-concon-asi-se-planeo-</w:t>
        </w:r>
      </w:hyperlink>
      <w:r>
        <w:rPr>
          <w:rFonts w:ascii="Times New Roman"/>
          <w:sz w:val="20"/>
        </w:rPr>
        <w:t xml:space="preserve"> </w:t>
      </w:r>
      <w:r>
        <w:rPr>
          <w:rFonts w:ascii="Times New Roman"/>
          <w:spacing w:val="-2"/>
          <w:sz w:val="20"/>
        </w:rPr>
        <w:t>el-asesinato-de-un-empresario-chileno-que-murio-baleado-en-la-puerta-de-su-c</w:t>
      </w:r>
      <w:r>
        <w:rPr>
          <w:rFonts w:ascii="Times New Roman"/>
          <w:spacing w:val="-2"/>
          <w:sz w:val="20"/>
        </w:rPr>
        <w:t>asa/</w:t>
      </w:r>
    </w:p>
    <w:p w:rsidR="002D338A" w:rsidRDefault="009C5DD3">
      <w:pPr>
        <w:spacing w:before="1"/>
        <w:ind w:left="119" w:right="334"/>
        <w:rPr>
          <w:rFonts w:ascii="Times New Roman"/>
          <w:sz w:val="20"/>
        </w:rPr>
      </w:pPr>
      <w:r>
        <w:rPr>
          <w:rFonts w:ascii="Times New Roman"/>
          <w:sz w:val="20"/>
          <w:vertAlign w:val="superscript"/>
        </w:rPr>
        <w:t>2</w:t>
      </w:r>
      <w:r>
        <w:rPr>
          <w:rFonts w:ascii="Times New Roman"/>
          <w:spacing w:val="-13"/>
          <w:sz w:val="20"/>
        </w:rPr>
        <w:t xml:space="preserve"> </w:t>
      </w:r>
      <w:r>
        <w:rPr>
          <w:rFonts w:ascii="Times New Roman"/>
          <w:sz w:val="20"/>
        </w:rPr>
        <w:t>Fuente:</w:t>
      </w:r>
      <w:r>
        <w:rPr>
          <w:rFonts w:ascii="Times New Roman"/>
          <w:spacing w:val="-12"/>
          <w:sz w:val="20"/>
        </w:rPr>
        <w:t xml:space="preserve"> </w:t>
      </w:r>
      <w:r>
        <w:rPr>
          <w:rFonts w:ascii="Times New Roman"/>
          <w:sz w:val="20"/>
        </w:rPr>
        <w:t>https://</w:t>
      </w:r>
      <w:hyperlink r:id="rId8">
        <w:r>
          <w:rPr>
            <w:rFonts w:ascii="Times New Roman"/>
            <w:sz w:val="20"/>
          </w:rPr>
          <w:t>www.t13.cl/videos/nacional/video-sicarios-asesinan-guardia-meiggs-buscaron-todo-barrio-</w:t>
        </w:r>
      </w:hyperlink>
      <w:r>
        <w:rPr>
          <w:rFonts w:ascii="Times New Roman"/>
          <w:sz w:val="20"/>
        </w:rPr>
        <w:t xml:space="preserve"> </w:t>
      </w:r>
      <w:r>
        <w:rPr>
          <w:rFonts w:ascii="Times New Roman"/>
          <w:spacing w:val="-2"/>
          <w:sz w:val="20"/>
        </w:rPr>
        <w:t>matarlo-14-12-2022</w:t>
      </w:r>
    </w:p>
    <w:p w:rsidR="002D338A" w:rsidRDefault="002D338A">
      <w:pPr>
        <w:rPr>
          <w:rFonts w:ascii="Times New Roman"/>
          <w:sz w:val="20"/>
        </w:rPr>
        <w:sectPr w:rsidR="002D338A">
          <w:pgSz w:w="12240" w:h="20160"/>
          <w:pgMar w:top="2140" w:right="1580" w:bottom="280" w:left="1580" w:header="721" w:footer="0" w:gutter="0"/>
          <w:cols w:space="720"/>
        </w:sectPr>
      </w:pPr>
    </w:p>
    <w:p w:rsidR="002D338A" w:rsidRDefault="009C5DD3">
      <w:pPr>
        <w:pStyle w:val="Textoindependiente"/>
        <w:spacing w:before="14" w:line="360" w:lineRule="auto"/>
        <w:ind w:left="119" w:right="112"/>
        <w:jc w:val="both"/>
      </w:pPr>
      <w:r>
        <w:lastRenderedPageBreak/>
        <w:t>promesa remuneratoria, o por cualquier otro medio que implique ánimo de lucro, tanto para el autor material como también para quien e</w:t>
      </w:r>
      <w:r>
        <w:t>ncarga le crimen. Ello, en razón de que resulta altamente reprochable cometer delitos a cambio de dinero,</w:t>
      </w:r>
      <w:r>
        <w:rPr>
          <w:spacing w:val="40"/>
        </w:rPr>
        <w:t xml:space="preserve"> </w:t>
      </w:r>
      <w:r>
        <w:t>así como también a quien directamente o a través de intermediario encargue la comisión del delito a cambio de dinero.</w:t>
      </w:r>
    </w:p>
    <w:p w:rsidR="002D338A" w:rsidRDefault="002D338A">
      <w:pPr>
        <w:pStyle w:val="Textoindependiente"/>
        <w:rPr>
          <w:sz w:val="28"/>
        </w:rPr>
      </w:pPr>
    </w:p>
    <w:p w:rsidR="002D338A" w:rsidRDefault="002D338A">
      <w:pPr>
        <w:pStyle w:val="Textoindependiente"/>
        <w:rPr>
          <w:sz w:val="28"/>
        </w:rPr>
      </w:pPr>
    </w:p>
    <w:p w:rsidR="002D338A" w:rsidRDefault="009C5DD3">
      <w:pPr>
        <w:pStyle w:val="Textoindependiente"/>
        <w:spacing w:before="196" w:line="357" w:lineRule="auto"/>
        <w:ind w:left="119" w:right="124"/>
        <w:jc w:val="both"/>
      </w:pPr>
      <w:r>
        <w:t>Por estos motivos, las Diputad</w:t>
      </w:r>
      <w:r>
        <w:t>as y Diputados firmantes tenemos el honor de someter al conocimiento de la Honorable Cámara de Diputados el siguiente</w:t>
      </w:r>
    </w:p>
    <w:p w:rsidR="002D338A" w:rsidRDefault="002D338A">
      <w:pPr>
        <w:pStyle w:val="Textoindependiente"/>
        <w:rPr>
          <w:sz w:val="28"/>
        </w:rPr>
      </w:pPr>
    </w:p>
    <w:p w:rsidR="002D338A" w:rsidRDefault="002D338A">
      <w:pPr>
        <w:pStyle w:val="Textoindependiente"/>
        <w:rPr>
          <w:sz w:val="28"/>
        </w:rPr>
      </w:pPr>
    </w:p>
    <w:p w:rsidR="002D338A" w:rsidRDefault="009C5DD3">
      <w:pPr>
        <w:pStyle w:val="Ttulo1"/>
        <w:spacing w:before="198"/>
        <w:ind w:right="2372"/>
      </w:pPr>
      <w:r>
        <w:t>PROYECTO DE</w:t>
      </w:r>
      <w:r>
        <w:rPr>
          <w:spacing w:val="-3"/>
        </w:rPr>
        <w:t xml:space="preserve"> </w:t>
      </w:r>
      <w:r>
        <w:rPr>
          <w:spacing w:val="-5"/>
        </w:rPr>
        <w:t>LEY</w:t>
      </w:r>
    </w:p>
    <w:p w:rsidR="002D338A" w:rsidRDefault="002D338A">
      <w:pPr>
        <w:pStyle w:val="Textoindependiente"/>
        <w:rPr>
          <w:b/>
          <w:sz w:val="28"/>
        </w:rPr>
      </w:pPr>
    </w:p>
    <w:p w:rsidR="002D338A" w:rsidRDefault="009C5DD3">
      <w:pPr>
        <w:pStyle w:val="Textoindependiente"/>
        <w:spacing w:before="242" w:line="362" w:lineRule="auto"/>
        <w:ind w:left="119" w:right="117"/>
        <w:jc w:val="both"/>
      </w:pPr>
      <w:r>
        <w:rPr>
          <w:b/>
        </w:rPr>
        <w:t xml:space="preserve">Artículo Único: </w:t>
      </w:r>
      <w:r>
        <w:t>Agréguese al final del numeral 1° del artículo 391 del Código Penal, lo siguiente:</w:t>
      </w:r>
    </w:p>
    <w:p w:rsidR="002D338A" w:rsidRDefault="002D338A">
      <w:pPr>
        <w:pStyle w:val="Textoindependiente"/>
        <w:spacing w:before="8"/>
        <w:rPr>
          <w:sz w:val="35"/>
        </w:rPr>
      </w:pPr>
    </w:p>
    <w:p w:rsidR="002D338A" w:rsidRDefault="009C5DD3">
      <w:pPr>
        <w:spacing w:line="360" w:lineRule="auto"/>
        <w:ind w:left="119" w:right="116"/>
        <w:jc w:val="both"/>
        <w:rPr>
          <w:b/>
          <w:sz w:val="24"/>
        </w:rPr>
      </w:pPr>
      <w:r>
        <w:rPr>
          <w:b/>
          <w:sz w:val="24"/>
        </w:rPr>
        <w:t>“No podrán aplicars</w:t>
      </w:r>
      <w:r>
        <w:rPr>
          <w:b/>
          <w:sz w:val="24"/>
        </w:rPr>
        <w:t>e las atenuantes consagradas en el artículo 11° respecto de quienes cometan homicidio en virtud de lo señalado en la circunstancia segunda del presente numeral.</w:t>
      </w:r>
      <w:r>
        <w:rPr>
          <w:b/>
          <w:spacing w:val="40"/>
          <w:sz w:val="24"/>
        </w:rPr>
        <w:t xml:space="preserve"> </w:t>
      </w:r>
      <w:r>
        <w:rPr>
          <w:b/>
          <w:sz w:val="24"/>
        </w:rPr>
        <w:t>Tampoco será procedente la aplicación de dichas atenuantes a quienes directamente o a través de</w:t>
      </w:r>
      <w:r>
        <w:rPr>
          <w:b/>
          <w:sz w:val="24"/>
        </w:rPr>
        <w:t xml:space="preserve"> intermediario encargue la comisión del delito”.</w:t>
      </w: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2D338A">
      <w:pPr>
        <w:pStyle w:val="Textoindependiente"/>
        <w:rPr>
          <w:b/>
          <w:sz w:val="28"/>
        </w:rPr>
      </w:pPr>
    </w:p>
    <w:p w:rsidR="002D338A" w:rsidRDefault="009C5DD3">
      <w:pPr>
        <w:pStyle w:val="Ttulo1"/>
        <w:ind w:right="2379"/>
      </w:pPr>
      <w:r>
        <w:t>JAIME</w:t>
      </w:r>
      <w:r>
        <w:rPr>
          <w:spacing w:val="-2"/>
        </w:rPr>
        <w:t xml:space="preserve"> </w:t>
      </w:r>
      <w:r>
        <w:t>ARAYA</w:t>
      </w:r>
      <w:r>
        <w:rPr>
          <w:spacing w:val="-3"/>
        </w:rPr>
        <w:t xml:space="preserve"> </w:t>
      </w:r>
      <w:r>
        <w:rPr>
          <w:spacing w:val="-2"/>
        </w:rPr>
        <w:t>GUERRERO</w:t>
      </w:r>
    </w:p>
    <w:p w:rsidR="002D338A" w:rsidRDefault="009C5DD3">
      <w:pPr>
        <w:spacing w:before="147" w:line="357" w:lineRule="auto"/>
        <w:ind w:left="2372" w:right="2381"/>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3.</w:t>
      </w:r>
    </w:p>
    <w:p w:rsidR="002D338A" w:rsidRDefault="009C5DD3">
      <w:pPr>
        <w:spacing w:before="6"/>
        <w:ind w:left="2609" w:right="2613"/>
        <w:jc w:val="center"/>
        <w:rPr>
          <w:b/>
          <w:sz w:val="24"/>
        </w:rPr>
      </w:pPr>
      <w:r>
        <w:rPr>
          <w:b/>
          <w:sz w:val="24"/>
        </w:rPr>
        <w:t>Bancada</w:t>
      </w:r>
      <w:r>
        <w:rPr>
          <w:b/>
          <w:spacing w:val="-1"/>
          <w:sz w:val="24"/>
        </w:rPr>
        <w:t xml:space="preserve"> </w:t>
      </w:r>
      <w:r>
        <w:rPr>
          <w:b/>
          <w:sz w:val="24"/>
        </w:rPr>
        <w:t xml:space="preserve">PPD e </w:t>
      </w:r>
      <w:r>
        <w:rPr>
          <w:b/>
          <w:spacing w:val="-2"/>
          <w:sz w:val="24"/>
        </w:rPr>
        <w:t>Independientes.</w:t>
      </w:r>
    </w:p>
    <w:p w:rsidR="002D338A" w:rsidRDefault="002D338A">
      <w:pPr>
        <w:jc w:val="center"/>
        <w:rPr>
          <w:sz w:val="24"/>
        </w:rPr>
        <w:sectPr w:rsidR="002D338A">
          <w:pgSz w:w="12240" w:h="20160"/>
          <w:pgMar w:top="2140" w:right="1580" w:bottom="280" w:left="1580" w:header="721" w:footer="0" w:gutter="0"/>
          <w:cols w:space="720"/>
        </w:sectPr>
      </w:pPr>
    </w:p>
    <w:p w:rsidR="002D338A" w:rsidRDefault="002D338A">
      <w:pPr>
        <w:pStyle w:val="Textoindependiente"/>
        <w:spacing w:before="6"/>
        <w:rPr>
          <w:b/>
          <w:sz w:val="16"/>
        </w:rPr>
      </w:pPr>
    </w:p>
    <w:sectPr w:rsidR="002D338A">
      <w:pgSz w:w="12240" w:h="20160"/>
      <w:pgMar w:top="2140" w:right="1580" w:bottom="280" w:left="158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DD3" w:rsidRDefault="009C5DD3">
      <w:r>
        <w:separator/>
      </w:r>
    </w:p>
  </w:endnote>
  <w:endnote w:type="continuationSeparator" w:id="0">
    <w:p w:rsidR="009C5DD3" w:rsidRDefault="009C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DD3" w:rsidRDefault="009C5DD3">
      <w:r>
        <w:separator/>
      </w:r>
    </w:p>
  </w:footnote>
  <w:footnote w:type="continuationSeparator" w:id="0">
    <w:p w:rsidR="009C5DD3" w:rsidRDefault="009C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38A" w:rsidRDefault="009C5DD3">
    <w:pPr>
      <w:pStyle w:val="Textoindependiente"/>
      <w:spacing w:line="14" w:lineRule="auto"/>
      <w:rPr>
        <w:sz w:val="20"/>
      </w:rPr>
    </w:pPr>
    <w:r>
      <w:rPr>
        <w:noProof/>
      </w:rPr>
      <w:drawing>
        <wp:anchor distT="0" distB="0" distL="0" distR="0" simplePos="0" relativeHeight="487543296" behindDoc="1" locked="0" layoutInCell="1" allowOverlap="1">
          <wp:simplePos x="0" y="0"/>
          <wp:positionH relativeFrom="page">
            <wp:posOffset>3435350</wp:posOffset>
          </wp:positionH>
          <wp:positionV relativeFrom="page">
            <wp:posOffset>457668</wp:posOffset>
          </wp:positionV>
          <wp:extent cx="904875" cy="9077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4875" cy="9077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D338A"/>
    <w:rsid w:val="002D338A"/>
    <w:rsid w:val="009C5DD3"/>
    <w:rsid w:val="00FB2B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EC1327-8DFE-436A-9B26-42CCE9F0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93"/>
      <w:ind w:left="2372" w:right="11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13.cl/videos/nacional/video-sicarios-asesinan-guardia-meiggs-buscaron-todo-barrio-" TargetMode="External"/><Relationship Id="rId3" Type="http://schemas.openxmlformats.org/officeDocument/2006/relationships/webSettings" Target="webSettings.xml"/><Relationship Id="rId7" Type="http://schemas.openxmlformats.org/officeDocument/2006/relationships/hyperlink" Target="http://www.infobae.com/america/america-latina/2022/04/01/el-sicariato-de-concon-asi-se-plan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5292</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2023-03-09T12:18:00Z</dcterms:created>
  <dcterms:modified xsi:type="dcterms:W3CDTF">2023-03-13T20:54:00Z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2016</vt:lpwstr>
  </property>
  <property fmtid="{D5CDD505-2E9C-101B-9397-08002B2CF9AE}" pid="4" name="LastSaved">
    <vt:filetime>2023-03-09T00:00:00Z</vt:filetime>
  </property>
  <property fmtid="{D5CDD505-2E9C-101B-9397-08002B2CF9AE}" pid="5" name="Producer">
    <vt:lpwstr>www.ilovepdf.com</vt:lpwstr>
  </property>
</Properties>
</file>