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8C6" w:rsidRDefault="00827369">
      <w:pPr>
        <w:pStyle w:val="Textoindependiente"/>
        <w:ind w:left="36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98079" cy="13590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079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C6" w:rsidRDefault="004A18C6">
      <w:pPr>
        <w:pStyle w:val="Textoindependiente"/>
        <w:spacing w:before="3"/>
        <w:rPr>
          <w:rFonts w:ascii="Times New Roman"/>
          <w:sz w:val="28"/>
        </w:rPr>
      </w:pPr>
    </w:p>
    <w:p w:rsidR="004A18C6" w:rsidRDefault="00827369">
      <w:pPr>
        <w:pStyle w:val="Ttulo1"/>
        <w:spacing w:before="100" w:line="360" w:lineRule="auto"/>
        <w:ind w:left="128" w:right="143" w:hanging="1"/>
        <w:jc w:val="center"/>
      </w:pPr>
      <w:r>
        <w:t>PROYECTO DE LEY, QUE MODIFICA EL CÓDIGO DEL TRABAJO, CON EL OBJETO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CAUSAL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CONTRATO, QUE CONLLEVE INDEMNIZACIÓN POR AÑOS DE SERVICIOS, EN LOS CASOS DE TÉRMINO DE RELACIÓN LABORAL POR JUBILACIÓN.</w:t>
      </w:r>
    </w:p>
    <w:p w:rsidR="004A18C6" w:rsidRDefault="00827369">
      <w:pPr>
        <w:spacing w:before="200"/>
        <w:ind w:left="2600" w:right="2616"/>
        <w:jc w:val="center"/>
        <w:rPr>
          <w:sz w:val="20"/>
        </w:rPr>
      </w:pP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Diputada</w:t>
      </w:r>
      <w:r>
        <w:rPr>
          <w:spacing w:val="-7"/>
          <w:sz w:val="20"/>
        </w:rPr>
        <w:t xml:space="preserve"> </w:t>
      </w:r>
      <w:r>
        <w:rPr>
          <w:sz w:val="20"/>
        </w:rPr>
        <w:t>Yovana</w:t>
      </w:r>
      <w:r>
        <w:rPr>
          <w:spacing w:val="-7"/>
          <w:sz w:val="20"/>
        </w:rPr>
        <w:t xml:space="preserve"> </w:t>
      </w:r>
      <w:r>
        <w:rPr>
          <w:sz w:val="20"/>
        </w:rPr>
        <w:t>Ahumada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Palma</w:t>
      </w:r>
    </w:p>
    <w:p w:rsidR="004A18C6" w:rsidRDefault="004A18C6">
      <w:pPr>
        <w:pStyle w:val="Textoindependiente"/>
        <w:spacing w:before="8"/>
        <w:rPr>
          <w:sz w:val="27"/>
        </w:rPr>
      </w:pPr>
    </w:p>
    <w:p w:rsidR="004A18C6" w:rsidRDefault="00827369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PREÁMBULO</w:t>
      </w:r>
    </w:p>
    <w:p w:rsidR="004A18C6" w:rsidRDefault="004A18C6">
      <w:pPr>
        <w:pStyle w:val="Textoindependiente"/>
        <w:spacing w:before="9"/>
        <w:rPr>
          <w:b/>
          <w:sz w:val="20"/>
        </w:rPr>
      </w:pPr>
    </w:p>
    <w:p w:rsidR="004A18C6" w:rsidRDefault="00827369">
      <w:pPr>
        <w:pStyle w:val="Textoindependiente"/>
        <w:spacing w:before="100" w:line="360" w:lineRule="auto"/>
        <w:ind w:left="102" w:right="117"/>
        <w:jc w:val="both"/>
      </w:pPr>
      <w:r>
        <w:t>El presente proyecto de ley, es impulsado por la H. Diputada Yovana Ahumada Palma, como una</w:t>
      </w:r>
      <w:r>
        <w:t xml:space="preserve"> acción real a favor de la ciudadanía y el respeto a la fuerza laboral que permite la estabilidad y desarrollo de nuestro país. Es que, luego de conocer la voz de la ciudadanía, de grandes trabajadores, que durante toda su vida han sido un aporte al desarr</w:t>
      </w:r>
      <w:r>
        <w:t>ollo de la nación,</w:t>
      </w:r>
      <w:r>
        <w:rPr>
          <w:spacing w:val="-31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don</w:t>
      </w:r>
      <w:r>
        <w:rPr>
          <w:spacing w:val="-29"/>
        </w:rPr>
        <w:t xml:space="preserve"> </w:t>
      </w:r>
      <w:r>
        <w:t>Sergio</w:t>
      </w:r>
      <w:r>
        <w:rPr>
          <w:spacing w:val="-31"/>
        </w:rPr>
        <w:t xml:space="preserve"> </w:t>
      </w:r>
      <w:r>
        <w:t>Patricio</w:t>
      </w:r>
      <w:r>
        <w:rPr>
          <w:spacing w:val="-31"/>
        </w:rPr>
        <w:t xml:space="preserve"> </w:t>
      </w:r>
      <w:r>
        <w:t>Robles</w:t>
      </w:r>
      <w:r>
        <w:rPr>
          <w:spacing w:val="-31"/>
        </w:rPr>
        <w:t xml:space="preserve"> </w:t>
      </w:r>
      <w:r>
        <w:t>Robles,</w:t>
      </w:r>
      <w:r>
        <w:rPr>
          <w:spacing w:val="-3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población “la Bonilla”, de la región de Antofagasta, quien ha trabajado fiel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responsablemente</w:t>
      </w:r>
      <w:r>
        <w:rPr>
          <w:spacing w:val="-31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empleador</w:t>
      </w:r>
      <w:r>
        <w:rPr>
          <w:spacing w:val="-31"/>
        </w:rPr>
        <w:t xml:space="preserve"> </w:t>
      </w:r>
      <w:r>
        <w:t>durante</w:t>
      </w:r>
      <w:r>
        <w:rPr>
          <w:spacing w:val="-31"/>
        </w:rPr>
        <w:t xml:space="preserve"> </w:t>
      </w:r>
      <w:r>
        <w:t>toda</w:t>
      </w:r>
      <w:r>
        <w:rPr>
          <w:spacing w:val="-31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vida, hoy se ve en la indefensión de perder el derecho a la indemnización por sus años trabajados, es por esto que he decidido promover esta moción parlamentaria que se encamina a compensar en justicia la relación existente al momento de que los trabajador</w:t>
      </w:r>
      <w:r>
        <w:t>es dejan de cumplir sus funciones para proceder a su jubilación.</w:t>
      </w:r>
    </w:p>
    <w:p w:rsidR="004A18C6" w:rsidRDefault="004A18C6">
      <w:pPr>
        <w:pStyle w:val="Textoindependiente"/>
        <w:rPr>
          <w:sz w:val="26"/>
        </w:rPr>
      </w:pPr>
    </w:p>
    <w:p w:rsidR="004A18C6" w:rsidRDefault="004A18C6">
      <w:pPr>
        <w:pStyle w:val="Textoindependiente"/>
        <w:rPr>
          <w:sz w:val="26"/>
        </w:rPr>
      </w:pPr>
    </w:p>
    <w:p w:rsidR="004A18C6" w:rsidRDefault="00827369">
      <w:pPr>
        <w:spacing w:before="219"/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CONSIDERANDO:</w:t>
      </w:r>
    </w:p>
    <w:p w:rsidR="004A18C6" w:rsidRDefault="004A18C6">
      <w:pPr>
        <w:rPr>
          <w:sz w:val="24"/>
        </w:rPr>
        <w:sectPr w:rsidR="004A18C6">
          <w:type w:val="continuous"/>
          <w:pgSz w:w="12240" w:h="15840"/>
          <w:pgMar w:top="100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4A18C6" w:rsidRDefault="00827369">
      <w:pPr>
        <w:spacing w:before="82" w:line="360" w:lineRule="auto"/>
        <w:ind w:left="102" w:right="115"/>
        <w:jc w:val="both"/>
        <w:rPr>
          <w:sz w:val="24"/>
        </w:rPr>
      </w:pPr>
      <w:r>
        <w:rPr>
          <w:sz w:val="24"/>
        </w:rPr>
        <w:lastRenderedPageBreak/>
        <w:t>Que, en la actualidad, la ley libera al empleador de responsabilidades indemnizatorias en los casos, que los trabajadores se en</w:t>
      </w:r>
      <w:r>
        <w:rPr>
          <w:sz w:val="24"/>
        </w:rPr>
        <w:t xml:space="preserve">frentasen a su proceso de jubilación. En materia, la Dirección del Trabajo, se ha pronunciado en esta materia, señalando que </w:t>
      </w:r>
      <w:r>
        <w:rPr>
          <w:i/>
          <w:sz w:val="24"/>
        </w:rPr>
        <w:t>“la jubilación por sí misma, por regla general,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constituye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causal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término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contrato,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que el hecho que la configura no </w:t>
      </w:r>
      <w:r>
        <w:rPr>
          <w:i/>
          <w:sz w:val="24"/>
        </w:rPr>
        <w:t xml:space="preserve">se encuentra considerado en los artículos 159, 160 y 161 del Código del Trabajo, que tratan sobre las causales legales de terminación de los contratos.” </w:t>
      </w:r>
      <w:r>
        <w:rPr>
          <w:sz w:val="24"/>
        </w:rPr>
        <w:t>Así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desprende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dictámenes</w:t>
      </w:r>
      <w:r>
        <w:rPr>
          <w:spacing w:val="34"/>
          <w:sz w:val="24"/>
        </w:rPr>
        <w:t xml:space="preserve"> </w:t>
      </w:r>
      <w:r>
        <w:rPr>
          <w:sz w:val="24"/>
        </w:rPr>
        <w:t>Ords.</w:t>
      </w:r>
      <w:r>
        <w:rPr>
          <w:spacing w:val="34"/>
          <w:sz w:val="24"/>
        </w:rPr>
        <w:t xml:space="preserve"> </w:t>
      </w:r>
      <w:r>
        <w:rPr>
          <w:sz w:val="24"/>
        </w:rPr>
        <w:t>Nºs.</w:t>
      </w:r>
      <w:r>
        <w:rPr>
          <w:spacing w:val="34"/>
          <w:sz w:val="24"/>
        </w:rPr>
        <w:t xml:space="preserve"> </w:t>
      </w:r>
      <w:r>
        <w:rPr>
          <w:sz w:val="24"/>
        </w:rPr>
        <w:t>2.038-102,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de</w:t>
      </w:r>
    </w:p>
    <w:p w:rsidR="004A18C6" w:rsidRDefault="00827369">
      <w:pPr>
        <w:pStyle w:val="Textoindependiente"/>
        <w:spacing w:before="2"/>
        <w:ind w:left="102"/>
        <w:jc w:val="both"/>
      </w:pPr>
      <w:r>
        <w:t>29.03.95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4931,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01.07.87,</w:t>
      </w:r>
      <w:r>
        <w:rPr>
          <w:spacing w:val="19"/>
        </w:rPr>
        <w:t xml:space="preserve"> </w:t>
      </w:r>
      <w:r>
        <w:t>Nº1888/165,</w:t>
      </w:r>
      <w:r>
        <w:rPr>
          <w:spacing w:val="17"/>
        </w:rPr>
        <w:t xml:space="preserve"> </w:t>
      </w:r>
      <w:r>
        <w:t>d</w:t>
      </w:r>
      <w:r>
        <w:t>e</w:t>
      </w:r>
      <w:r>
        <w:rPr>
          <w:spacing w:val="17"/>
        </w:rPr>
        <w:t xml:space="preserve"> </w:t>
      </w:r>
      <w:r>
        <w:t>11.05.00,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5"/>
        </w:rPr>
        <w:t>la</w:t>
      </w:r>
    </w:p>
    <w:p w:rsidR="004A18C6" w:rsidRDefault="00827369">
      <w:pPr>
        <w:pStyle w:val="Textoindependiente"/>
        <w:spacing w:before="139"/>
        <w:ind w:left="102"/>
        <w:jc w:val="both"/>
        <w:rPr>
          <w:sz w:val="16"/>
        </w:rPr>
      </w:pPr>
      <w:r>
        <w:t>Dirección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Trabajo.</w:t>
      </w:r>
      <w:r>
        <w:rPr>
          <w:spacing w:val="-2"/>
          <w:position w:val="6"/>
          <w:sz w:val="16"/>
        </w:rPr>
        <w:t>I</w:t>
      </w:r>
    </w:p>
    <w:p w:rsidR="004A18C6" w:rsidRDefault="004A18C6">
      <w:pPr>
        <w:pStyle w:val="Textoindependiente"/>
        <w:spacing w:before="4"/>
        <w:rPr>
          <w:sz w:val="36"/>
        </w:rPr>
      </w:pPr>
    </w:p>
    <w:p w:rsidR="004A18C6" w:rsidRDefault="00827369">
      <w:pPr>
        <w:spacing w:line="360" w:lineRule="auto"/>
        <w:ind w:left="102" w:right="115"/>
        <w:jc w:val="both"/>
        <w:rPr>
          <w:sz w:val="24"/>
        </w:rPr>
      </w:pPr>
      <w:r>
        <w:rPr>
          <w:sz w:val="24"/>
        </w:rPr>
        <w:t>Señala,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vez,</w:t>
      </w:r>
      <w:r>
        <w:rPr>
          <w:spacing w:val="-13"/>
          <w:sz w:val="24"/>
        </w:rPr>
        <w:t xml:space="preserve"> </w:t>
      </w:r>
      <w:r>
        <w:rPr>
          <w:sz w:val="24"/>
        </w:rPr>
        <w:t>que,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“no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siendo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jubilación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z w:val="24"/>
        </w:rPr>
        <w:t xml:space="preserve"> de una pensión previsional por regla general causa de terminación del contrato de trabajo, no se requiere renuncia del trabajador, o despido por la causal del artículo 161 del Código del Trabajo, para la obtención de tal beneficio previsional, sin perjuic</w:t>
      </w:r>
      <w:r>
        <w:rPr>
          <w:i/>
          <w:sz w:val="24"/>
        </w:rPr>
        <w:t>io de lo que las partes hayan podido convenir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particular”,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pero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sentencia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obtención del beneficio de jubilación no genera legalmente, en caso alguno, derecho a indemnización por años de servicio.</w:t>
      </w:r>
    </w:p>
    <w:p w:rsidR="004A18C6" w:rsidRDefault="004A18C6">
      <w:pPr>
        <w:pStyle w:val="Textoindependiente"/>
        <w:spacing w:before="9"/>
      </w:pPr>
    </w:p>
    <w:p w:rsidR="004A18C6" w:rsidRDefault="00827369">
      <w:pPr>
        <w:pStyle w:val="Textoindependiente"/>
        <w:spacing w:line="360" w:lineRule="auto"/>
        <w:ind w:left="102" w:right="117"/>
        <w:jc w:val="both"/>
      </w:pPr>
      <w:r>
        <w:t>Al</w:t>
      </w:r>
      <w:r>
        <w:rPr>
          <w:spacing w:val="-31"/>
        </w:rPr>
        <w:t xml:space="preserve"> </w:t>
      </w:r>
      <w:r>
        <w:t>observar</w:t>
      </w:r>
      <w:r>
        <w:rPr>
          <w:spacing w:val="-31"/>
        </w:rPr>
        <w:t xml:space="preserve"> </w:t>
      </w:r>
      <w:r>
        <w:t>esta</w:t>
      </w:r>
      <w:r>
        <w:rPr>
          <w:spacing w:val="-29"/>
        </w:rPr>
        <w:t xml:space="preserve"> </w:t>
      </w:r>
      <w:r>
        <w:t>situación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entendiendo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jubilación</w:t>
      </w:r>
      <w:r>
        <w:rPr>
          <w:spacing w:val="-31"/>
        </w:rPr>
        <w:t xml:space="preserve"> </w:t>
      </w:r>
      <w:r>
        <w:t>para la Real Academia Española, la asociación de academias de la lengua Española y el diccionario panhispánico del español jurídico, la definen como; “El retiro de un empleo público o privado, una vez cumplidos ciertos requisitos de edad,</w:t>
      </w:r>
      <w:r>
        <w:t xml:space="preserve"> tiempo de labor y aportes, con derecho a percibir una remuneración periódica”, es claro que nuestra legislación actual no se encuentra en sintonía con el objetivo mismo de la llegada de</w:t>
      </w:r>
    </w:p>
    <w:p w:rsidR="004A18C6" w:rsidRDefault="004A18C6">
      <w:pPr>
        <w:pStyle w:val="Textoindependiente"/>
        <w:rPr>
          <w:sz w:val="20"/>
        </w:rPr>
      </w:pPr>
    </w:p>
    <w:p w:rsidR="004A18C6" w:rsidRDefault="00827369">
      <w:pPr>
        <w:pStyle w:val="Textoindependiente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F4EA" id="docshape1" o:spid="_x0000_s1026" style="position:absolute;margin-left:85.1pt;margin-top:9.4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D+A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:rsidR="004A18C6" w:rsidRDefault="00827369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I</w:t>
      </w:r>
      <w:r>
        <w:rPr>
          <w:rFonts w:ascii="Calibri"/>
          <w:spacing w:val="55"/>
          <w:sz w:val="20"/>
        </w:rPr>
        <w:t xml:space="preserve"> </w:t>
      </w:r>
      <w:hyperlink r:id="rId6">
        <w:r>
          <w:rPr>
            <w:rFonts w:ascii="Calibri"/>
            <w:color w:val="0000FF"/>
            <w:spacing w:val="-2"/>
            <w:sz w:val="20"/>
            <w:u w:val="single" w:color="0000FF"/>
          </w:rPr>
          <w:t>https://www.dt.gob.cl/legislacion/1624/w3-article-103610.html</w:t>
        </w:r>
      </w:hyperlink>
    </w:p>
    <w:p w:rsidR="004A18C6" w:rsidRDefault="004A18C6">
      <w:pPr>
        <w:rPr>
          <w:rFonts w:ascii="Calibri"/>
          <w:sz w:val="20"/>
        </w:rPr>
        <w:sectPr w:rsidR="004A18C6">
          <w:pgSz w:w="12240" w:h="15840"/>
          <w:pgMar w:top="118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4A18C6" w:rsidRDefault="00827369">
      <w:pPr>
        <w:pStyle w:val="Textoindependiente"/>
        <w:spacing w:before="84" w:line="360" w:lineRule="auto"/>
        <w:ind w:left="102" w:right="116"/>
        <w:jc w:val="both"/>
      </w:pPr>
      <w:r>
        <w:lastRenderedPageBreak/>
        <w:t>la edad de jubilación, volviéndose una traba más para quienes han entregado parte de su vida al mundo laboral y desean encarecidame</w:t>
      </w:r>
      <w:r>
        <w:t>nte</w:t>
      </w:r>
      <w:r>
        <w:rPr>
          <w:spacing w:val="-35"/>
        </w:rPr>
        <w:t xml:space="preserve"> </w:t>
      </w:r>
      <w:r>
        <w:t>llegada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edad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adultez,</w:t>
      </w:r>
      <w:r>
        <w:rPr>
          <w:spacing w:val="-33"/>
        </w:rPr>
        <w:t xml:space="preserve"> </w:t>
      </w:r>
      <w:r>
        <w:t>obtener</w:t>
      </w:r>
      <w:r>
        <w:rPr>
          <w:spacing w:val="-34"/>
        </w:rPr>
        <w:t xml:space="preserve"> </w:t>
      </w:r>
      <w:r>
        <w:t>un</w:t>
      </w:r>
      <w:r>
        <w:rPr>
          <w:spacing w:val="-34"/>
        </w:rPr>
        <w:t xml:space="preserve"> </w:t>
      </w:r>
      <w:r>
        <w:t>descanso realmente jubiloso.</w:t>
      </w:r>
    </w:p>
    <w:p w:rsidR="004A18C6" w:rsidRDefault="004A18C6">
      <w:pPr>
        <w:pStyle w:val="Textoindependiente"/>
        <w:spacing w:before="7"/>
      </w:pPr>
    </w:p>
    <w:p w:rsidR="004A18C6" w:rsidRDefault="00827369">
      <w:pPr>
        <w:pStyle w:val="Textoindependiente"/>
        <w:spacing w:before="1" w:line="360" w:lineRule="auto"/>
        <w:ind w:left="102" w:right="118"/>
        <w:jc w:val="both"/>
      </w:pPr>
      <w:r>
        <w:t>Por</w:t>
      </w:r>
      <w:r>
        <w:rPr>
          <w:spacing w:val="-17"/>
        </w:rPr>
        <w:t xml:space="preserve"> </w:t>
      </w:r>
      <w:r>
        <w:t>esto,</w:t>
      </w:r>
      <w:r>
        <w:rPr>
          <w:spacing w:val="-17"/>
        </w:rPr>
        <w:t xml:space="preserve"> </w:t>
      </w:r>
      <w:r>
        <w:t>quienes</w:t>
      </w:r>
      <w:r>
        <w:rPr>
          <w:spacing w:val="-14"/>
        </w:rPr>
        <w:t xml:space="preserve"> </w:t>
      </w:r>
      <w:r>
        <w:t>suscriben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proyecto,</w:t>
      </w:r>
      <w:r>
        <w:rPr>
          <w:spacing w:val="-17"/>
        </w:rPr>
        <w:t xml:space="preserve"> </w:t>
      </w:r>
      <w:r>
        <w:t>comprenden</w:t>
      </w:r>
      <w:r>
        <w:rPr>
          <w:spacing w:val="-17"/>
        </w:rPr>
        <w:t xml:space="preserve"> </w:t>
      </w:r>
      <w:r>
        <w:t>a cabalidad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necesidad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encaminar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nuestro</w:t>
      </w:r>
      <w:r>
        <w:rPr>
          <w:spacing w:val="-31"/>
        </w:rPr>
        <w:t xml:space="preserve"> </w:t>
      </w:r>
      <w:r>
        <w:t>país</w:t>
      </w:r>
      <w:r>
        <w:rPr>
          <w:spacing w:val="-29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conductas laborales que otorguen un trato digno a nuestros adultos mayores, quienes luego de una vida de esfuerzo y trabajo, cumplen la edad establecida para su jubilación y se ven obligados a renunciar sin obtener retribución alguna por los años de servic</w:t>
      </w:r>
      <w:r>
        <w:t>ios.</w:t>
      </w:r>
    </w:p>
    <w:p w:rsidR="004A18C6" w:rsidRDefault="004A18C6">
      <w:pPr>
        <w:pStyle w:val="Textoindependiente"/>
        <w:spacing w:before="10"/>
      </w:pPr>
    </w:p>
    <w:p w:rsidR="004A18C6" w:rsidRDefault="00827369">
      <w:pPr>
        <w:ind w:left="2600" w:right="2615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>PROYECTO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LEY</w:t>
      </w:r>
      <w:r>
        <w:rPr>
          <w:b/>
          <w:spacing w:val="-4"/>
          <w:sz w:val="24"/>
        </w:rPr>
        <w:t>”</w:t>
      </w:r>
    </w:p>
    <w:p w:rsidR="004A18C6" w:rsidRDefault="004A18C6">
      <w:pPr>
        <w:pStyle w:val="Textoindependiente"/>
        <w:spacing w:before="9"/>
        <w:rPr>
          <w:b/>
          <w:sz w:val="27"/>
        </w:rPr>
      </w:pPr>
    </w:p>
    <w:p w:rsidR="004A18C6" w:rsidRDefault="00827369">
      <w:pPr>
        <w:spacing w:before="100" w:line="362" w:lineRule="auto"/>
        <w:ind w:left="102" w:right="117"/>
        <w:jc w:val="both"/>
        <w:rPr>
          <w:sz w:val="24"/>
        </w:rPr>
      </w:pPr>
      <w:r>
        <w:rPr>
          <w:b/>
          <w:sz w:val="24"/>
        </w:rPr>
        <w:t xml:space="preserve">"Artículo único”. – </w:t>
      </w:r>
      <w:r>
        <w:rPr>
          <w:sz w:val="24"/>
        </w:rPr>
        <w:t>Introdúzcanse las siguientes modificaciones en el Código del Trabajo:</w:t>
      </w:r>
    </w:p>
    <w:p w:rsidR="004A18C6" w:rsidRDefault="004A18C6">
      <w:pPr>
        <w:pStyle w:val="Textoindependiente"/>
        <w:spacing w:before="2"/>
      </w:pPr>
    </w:p>
    <w:p w:rsidR="004A18C6" w:rsidRDefault="00827369">
      <w:pPr>
        <w:pStyle w:val="Ttulo1"/>
        <w:numPr>
          <w:ilvl w:val="0"/>
          <w:numId w:val="1"/>
        </w:numPr>
        <w:tabs>
          <w:tab w:val="left" w:pos="882"/>
        </w:tabs>
        <w:spacing w:line="280" w:lineRule="auto"/>
        <w:ind w:left="881" w:right="113"/>
      </w:pPr>
      <w:r>
        <w:t>Agréguese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7°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 del Trabajo, el siguiente texto:</w:t>
      </w:r>
    </w:p>
    <w:p w:rsidR="004A18C6" w:rsidRDefault="004A18C6">
      <w:pPr>
        <w:pStyle w:val="Textoindependiente"/>
        <w:spacing w:before="8"/>
        <w:rPr>
          <w:b/>
          <w:sz w:val="23"/>
        </w:rPr>
      </w:pPr>
    </w:p>
    <w:p w:rsidR="004A18C6" w:rsidRDefault="00827369">
      <w:pPr>
        <w:pStyle w:val="Textoindependiente"/>
        <w:spacing w:line="360" w:lineRule="auto"/>
        <w:ind w:left="102" w:right="117"/>
        <w:jc w:val="both"/>
      </w:pPr>
      <w:r>
        <w:t>“7.- Cuando estando vigente un contrato indefinido por más de dos años y sea aceptada la solicitud de Jubilación del Trabajador, por medio de la entrega del correspondiente certificado de saldo.</w:t>
      </w:r>
    </w:p>
    <w:p w:rsidR="004A18C6" w:rsidRDefault="004A18C6">
      <w:pPr>
        <w:pStyle w:val="Textoindependiente"/>
        <w:spacing w:before="10"/>
      </w:pPr>
    </w:p>
    <w:p w:rsidR="004A18C6" w:rsidRDefault="00827369">
      <w:pPr>
        <w:pStyle w:val="Textoindependiente"/>
        <w:spacing w:line="360" w:lineRule="auto"/>
        <w:ind w:left="102" w:right="115"/>
        <w:jc w:val="both"/>
      </w:pPr>
      <w:r>
        <w:t>En los casos aplicables a esta causal de término de contrato</w:t>
      </w:r>
      <w:r>
        <w:t>, el</w:t>
      </w:r>
      <w:r>
        <w:rPr>
          <w:spacing w:val="-31"/>
        </w:rPr>
        <w:t xml:space="preserve"> </w:t>
      </w:r>
      <w:r>
        <w:t>trabajador,</w:t>
      </w:r>
      <w:r>
        <w:rPr>
          <w:spacing w:val="-31"/>
        </w:rPr>
        <w:t xml:space="preserve"> </w:t>
      </w:r>
      <w:r>
        <w:t>tendrá</w:t>
      </w:r>
      <w:r>
        <w:rPr>
          <w:spacing w:val="-31"/>
        </w:rPr>
        <w:t xml:space="preserve"> </w:t>
      </w:r>
      <w:r>
        <w:t>derecho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ser</w:t>
      </w:r>
      <w:r>
        <w:rPr>
          <w:spacing w:val="-31"/>
        </w:rPr>
        <w:t xml:space="preserve"> </w:t>
      </w:r>
      <w:r>
        <w:t>indemnizado</w:t>
      </w:r>
      <w:r>
        <w:rPr>
          <w:spacing w:val="-31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términos del inciso segundo del artículo 163, con un límite máximo de ciento veinte días de remuneración. La indemnización a la que tendrá</w:t>
      </w:r>
      <w:r>
        <w:rPr>
          <w:spacing w:val="-18"/>
        </w:rPr>
        <w:t xml:space="preserve"> </w:t>
      </w:r>
      <w:r>
        <w:t>derecho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trabajador,</w:t>
      </w:r>
      <w:r>
        <w:rPr>
          <w:spacing w:val="-16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incompatible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ninguna otra a la que el trabajador pudiera tener derecho.</w:t>
      </w:r>
    </w:p>
    <w:p w:rsidR="004A18C6" w:rsidRDefault="004A18C6">
      <w:pPr>
        <w:pStyle w:val="Textoindependiente"/>
        <w:spacing w:before="11"/>
      </w:pPr>
    </w:p>
    <w:p w:rsidR="004A18C6" w:rsidRDefault="00827369">
      <w:pPr>
        <w:pStyle w:val="Ttulo1"/>
        <w:numPr>
          <w:ilvl w:val="0"/>
          <w:numId w:val="1"/>
        </w:numPr>
        <w:tabs>
          <w:tab w:val="left" w:pos="882"/>
        </w:tabs>
        <w:ind w:hanging="421"/>
      </w:pPr>
      <w:r>
        <w:t>Agregase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162</w:t>
      </w:r>
      <w:r>
        <w:rPr>
          <w:spacing w:val="-5"/>
        </w:rPr>
        <w:t xml:space="preserve"> </w:t>
      </w:r>
      <w:r>
        <w:t>bis,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exprese:</w:t>
      </w:r>
    </w:p>
    <w:p w:rsidR="004A18C6" w:rsidRDefault="004A18C6">
      <w:pPr>
        <w:sectPr w:rsidR="004A18C6">
          <w:pgSz w:w="12240" w:h="15840"/>
          <w:pgMar w:top="118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4A18C6" w:rsidRDefault="00827369">
      <w:pPr>
        <w:pStyle w:val="Textoindependiente"/>
        <w:spacing w:before="84" w:line="360" w:lineRule="auto"/>
        <w:ind w:left="102" w:right="115"/>
        <w:jc w:val="both"/>
      </w:pPr>
      <w:r>
        <w:t>“En los casos que el contrato de trabajo termine de acuerdo con la causal del numeral 7 del artíc</w:t>
      </w:r>
      <w:r>
        <w:t>ulo 159, el trabajador deberá comunicar de esta circunstancia por escrito, personalmente o por carta certificada al empleador, la que deberá ser enviada al domicilio señalado en el contrato, con copia a la inspección del trabajo respectiva, dentro de los t</w:t>
      </w:r>
      <w:r>
        <w:t>res días hábiles siguientes a la recepción por parte del trabajador de su correspondiente certificado de saldo, que permita acreditar la aceptación de la jubilación solicitada. La</w:t>
      </w:r>
      <w:r>
        <w:rPr>
          <w:spacing w:val="-34"/>
        </w:rPr>
        <w:t xml:space="preserve"> </w:t>
      </w:r>
      <w:r>
        <w:t>mencionada</w:t>
      </w:r>
      <w:r>
        <w:rPr>
          <w:spacing w:val="-34"/>
        </w:rPr>
        <w:t xml:space="preserve"> </w:t>
      </w:r>
      <w:r>
        <w:t>carta</w:t>
      </w:r>
      <w:r>
        <w:rPr>
          <w:spacing w:val="-33"/>
        </w:rPr>
        <w:t xml:space="preserve"> </w:t>
      </w:r>
      <w:r>
        <w:t>deberá</w:t>
      </w:r>
      <w:r>
        <w:rPr>
          <w:spacing w:val="-34"/>
        </w:rPr>
        <w:t xml:space="preserve"> </w:t>
      </w:r>
      <w:r>
        <w:t>expresar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circunstancia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haberse cumplido la men</w:t>
      </w:r>
      <w:r>
        <w:t>cionada causal.”</w:t>
      </w:r>
    </w:p>
    <w:sectPr w:rsidR="004A18C6">
      <w:pgSz w:w="12240" w:h="15840"/>
      <w:pgMar w:top="1180" w:right="1580" w:bottom="280" w:left="1600" w:header="720" w:footer="72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423E1"/>
    <w:multiLevelType w:val="hybridMultilevel"/>
    <w:tmpl w:val="5BF2DC38"/>
    <w:lvl w:ilvl="0" w:tplc="141A6EF8">
      <w:start w:val="1"/>
      <w:numFmt w:val="decimal"/>
      <w:lvlText w:val="%1)"/>
      <w:lvlJc w:val="left"/>
      <w:pPr>
        <w:ind w:left="882" w:hanging="4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78C237E">
      <w:numFmt w:val="bullet"/>
      <w:lvlText w:val="•"/>
      <w:lvlJc w:val="left"/>
      <w:pPr>
        <w:ind w:left="1698" w:hanging="420"/>
      </w:pPr>
      <w:rPr>
        <w:rFonts w:hint="default"/>
        <w:lang w:val="es-ES" w:eastAsia="en-US" w:bidi="ar-SA"/>
      </w:rPr>
    </w:lvl>
    <w:lvl w:ilvl="2" w:tplc="DC02E8BA">
      <w:numFmt w:val="bullet"/>
      <w:lvlText w:val="•"/>
      <w:lvlJc w:val="left"/>
      <w:pPr>
        <w:ind w:left="2516" w:hanging="420"/>
      </w:pPr>
      <w:rPr>
        <w:rFonts w:hint="default"/>
        <w:lang w:val="es-ES" w:eastAsia="en-US" w:bidi="ar-SA"/>
      </w:rPr>
    </w:lvl>
    <w:lvl w:ilvl="3" w:tplc="B1DE0260">
      <w:numFmt w:val="bullet"/>
      <w:lvlText w:val="•"/>
      <w:lvlJc w:val="left"/>
      <w:pPr>
        <w:ind w:left="3334" w:hanging="420"/>
      </w:pPr>
      <w:rPr>
        <w:rFonts w:hint="default"/>
        <w:lang w:val="es-ES" w:eastAsia="en-US" w:bidi="ar-SA"/>
      </w:rPr>
    </w:lvl>
    <w:lvl w:ilvl="4" w:tplc="78C8F81E">
      <w:numFmt w:val="bullet"/>
      <w:lvlText w:val="•"/>
      <w:lvlJc w:val="left"/>
      <w:pPr>
        <w:ind w:left="4152" w:hanging="420"/>
      </w:pPr>
      <w:rPr>
        <w:rFonts w:hint="default"/>
        <w:lang w:val="es-ES" w:eastAsia="en-US" w:bidi="ar-SA"/>
      </w:rPr>
    </w:lvl>
    <w:lvl w:ilvl="5" w:tplc="56046C72">
      <w:numFmt w:val="bullet"/>
      <w:lvlText w:val="•"/>
      <w:lvlJc w:val="left"/>
      <w:pPr>
        <w:ind w:left="4970" w:hanging="420"/>
      </w:pPr>
      <w:rPr>
        <w:rFonts w:hint="default"/>
        <w:lang w:val="es-ES" w:eastAsia="en-US" w:bidi="ar-SA"/>
      </w:rPr>
    </w:lvl>
    <w:lvl w:ilvl="6" w:tplc="D220BE70">
      <w:numFmt w:val="bullet"/>
      <w:lvlText w:val="•"/>
      <w:lvlJc w:val="left"/>
      <w:pPr>
        <w:ind w:left="5788" w:hanging="420"/>
      </w:pPr>
      <w:rPr>
        <w:rFonts w:hint="default"/>
        <w:lang w:val="es-ES" w:eastAsia="en-US" w:bidi="ar-SA"/>
      </w:rPr>
    </w:lvl>
    <w:lvl w:ilvl="7" w:tplc="49FEF304">
      <w:numFmt w:val="bullet"/>
      <w:lvlText w:val="•"/>
      <w:lvlJc w:val="left"/>
      <w:pPr>
        <w:ind w:left="6606" w:hanging="420"/>
      </w:pPr>
      <w:rPr>
        <w:rFonts w:hint="default"/>
        <w:lang w:val="es-ES" w:eastAsia="en-US" w:bidi="ar-SA"/>
      </w:rPr>
    </w:lvl>
    <w:lvl w:ilvl="8" w:tplc="9B3CCA14">
      <w:numFmt w:val="bullet"/>
      <w:lvlText w:val="•"/>
      <w:lvlJc w:val="left"/>
      <w:pPr>
        <w:ind w:left="7424" w:hanging="4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C6"/>
    <w:rsid w:val="004A18C6"/>
    <w:rsid w:val="008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9C18-16B7-45E2-B4C3-4D513ACA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1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.gob.cl/legislacion/1624/w3-article-103610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2023-01-18T22:03:00Z</dcterms:created>
  <dcterms:modified xsi:type="dcterms:W3CDTF">2023-03-13T20:43:00Z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LTSC</vt:lpwstr>
  </property>
</Properties>
</file>