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2E96" w:rsidRDefault="00A44393">
      <w:pPr>
        <w:tabs>
          <w:tab w:val="left" w:pos="7510"/>
        </w:tabs>
        <w:ind w:left="100"/>
        <w:rPr>
          <w:rFonts w:ascii="Times New Roman"/>
          <w:sz w:val="20"/>
        </w:rPr>
      </w:pPr>
      <w:r>
        <w:rPr>
          <w:rFonts w:ascii="Times New Roman"/>
          <w:noProof/>
          <w:position w:val="2"/>
          <w:sz w:val="20"/>
        </w:rPr>
        <w:drawing>
          <wp:inline distT="0" distB="0" distL="0" distR="0">
            <wp:extent cx="1072301" cy="10153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2301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1038314" cy="10287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314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E96" w:rsidRDefault="007D2E96">
      <w:pPr>
        <w:pStyle w:val="Textoindependiente"/>
        <w:rPr>
          <w:rFonts w:ascii="Times New Roman"/>
          <w:sz w:val="20"/>
        </w:rPr>
      </w:pPr>
    </w:p>
    <w:p w:rsidR="007D2E96" w:rsidRDefault="007D2E96">
      <w:pPr>
        <w:pStyle w:val="Textoindependiente"/>
        <w:rPr>
          <w:rFonts w:ascii="Times New Roman"/>
          <w:sz w:val="20"/>
        </w:rPr>
      </w:pPr>
    </w:p>
    <w:p w:rsidR="007D2E96" w:rsidRDefault="007D2E96">
      <w:pPr>
        <w:pStyle w:val="Textoindependiente"/>
        <w:rPr>
          <w:rFonts w:ascii="Times New Roman"/>
          <w:sz w:val="20"/>
        </w:rPr>
      </w:pPr>
    </w:p>
    <w:p w:rsidR="007D2E96" w:rsidRDefault="007D2E96">
      <w:pPr>
        <w:pStyle w:val="Textoindependiente"/>
        <w:spacing w:before="1"/>
        <w:rPr>
          <w:rFonts w:ascii="Times New Roman"/>
          <w:sz w:val="18"/>
        </w:rPr>
      </w:pPr>
    </w:p>
    <w:p w:rsidR="007D2E96" w:rsidRDefault="00A44393">
      <w:pPr>
        <w:pStyle w:val="Ttulo1"/>
        <w:spacing w:line="360" w:lineRule="auto"/>
        <w:rPr>
          <w:u w:val="none"/>
        </w:rPr>
      </w:pPr>
      <w:r>
        <w:rPr>
          <w:u w:val="thick"/>
        </w:rPr>
        <w:t>Proyecto de Ley que establece el deber de los municipios de</w:t>
      </w:r>
      <w:r>
        <w:rPr>
          <w:u w:val="none"/>
        </w:rPr>
        <w:t xml:space="preserve"> </w:t>
      </w:r>
      <w:r>
        <w:rPr>
          <w:u w:val="thick"/>
        </w:rPr>
        <w:t>transparentar</w:t>
      </w:r>
      <w:r>
        <w:rPr>
          <w:spacing w:val="-6"/>
          <w:u w:val="thick"/>
        </w:rPr>
        <w:t xml:space="preserve"> </w:t>
      </w:r>
      <w:r>
        <w:rPr>
          <w:u w:val="thick"/>
        </w:rPr>
        <w:t>activamente</w:t>
      </w:r>
      <w:r>
        <w:rPr>
          <w:spacing w:val="-6"/>
          <w:u w:val="thick"/>
        </w:rPr>
        <w:t xml:space="preserve"> </w:t>
      </w:r>
      <w:r>
        <w:rPr>
          <w:u w:val="thick"/>
        </w:rPr>
        <w:t>la</w:t>
      </w:r>
      <w:r>
        <w:rPr>
          <w:spacing w:val="-6"/>
          <w:u w:val="thick"/>
        </w:rPr>
        <w:t xml:space="preserve"> </w:t>
      </w:r>
      <w:r>
        <w:rPr>
          <w:u w:val="thick"/>
        </w:rPr>
        <w:t>destinación</w:t>
      </w:r>
      <w:r>
        <w:rPr>
          <w:spacing w:val="-6"/>
          <w:u w:val="thick"/>
        </w:rPr>
        <w:t xml:space="preserve"> </w:t>
      </w:r>
      <w:r>
        <w:rPr>
          <w:u w:val="thick"/>
        </w:rPr>
        <w:t>de</w:t>
      </w:r>
      <w:r>
        <w:rPr>
          <w:spacing w:val="-6"/>
          <w:u w:val="thick"/>
        </w:rPr>
        <w:t xml:space="preserve"> </w:t>
      </w:r>
      <w:r>
        <w:rPr>
          <w:u w:val="thick"/>
        </w:rPr>
        <w:t>los</w:t>
      </w:r>
      <w:r>
        <w:rPr>
          <w:spacing w:val="-6"/>
          <w:u w:val="thick"/>
        </w:rPr>
        <w:t xml:space="preserve"> </w:t>
      </w:r>
      <w:r>
        <w:rPr>
          <w:u w:val="thick"/>
        </w:rPr>
        <w:t>recursos</w:t>
      </w:r>
      <w:r>
        <w:rPr>
          <w:spacing w:val="-6"/>
          <w:u w:val="thick"/>
        </w:rPr>
        <w:t xml:space="preserve"> </w:t>
      </w:r>
      <w:r>
        <w:rPr>
          <w:u w:val="thick"/>
        </w:rPr>
        <w:t>recaudados</w:t>
      </w:r>
      <w:r>
        <w:rPr>
          <w:u w:val="none"/>
        </w:rPr>
        <w:t xml:space="preserve"> </w:t>
      </w:r>
      <w:r>
        <w:rPr>
          <w:u w:val="thick"/>
        </w:rPr>
        <w:t>directamente a través del permiso de circulación</w:t>
      </w:r>
    </w:p>
    <w:p w:rsidR="007D2E96" w:rsidRDefault="007D2E96">
      <w:pPr>
        <w:pStyle w:val="Textoindependiente"/>
        <w:rPr>
          <w:b/>
          <w:sz w:val="26"/>
        </w:rPr>
      </w:pPr>
    </w:p>
    <w:p w:rsidR="007D2E96" w:rsidRDefault="007D2E96">
      <w:pPr>
        <w:pStyle w:val="Textoindependiente"/>
        <w:rPr>
          <w:b/>
          <w:sz w:val="26"/>
        </w:rPr>
      </w:pPr>
    </w:p>
    <w:p w:rsidR="007D2E96" w:rsidRDefault="00A44393">
      <w:pPr>
        <w:pStyle w:val="Textoindependiente"/>
        <w:spacing w:before="227" w:line="360" w:lineRule="auto"/>
        <w:ind w:left="100" w:right="118"/>
        <w:jc w:val="both"/>
      </w:pPr>
      <w:r>
        <w:t>El permiso de circulación es un impuesto que deben pagar anualmente todos los dueños de vehículos motorizados y que va en beneficio de las municipalidades. Permite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automóviles,</w:t>
      </w:r>
      <w:r>
        <w:rPr>
          <w:spacing w:val="-4"/>
        </w:rPr>
        <w:t xml:space="preserve"> </w:t>
      </w:r>
      <w:r>
        <w:t>camionetas,</w:t>
      </w:r>
      <w:r>
        <w:rPr>
          <w:spacing w:val="-4"/>
        </w:rPr>
        <w:t xml:space="preserve"> </w:t>
      </w:r>
      <w:r>
        <w:t>motos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otros</w:t>
      </w:r>
      <w:r>
        <w:rPr>
          <w:spacing w:val="-4"/>
        </w:rPr>
        <w:t xml:space="preserve"> </w:t>
      </w:r>
      <w:r>
        <w:t>puedan</w:t>
      </w:r>
      <w:r>
        <w:rPr>
          <w:spacing w:val="-4"/>
        </w:rPr>
        <w:t xml:space="preserve"> </w:t>
      </w:r>
      <w:r>
        <w:t>circular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calles del país en fo</w:t>
      </w:r>
      <w:r>
        <w:t>rma legal.</w:t>
      </w:r>
    </w:p>
    <w:p w:rsidR="007D2E96" w:rsidRDefault="007D2E96">
      <w:pPr>
        <w:pStyle w:val="Textoindependiente"/>
        <w:rPr>
          <w:sz w:val="36"/>
        </w:rPr>
      </w:pPr>
    </w:p>
    <w:p w:rsidR="007D2E96" w:rsidRDefault="00A44393">
      <w:pPr>
        <w:pStyle w:val="Textoindependiente"/>
        <w:spacing w:line="360" w:lineRule="auto"/>
        <w:ind w:left="100" w:right="112"/>
        <w:jc w:val="both"/>
      </w:pPr>
      <w:r>
        <w:t>Según la ley de rentas municipales el valor de los permisos de circulación se establecen en relación con el valor del precio del vehículo. En todo caso, cada</w:t>
      </w:r>
      <w:r>
        <w:rPr>
          <w:spacing w:val="-2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el Servicio de Impuestos Internos (SII) hace una tasación oficial de los automóvil</w:t>
      </w:r>
      <w:r>
        <w:t>es,</w:t>
      </w:r>
      <w:r>
        <w:rPr>
          <w:spacing w:val="40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es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base</w:t>
      </w:r>
      <w:r>
        <w:rPr>
          <w:spacing w:val="27"/>
        </w:rPr>
        <w:t xml:space="preserve"> </w:t>
      </w:r>
      <w:r>
        <w:t>para</w:t>
      </w:r>
      <w:r>
        <w:rPr>
          <w:spacing w:val="27"/>
        </w:rPr>
        <w:t xml:space="preserve"> </w:t>
      </w:r>
      <w:r>
        <w:t>determinar el valor de cada permiso. El SII elabora una lista de las distintas marcas y modelos de vehículos motorizados, clasificados de acuerdo al año de fabricación y con indicación, en cada caso, del precio vigente a la fecha.</w:t>
      </w:r>
      <w:r>
        <w:rPr>
          <w:spacing w:val="-2"/>
        </w:rPr>
        <w:t xml:space="preserve"> </w:t>
      </w:r>
      <w:r>
        <w:t>Esas tasaciones se public</w:t>
      </w:r>
      <w:r>
        <w:t>an en el Diario Oficial o en algún otro diario de circulación nacional y en la página web del SII, dentro de la primera quincena de</w:t>
      </w:r>
      <w:r>
        <w:rPr>
          <w:spacing w:val="-2"/>
        </w:rPr>
        <w:t xml:space="preserve"> </w:t>
      </w:r>
      <w:r>
        <w:t>enero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cada </w:t>
      </w:r>
      <w:r>
        <w:rPr>
          <w:spacing w:val="-4"/>
        </w:rPr>
        <w:t>año.</w:t>
      </w:r>
    </w:p>
    <w:p w:rsidR="007D2E96" w:rsidRDefault="007D2E96">
      <w:pPr>
        <w:pStyle w:val="Textoindependiente"/>
        <w:rPr>
          <w:sz w:val="36"/>
        </w:rPr>
      </w:pPr>
    </w:p>
    <w:p w:rsidR="007D2E96" w:rsidRDefault="00A44393">
      <w:pPr>
        <w:pStyle w:val="Textoindependiente"/>
        <w:spacing w:line="360" w:lineRule="auto"/>
        <w:ind w:left="100" w:right="114"/>
        <w:jc w:val="both"/>
      </w:pPr>
      <w:r>
        <w:t>El pago de este permiso tiene fechas diferenciadas. En el caso de los automóviles se paga a partir del 1</w:t>
      </w:r>
      <w:r>
        <w:t xml:space="preserve"> de febrero y hasta el 31 de marzo. Para taxis y buses, el plazo es hasta el 31 de mayo; para vehículos de carga, motos y motonetas, hasta el 30 de septiembre, aunque estas fechas son aproximadas, se recomienda confirmar con la municipalidad donde paga su </w:t>
      </w:r>
      <w:r>
        <w:t>permiso pues hay variaciones.</w:t>
      </w:r>
    </w:p>
    <w:p w:rsidR="007D2E96" w:rsidRDefault="007D2E96">
      <w:pPr>
        <w:spacing w:line="360" w:lineRule="auto"/>
        <w:jc w:val="both"/>
        <w:sectPr w:rsidR="007D2E96">
          <w:type w:val="continuous"/>
          <w:pgSz w:w="11920" w:h="16840"/>
          <w:pgMar w:top="1620" w:right="1340" w:bottom="280" w:left="1340" w:header="720" w:footer="720" w:gutter="0"/>
          <w:cols w:space="720"/>
        </w:sectPr>
      </w:pPr>
    </w:p>
    <w:p w:rsidR="007D2E96" w:rsidRDefault="00A44393">
      <w:pPr>
        <w:pStyle w:val="Textoindependiente"/>
        <w:spacing w:before="80" w:line="360" w:lineRule="auto"/>
        <w:ind w:left="100" w:right="112"/>
        <w:jc w:val="both"/>
      </w:pPr>
      <w:r>
        <w:lastRenderedPageBreak/>
        <w:t>Por ley, el 37,5% de lo recaudado por un municipio mediante este tributo queda de manera directa en la comuna, dato que los contribuyentes pueden considerar para elegir</w:t>
      </w:r>
      <w:r>
        <w:rPr>
          <w:spacing w:val="26"/>
        </w:rPr>
        <w:t xml:space="preserve"> </w:t>
      </w:r>
      <w:r>
        <w:t xml:space="preserve">dónde pagar la patente de su vehículo de </w:t>
      </w:r>
      <w:r>
        <w:t>forma online o presencial. En tanto,</w:t>
      </w:r>
      <w:r>
        <w:rPr>
          <w:spacing w:val="40"/>
        </w:rPr>
        <w:t xml:space="preserve"> </w:t>
      </w:r>
      <w:r>
        <w:t>el 62,5% de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monto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destina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Fondo</w:t>
      </w:r>
      <w:r>
        <w:rPr>
          <w:spacing w:val="-3"/>
        </w:rPr>
        <w:t xml:space="preserve"> </w:t>
      </w:r>
      <w:r>
        <w:t>Común</w:t>
      </w:r>
      <w:r>
        <w:rPr>
          <w:spacing w:val="-3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(FCM),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 xml:space="preserve">administra y luego devuelve un porcentaje a cada comuna, privilegiando a aquellas con más necesidades de acuerdo al equilibrio solidario que rige al </w:t>
      </w:r>
      <w:r>
        <w:t>FCM.</w:t>
      </w:r>
    </w:p>
    <w:p w:rsidR="007D2E96" w:rsidRDefault="007D2E96">
      <w:pPr>
        <w:pStyle w:val="Textoindependiente"/>
        <w:rPr>
          <w:sz w:val="36"/>
        </w:rPr>
      </w:pPr>
    </w:p>
    <w:p w:rsidR="007D2E96" w:rsidRDefault="00A44393">
      <w:pPr>
        <w:pStyle w:val="Textoindependiente"/>
        <w:spacing w:line="360" w:lineRule="auto"/>
        <w:ind w:left="100" w:right="123"/>
        <w:jc w:val="both"/>
      </w:pPr>
      <w:r>
        <w:t xml:space="preserve">Actualmente no existe la obligación legal por parte de los municipios de informar </w:t>
      </w:r>
      <w:r>
        <w:t>y dar cuenta sobre la destinación que le da la administración municipal a los fondos recaudados por medio del permiso de circulación.</w:t>
      </w:r>
    </w:p>
    <w:p w:rsidR="007D2E96" w:rsidRDefault="00A44393">
      <w:pPr>
        <w:pStyle w:val="Textoindependiente"/>
        <w:spacing w:line="360" w:lineRule="auto"/>
        <w:ind w:left="100" w:right="113"/>
        <w:jc w:val="both"/>
      </w:pPr>
      <w:r>
        <w:t>Con el fin de mejorar la información respecto a cómo se invierten dichos recursos y que la comunidad pueda tener fácil acc</w:t>
      </w:r>
      <w:r>
        <w:t>eso a la información sobre la gestión de su municipio y pueda fiscalizarlo, los y las parlamentarias que suscribimos, estimamos que la destinación de los</w:t>
      </w:r>
      <w:r>
        <w:rPr>
          <w:spacing w:val="-3"/>
        </w:rPr>
        <w:t xml:space="preserve"> </w:t>
      </w:r>
      <w:r>
        <w:t>fondos</w:t>
      </w:r>
      <w:r>
        <w:rPr>
          <w:spacing w:val="-3"/>
        </w:rPr>
        <w:t xml:space="preserve"> </w:t>
      </w:r>
      <w:r>
        <w:t>recaudados</w:t>
      </w:r>
      <w:r>
        <w:rPr>
          <w:spacing w:val="-3"/>
        </w:rPr>
        <w:t xml:space="preserve"> </w:t>
      </w:r>
      <w:r>
        <w:t>directamente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municipios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partir del pago del permiso de circulación debe es</w:t>
      </w:r>
      <w:r>
        <w:t>tar sujeta a transparencia activa.</w:t>
      </w:r>
    </w:p>
    <w:p w:rsidR="007D2E96" w:rsidRDefault="007D2E96">
      <w:pPr>
        <w:pStyle w:val="Textoindependiente"/>
        <w:rPr>
          <w:sz w:val="26"/>
        </w:rPr>
      </w:pPr>
    </w:p>
    <w:p w:rsidR="007D2E96" w:rsidRDefault="007D2E96">
      <w:pPr>
        <w:pStyle w:val="Textoindependiente"/>
        <w:rPr>
          <w:sz w:val="26"/>
        </w:rPr>
      </w:pPr>
    </w:p>
    <w:p w:rsidR="007D2E96" w:rsidRDefault="00A44393">
      <w:pPr>
        <w:spacing w:before="227"/>
        <w:ind w:left="362" w:right="374"/>
        <w:jc w:val="center"/>
        <w:rPr>
          <w:b/>
          <w:sz w:val="24"/>
        </w:rPr>
      </w:pPr>
      <w:r>
        <w:rPr>
          <w:b/>
          <w:sz w:val="24"/>
        </w:rPr>
        <w:t xml:space="preserve">PROYECTO DE </w:t>
      </w:r>
      <w:r>
        <w:rPr>
          <w:b/>
          <w:spacing w:val="-5"/>
          <w:sz w:val="24"/>
        </w:rPr>
        <w:t>LEY</w:t>
      </w:r>
    </w:p>
    <w:p w:rsidR="007D2E96" w:rsidRDefault="007D2E96">
      <w:pPr>
        <w:pStyle w:val="Textoindependiente"/>
        <w:rPr>
          <w:b/>
          <w:sz w:val="26"/>
        </w:rPr>
      </w:pPr>
    </w:p>
    <w:p w:rsidR="007D2E96" w:rsidRDefault="007D2E96">
      <w:pPr>
        <w:pStyle w:val="Textoindependiente"/>
        <w:rPr>
          <w:b/>
          <w:sz w:val="22"/>
        </w:rPr>
      </w:pPr>
    </w:p>
    <w:p w:rsidR="007D2E96" w:rsidRDefault="00A44393">
      <w:pPr>
        <w:pStyle w:val="Textoindependiente"/>
        <w:spacing w:line="360" w:lineRule="auto"/>
        <w:ind w:left="100" w:right="115"/>
        <w:jc w:val="both"/>
      </w:pPr>
      <w:r>
        <w:rPr>
          <w:b/>
        </w:rPr>
        <w:t xml:space="preserve">Artículo único.- </w:t>
      </w:r>
      <w:r>
        <w:t xml:space="preserve">Agréguese el siguiente artículo 22 bis nuevo al Decreto N° </w:t>
      </w:r>
      <w:r>
        <w:t>2385 que fija texto refundido y sistematizado del Decreto Ley N° 3063, de 1979, sobre Rentas Municipales:</w:t>
      </w:r>
    </w:p>
    <w:p w:rsidR="007D2E96" w:rsidRDefault="007D2E96">
      <w:pPr>
        <w:pStyle w:val="Textoindependiente"/>
        <w:rPr>
          <w:sz w:val="36"/>
        </w:rPr>
      </w:pPr>
    </w:p>
    <w:p w:rsidR="007D2E96" w:rsidRDefault="00A44393">
      <w:pPr>
        <w:pStyle w:val="Textoindependiente"/>
        <w:spacing w:line="360" w:lineRule="auto"/>
        <w:ind w:left="100" w:right="113"/>
        <w:jc w:val="both"/>
      </w:pPr>
      <w:r>
        <w:t>Artículo 22 bis.- Las Municipalidades deberán mantener a disposición permanente del público, a través de sus sitios electrónicos, la manera específic</w:t>
      </w:r>
      <w:r>
        <w:t>a en que se distribuyen los ingresos obtenidos en virtud del impuesto anual por permiso de circulación. Asimismo, deberá incluirse esta información en la cuenta pública a que se refiere el artículo 67 de la Ley Orgánica Constitucional de Municipalidades.</w:t>
      </w:r>
    </w:p>
    <w:p w:rsidR="007D2E96" w:rsidRDefault="007D2E96">
      <w:pPr>
        <w:pStyle w:val="Textoindependiente"/>
        <w:rPr>
          <w:sz w:val="36"/>
        </w:rPr>
      </w:pPr>
    </w:p>
    <w:p w:rsidR="007D2E96" w:rsidRDefault="00A44393">
      <w:pPr>
        <w:pStyle w:val="Textoindependiente"/>
        <w:spacing w:line="360" w:lineRule="auto"/>
        <w:ind w:left="100" w:right="116"/>
        <w:jc w:val="both"/>
      </w:pPr>
      <w:r>
        <w:t>El deber de información del inciso precedente</w:t>
      </w:r>
      <w:r>
        <w:rPr>
          <w:spacing w:val="-4"/>
        </w:rPr>
        <w:t xml:space="preserve"> </w:t>
      </w:r>
      <w:r>
        <w:t>comprenderá</w:t>
      </w:r>
      <w:r>
        <w:rPr>
          <w:spacing w:val="-4"/>
        </w:rPr>
        <w:t xml:space="preserve"> </w:t>
      </w:r>
      <w:r>
        <w:t>únicamente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ingresos percibidos directamente por los municipios, y no considerará la parte del impuesto anual por permiso de circulación que se destina al Fondo Común Municipal</w:t>
      </w:r>
      <w:r>
        <w:rPr>
          <w:spacing w:val="40"/>
        </w:rPr>
        <w:t xml:space="preserve"> </w:t>
      </w:r>
      <w:r>
        <w:t>conforme al artícu</w:t>
      </w:r>
      <w:r>
        <w:t>lo 37.</w:t>
      </w:r>
    </w:p>
    <w:sectPr w:rsidR="007D2E96">
      <w:pgSz w:w="11920" w:h="16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2E96"/>
    <w:rsid w:val="007D2E96"/>
    <w:rsid w:val="00A4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0563F-49BF-4B35-A048-51B812E2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val="es-ES"/>
    </w:rPr>
  </w:style>
  <w:style w:type="paragraph" w:styleId="Ttulo1">
    <w:name w:val="heading 1"/>
    <w:basedOn w:val="Normal"/>
    <w:uiPriority w:val="9"/>
    <w:qFormat/>
    <w:pPr>
      <w:spacing w:before="100"/>
      <w:ind w:left="362" w:right="374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Permiso de circulación</dc:title>
  <dc:creator>Guillermo Diaz Vallejos</dc:creator>
  <cp:lastModifiedBy>Guillermo Diaz Vallejos</cp:lastModifiedBy>
  <cp:revision>1</cp:revision>
  <dcterms:created xsi:type="dcterms:W3CDTF">2023-03-06T19:18:00Z</dcterms:created>
  <dcterms:modified xsi:type="dcterms:W3CDTF">2023-03-13T20:52:00Z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m112 Google Docs Renderer</vt:lpwstr>
  </property>
</Properties>
</file>