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6E1" w:rsidRDefault="005B3A7A">
      <w:pPr>
        <w:pStyle w:val="Textoindependiente"/>
        <w:ind w:left="36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05172" cy="9757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72" cy="97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6E1" w:rsidRDefault="004E36E1">
      <w:pPr>
        <w:pStyle w:val="Textoindependiente"/>
        <w:spacing w:before="8"/>
        <w:ind w:left="0"/>
        <w:rPr>
          <w:sz w:val="17"/>
        </w:rPr>
      </w:pPr>
    </w:p>
    <w:p w:rsidR="004E36E1" w:rsidRDefault="005B3A7A">
      <w:pPr>
        <w:spacing w:before="90" w:line="360" w:lineRule="auto"/>
        <w:ind w:left="494" w:right="489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GARANTIZAR ALIMENTACIÓN A LAS PERSONAS CON CÁNCER y OTRAS ENFERMEDADES CATASTRÓFICAS</w:t>
      </w:r>
    </w:p>
    <w:p w:rsidR="004E36E1" w:rsidRDefault="004E36E1">
      <w:pPr>
        <w:pStyle w:val="Textoindependiente"/>
        <w:ind w:left="0"/>
        <w:rPr>
          <w:b/>
          <w:sz w:val="36"/>
        </w:rPr>
      </w:pPr>
    </w:p>
    <w:p w:rsidR="004E36E1" w:rsidRDefault="005B3A7A">
      <w:pPr>
        <w:ind w:left="119"/>
        <w:rPr>
          <w:b/>
          <w:sz w:val="24"/>
        </w:rPr>
      </w:pPr>
      <w:r>
        <w:rPr>
          <w:b/>
          <w:spacing w:val="-2"/>
          <w:sz w:val="24"/>
        </w:rPr>
        <w:t>Antecedentes:</w:t>
      </w:r>
    </w:p>
    <w:p w:rsidR="004E36E1" w:rsidRDefault="005B3A7A">
      <w:pPr>
        <w:pStyle w:val="Textoindependiente"/>
        <w:spacing w:before="137"/>
      </w:pP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nivel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legal</w:t>
      </w:r>
    </w:p>
    <w:p w:rsidR="004E36E1" w:rsidRDefault="005B3A7A">
      <w:pPr>
        <w:pStyle w:val="Textoindependiente"/>
        <w:spacing w:before="137" w:line="360" w:lineRule="auto"/>
        <w:ind w:right="114" w:firstLine="708"/>
        <w:jc w:val="both"/>
      </w:pPr>
      <w:r>
        <w:t>La ley Nº 21.258 Nacional del Cáncer, que rinde homenaje póstumo al doctor Claudio</w:t>
      </w:r>
      <w:r>
        <w:rPr>
          <w:spacing w:val="-12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avance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sociedad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ordenamiento</w:t>
      </w:r>
      <w:r>
        <w:rPr>
          <w:spacing w:val="-12"/>
        </w:rPr>
        <w:t xml:space="preserve"> </w:t>
      </w:r>
      <w:r>
        <w:t>jurídico</w:t>
      </w:r>
      <w:r>
        <w:rPr>
          <w:spacing w:val="-12"/>
        </w:rPr>
        <w:t xml:space="preserve"> </w:t>
      </w:r>
      <w:r>
        <w:t>porque establece por primera vez en un cuerpo normativo los principales objetivos para abordar adecu</w:t>
      </w:r>
      <w:r>
        <w:t>adamente una enfermedad como el cáncer,</w:t>
      </w:r>
      <w:r>
        <w:rPr>
          <w:spacing w:val="40"/>
        </w:rPr>
        <w:t xml:space="preserve"> </w:t>
      </w:r>
      <w:r>
        <w:t>y que dicen relación -entre otros asuntos, con lo siguiente: la planificación, desarrollo y ejecución de políticas públicas, programas y acciones destinados a establecer las causas y prevenir el aumento de la inciden</w:t>
      </w:r>
      <w:r>
        <w:t>cia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cáncer,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cualquiera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manifestaciones,</w:t>
      </w:r>
      <w:r>
        <w:rPr>
          <w:spacing w:val="-10"/>
        </w:rPr>
        <w:t xml:space="preserve"> </w:t>
      </w:r>
      <w:r>
        <w:t>formas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denominaciones,</w:t>
      </w:r>
      <w:r>
        <w:rPr>
          <w:spacing w:val="-10"/>
        </w:rPr>
        <w:t xml:space="preserve"> </w:t>
      </w:r>
      <w:r>
        <w:t>el adecuado tratamiento integral y la recuperación de la persona diagnosticada con dicha enfermedad,</w:t>
      </w:r>
      <w:r>
        <w:rPr>
          <w:spacing w:val="-8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Cáncer,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crear</w:t>
      </w:r>
      <w:r>
        <w:rPr>
          <w:spacing w:val="-8"/>
        </w:rPr>
        <w:t xml:space="preserve"> </w:t>
      </w:r>
      <w:r>
        <w:t>un fondo de financiamiento adecuado para lograr ese objetivo</w:t>
      </w:r>
      <w:r>
        <w:rPr>
          <w:vertAlign w:val="superscript"/>
        </w:rPr>
        <w:t>1</w:t>
      </w:r>
      <w:r>
        <w:t>.</w:t>
      </w:r>
    </w:p>
    <w:p w:rsidR="004E36E1" w:rsidRDefault="005B3A7A">
      <w:pPr>
        <w:spacing w:before="2" w:line="360" w:lineRule="auto"/>
        <w:ind w:left="119" w:right="114" w:firstLine="708"/>
        <w:jc w:val="both"/>
        <w:rPr>
          <w:sz w:val="24"/>
        </w:rPr>
      </w:pPr>
      <w:r>
        <w:rPr>
          <w:sz w:val="24"/>
        </w:rPr>
        <w:t>Dentro de los princ</w:t>
      </w:r>
      <w:r>
        <w:rPr>
          <w:sz w:val="24"/>
        </w:rPr>
        <w:t xml:space="preserve">ipios establecidos en la ley se encuentra </w:t>
      </w:r>
      <w:r>
        <w:rPr>
          <w:b/>
          <w:sz w:val="24"/>
        </w:rPr>
        <w:t xml:space="preserve">el principio de humanización en el trato </w:t>
      </w:r>
      <w:r>
        <w:rPr>
          <w:sz w:val="24"/>
        </w:rPr>
        <w:t xml:space="preserve">que implica que “el Plan Nacional del Cáncer </w:t>
      </w:r>
      <w:r>
        <w:rPr>
          <w:b/>
          <w:sz w:val="24"/>
        </w:rPr>
        <w:t>y todas las medidas y propuestas asociadas a éste</w:t>
      </w:r>
      <w:r>
        <w:rPr>
          <w:sz w:val="24"/>
        </w:rPr>
        <w:t xml:space="preserve">, otorgadas por los equipos profesionales y de apoyo, </w:t>
      </w:r>
      <w:r>
        <w:rPr>
          <w:b/>
          <w:sz w:val="24"/>
        </w:rPr>
        <w:t>deberán considerar la ate</w:t>
      </w:r>
      <w:r>
        <w:rPr>
          <w:b/>
          <w:sz w:val="24"/>
        </w:rPr>
        <w:t>nción interdisciplinaria de las personas</w:t>
      </w:r>
      <w:r>
        <w:rPr>
          <w:sz w:val="24"/>
        </w:rPr>
        <w:t>, reconocer espacio para la incorporación de terapias complementarias acreditadas, así como el derecho a tener compañía y asistencia espiritual, de acuerdo a lo dispuesto en el</w:t>
      </w:r>
      <w:r>
        <w:rPr>
          <w:spacing w:val="-2"/>
          <w:sz w:val="24"/>
        </w:rPr>
        <w:t xml:space="preserve"> </w:t>
      </w:r>
      <w:r>
        <w:rPr>
          <w:color w:val="6173A3"/>
          <w:sz w:val="24"/>
          <w:u w:val="single" w:color="6173A3"/>
        </w:rPr>
        <w:t>párrafo</w:t>
      </w:r>
      <w:r>
        <w:rPr>
          <w:color w:val="6173A3"/>
          <w:sz w:val="24"/>
        </w:rPr>
        <w:t xml:space="preserve"> </w:t>
      </w:r>
      <w:r>
        <w:rPr>
          <w:color w:val="6173A3"/>
          <w:sz w:val="24"/>
          <w:u w:val="single" w:color="6173A3"/>
        </w:rPr>
        <w:t>3º</w:t>
      </w:r>
      <w:r>
        <w:rPr>
          <w:color w:val="6173A3"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color w:val="6173A3"/>
          <w:sz w:val="24"/>
          <w:u w:val="single" w:color="6173A3"/>
        </w:rPr>
        <w:t>Título II</w:t>
      </w:r>
      <w:r>
        <w:rPr>
          <w:color w:val="6173A3"/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color w:val="6173A3"/>
          <w:sz w:val="24"/>
          <w:u w:val="single" w:color="6173A3"/>
        </w:rPr>
        <w:t>ley Nº 2</w:t>
      </w:r>
      <w:r>
        <w:rPr>
          <w:color w:val="6173A3"/>
          <w:sz w:val="24"/>
          <w:u w:val="single" w:color="6173A3"/>
        </w:rPr>
        <w:t>0.584</w:t>
      </w:r>
      <w:r>
        <w:rPr>
          <w:sz w:val="24"/>
        </w:rPr>
        <w:t>, que regula los derechos y deberes que tienen las personas en relación con acciones vinculadas a su atención en salud.”</w:t>
      </w:r>
      <w:r>
        <w:rPr>
          <w:sz w:val="24"/>
          <w:vertAlign w:val="superscript"/>
        </w:rPr>
        <w:t>2</w:t>
      </w:r>
    </w:p>
    <w:p w:rsidR="004E36E1" w:rsidRDefault="005B3A7A">
      <w:pPr>
        <w:pStyle w:val="Textoindependiente"/>
        <w:spacing w:line="362" w:lineRule="auto"/>
        <w:ind w:right="114" w:firstLine="708"/>
        <w:jc w:val="both"/>
      </w:pPr>
      <w:r>
        <w:t>En atención al principio de humanización del trato y el trabajo interdisciplinario que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requiere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adecuado</w:t>
      </w:r>
      <w:r>
        <w:rPr>
          <w:spacing w:val="9"/>
        </w:rPr>
        <w:t xml:space="preserve"> </w:t>
      </w:r>
      <w:r>
        <w:t>tratamiento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enfermedad,</w:t>
      </w:r>
      <w:r>
        <w:rPr>
          <w:spacing w:val="8"/>
        </w:rPr>
        <w:t xml:space="preserve"> </w:t>
      </w:r>
      <w:r>
        <w:t>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temas</w:t>
      </w:r>
      <w:r>
        <w:rPr>
          <w:spacing w:val="9"/>
        </w:rPr>
        <w:t xml:space="preserve"> </w:t>
      </w:r>
      <w:r>
        <w:rPr>
          <w:spacing w:val="-5"/>
        </w:rPr>
        <w:t>más</w:t>
      </w:r>
    </w:p>
    <w:p w:rsidR="004E36E1" w:rsidRDefault="005B3A7A">
      <w:pPr>
        <w:pStyle w:val="Textoindependiente"/>
        <w:spacing w:before="11"/>
        <w:ind w:left="0"/>
        <w:rPr>
          <w:sz w:val="15"/>
        </w:rPr>
      </w:pPr>
      <w:r>
        <w:pict>
          <v:rect id="docshape1" o:spid="_x0000_s1028" style="position:absolute;margin-left:84.95pt;margin-top:10.4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E36E1" w:rsidRDefault="005B3A7A">
      <w:pPr>
        <w:spacing w:before="108"/>
        <w:ind w:left="119"/>
        <w:rPr>
          <w:rFonts w:ascii="Calibri" w:hAnsi="Calibri"/>
          <w:sz w:val="20"/>
        </w:rPr>
      </w:pP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  <w:spacing w:val="6"/>
          <w:position w:val="8"/>
          <w:sz w:val="16"/>
        </w:rPr>
        <w:t xml:space="preserve"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1º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Cáncer,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línea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https://</w:t>
      </w:r>
      <w:hyperlink r:id="rId5">
        <w:r>
          <w:rPr>
            <w:rFonts w:ascii="Calibri" w:hAnsi="Calibri"/>
            <w:color w:val="0563C1"/>
            <w:spacing w:val="-2"/>
            <w:sz w:val="20"/>
            <w:u w:val="single" w:color="0563C1"/>
          </w:rPr>
          <w:t>www.bcn.cl/leychile/navegar?idNorma=1149004</w:t>
        </w:r>
      </w:hyperlink>
    </w:p>
    <w:p w:rsidR="004E36E1" w:rsidRDefault="005B3A7A">
      <w:pPr>
        <w:spacing w:before="7" w:line="249" w:lineRule="auto"/>
        <w:ind w:left="119"/>
        <w:rPr>
          <w:rFonts w:ascii="Calibri" w:hAnsi="Calibri"/>
          <w:sz w:val="20"/>
        </w:rPr>
      </w:pPr>
      <w:r>
        <w:rPr>
          <w:rFonts w:ascii="Calibri" w:hAnsi="Calibri"/>
          <w:position w:val="8"/>
          <w:sz w:val="16"/>
        </w:rPr>
        <w:t xml:space="preserve">2 </w:t>
      </w:r>
      <w:r>
        <w:rPr>
          <w:rFonts w:ascii="Calibri" w:hAnsi="Calibri"/>
          <w:sz w:val="20"/>
        </w:rPr>
        <w:t>Art. 2º letra d) ley del Cá</w:t>
      </w:r>
      <w:r>
        <w:rPr>
          <w:rFonts w:ascii="Calibri" w:hAnsi="Calibri"/>
          <w:sz w:val="20"/>
        </w:rPr>
        <w:t xml:space="preserve">ncer, disponible en línea en: </w:t>
      </w:r>
      <w:r>
        <w:rPr>
          <w:rFonts w:ascii="Calibri" w:hAnsi="Calibri"/>
          <w:color w:val="0563C1"/>
          <w:spacing w:val="-2"/>
          <w:sz w:val="20"/>
          <w:u w:val="single" w:color="0563C1"/>
        </w:rPr>
        <w:t>https://</w:t>
      </w:r>
      <w:hyperlink r:id="rId6">
        <w:r>
          <w:rPr>
            <w:rFonts w:ascii="Calibri" w:hAnsi="Calibri"/>
            <w:color w:val="0563C1"/>
            <w:spacing w:val="-2"/>
            <w:sz w:val="20"/>
            <w:u w:val="single" w:color="0563C1"/>
          </w:rPr>
          <w:t>www.bcn.cl/leychile/navegar?idNorma=1149004</w:t>
        </w:r>
      </w:hyperlink>
    </w:p>
    <w:p w:rsidR="004E36E1" w:rsidRDefault="004E36E1">
      <w:pPr>
        <w:spacing w:line="249" w:lineRule="auto"/>
        <w:rPr>
          <w:rFonts w:ascii="Calibri" w:hAnsi="Calibri"/>
          <w:sz w:val="20"/>
        </w:rPr>
        <w:sectPr w:rsidR="004E36E1">
          <w:type w:val="continuous"/>
          <w:pgSz w:w="11900" w:h="16840"/>
          <w:pgMar w:top="1660" w:right="1580" w:bottom="280" w:left="1580" w:header="720" w:footer="720" w:gutter="0"/>
          <w:cols w:space="720"/>
        </w:sectPr>
      </w:pPr>
    </w:p>
    <w:p w:rsidR="004E36E1" w:rsidRDefault="005B3A7A">
      <w:pPr>
        <w:pStyle w:val="Textoindependiente"/>
        <w:spacing w:before="77" w:line="360" w:lineRule="auto"/>
        <w:ind w:right="115"/>
        <w:jc w:val="both"/>
      </w:pPr>
      <w:r>
        <w:lastRenderedPageBreak/>
        <w:t>importantes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alimentación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cáncer,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de aquellos que se encuentran en etapas avanzadas de la enfermedad.</w:t>
      </w:r>
    </w:p>
    <w:p w:rsidR="004E36E1" w:rsidRDefault="004E36E1">
      <w:pPr>
        <w:pStyle w:val="Textoindependiente"/>
        <w:spacing w:before="1"/>
        <w:ind w:left="0"/>
        <w:rPr>
          <w:sz w:val="36"/>
        </w:rPr>
      </w:pPr>
    </w:p>
    <w:p w:rsidR="004E36E1" w:rsidRDefault="005B3A7A">
      <w:pPr>
        <w:pStyle w:val="Textoindependiente"/>
        <w:spacing w:before="1"/>
        <w:jc w:val="both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nivel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constitucional</w:t>
      </w:r>
    </w:p>
    <w:p w:rsidR="004E36E1" w:rsidRDefault="005B3A7A">
      <w:pPr>
        <w:pStyle w:val="Textoindependiente"/>
        <w:spacing w:before="136" w:line="360" w:lineRule="auto"/>
        <w:ind w:right="115" w:firstLine="708"/>
        <w:jc w:val="both"/>
      </w:pPr>
      <w:r>
        <w:t>En</w:t>
      </w:r>
      <w:r>
        <w:rPr>
          <w:spacing w:val="-15"/>
        </w:rPr>
        <w:t xml:space="preserve"> </w:t>
      </w:r>
      <w:r>
        <w:t>relación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</w:t>
      </w:r>
      <w:r>
        <w:rPr>
          <w:spacing w:val="-15"/>
        </w:rPr>
        <w:t xml:space="preserve"> </w:t>
      </w:r>
      <w:r>
        <w:t>constitucional,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dable</w:t>
      </w:r>
      <w:r>
        <w:rPr>
          <w:spacing w:val="-15"/>
        </w:rPr>
        <w:t xml:space="preserve"> </w:t>
      </w:r>
      <w:r>
        <w:t>señalar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Constitución</w:t>
      </w:r>
      <w:r>
        <w:rPr>
          <w:spacing w:val="-15"/>
        </w:rPr>
        <w:t xml:space="preserve"> </w:t>
      </w:r>
      <w:r>
        <w:t>Política de la República consagra en el artículo 19 nº 9 el derecho a la protección</w:t>
      </w:r>
      <w:r>
        <w:t xml:space="preserve"> de la salud y señala lo siguiente:</w:t>
      </w:r>
    </w:p>
    <w:p w:rsidR="004E36E1" w:rsidRDefault="005B3A7A">
      <w:pPr>
        <w:pStyle w:val="Textoindependiente"/>
        <w:spacing w:before="2"/>
        <w:ind w:left="827"/>
        <w:jc w:val="both"/>
      </w:pPr>
      <w:r>
        <w:t>“9°.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salud.</w:t>
      </w:r>
    </w:p>
    <w:p w:rsidR="004E36E1" w:rsidRDefault="005B3A7A">
      <w:pPr>
        <w:pStyle w:val="Textoindependiente"/>
        <w:spacing w:before="136" w:line="360" w:lineRule="auto"/>
        <w:ind w:right="115" w:firstLine="708"/>
        <w:jc w:val="both"/>
      </w:pPr>
      <w:r>
        <w:t>El Estado protege el libre e igualitario acceso a las acciones de promoción, protección y recuperación de la salud y de rehabilitación del individuo.</w:t>
      </w:r>
    </w:p>
    <w:p w:rsidR="004E36E1" w:rsidRDefault="005B3A7A">
      <w:pPr>
        <w:pStyle w:val="Textoindependiente"/>
        <w:spacing w:before="3" w:line="360" w:lineRule="auto"/>
        <w:ind w:right="115" w:firstLine="708"/>
        <w:jc w:val="both"/>
      </w:pPr>
      <w:r>
        <w:t>Le corresponderá, asimism</w:t>
      </w:r>
      <w:r>
        <w:t>o, la coordinación y control de las acciones relacionadas con la salud.</w:t>
      </w:r>
    </w:p>
    <w:p w:rsidR="004E36E1" w:rsidRDefault="005B3A7A">
      <w:pPr>
        <w:pStyle w:val="Textoindependiente"/>
        <w:spacing w:line="360" w:lineRule="auto"/>
        <w:ind w:right="115" w:firstLine="708"/>
        <w:jc w:val="both"/>
      </w:pPr>
      <w:r>
        <w:t>Es deber preferente del Estado garantizar la ejecución de las acciones de salud, sea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presten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instituciones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privadas,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condiciones que determine la ley, la que podrá establecer cotizaciones obligatorias.</w:t>
      </w:r>
    </w:p>
    <w:p w:rsidR="004E36E1" w:rsidRDefault="005B3A7A">
      <w:pPr>
        <w:pStyle w:val="Textoindependiente"/>
        <w:spacing w:line="360" w:lineRule="auto"/>
        <w:ind w:right="115" w:firstLine="708"/>
        <w:jc w:val="both"/>
      </w:pPr>
      <w:r>
        <w:t>Cada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elegir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desee</w:t>
      </w:r>
      <w:r>
        <w:rPr>
          <w:spacing w:val="-7"/>
        </w:rPr>
        <w:t xml:space="preserve"> </w:t>
      </w:r>
      <w:r>
        <w:t>acogerse, sea éste estatal o privado;”</w:t>
      </w:r>
      <w:r>
        <w:rPr>
          <w:vertAlign w:val="superscript"/>
        </w:rPr>
        <w:t>3</w:t>
      </w:r>
    </w:p>
    <w:p w:rsidR="004E36E1" w:rsidRDefault="004E36E1">
      <w:pPr>
        <w:pStyle w:val="Textoindependiente"/>
        <w:ind w:left="0"/>
        <w:rPr>
          <w:sz w:val="36"/>
        </w:rPr>
      </w:pPr>
    </w:p>
    <w:p w:rsidR="004E36E1" w:rsidRDefault="005B3A7A">
      <w:pPr>
        <w:pStyle w:val="Textoindependiente"/>
        <w:jc w:val="both"/>
      </w:pP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nivel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internacional</w:t>
      </w:r>
    </w:p>
    <w:p w:rsidR="004E36E1" w:rsidRDefault="005B3A7A">
      <w:pPr>
        <w:pStyle w:val="Textoindependiente"/>
        <w:spacing w:before="137" w:line="360" w:lineRule="auto"/>
        <w:ind w:right="115" w:firstLine="720"/>
        <w:jc w:val="both"/>
      </w:pPr>
      <w:r>
        <w:t>Según datos entregados por la Organ</w:t>
      </w:r>
      <w:r>
        <w:t>ización Mundial de la Salud el cáncer es la principal</w:t>
      </w:r>
      <w:r>
        <w:rPr>
          <w:spacing w:val="-5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muerte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millones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defunciones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2020.</w:t>
      </w:r>
      <w:r>
        <w:rPr>
          <w:spacing w:val="-5"/>
        </w:rPr>
        <w:t xml:space="preserve"> </w:t>
      </w:r>
      <w:r>
        <w:t xml:space="preserve">Las patologías más comunes se encuentran el cáncer de mama, pulmón, colon, recto y </w:t>
      </w:r>
      <w:r>
        <w:rPr>
          <w:spacing w:val="-2"/>
        </w:rPr>
        <w:t>próstata.</w:t>
      </w:r>
    </w:p>
    <w:p w:rsidR="004E36E1" w:rsidRDefault="005B3A7A">
      <w:pPr>
        <w:pStyle w:val="Textoindependiente"/>
        <w:spacing w:line="360" w:lineRule="auto"/>
        <w:ind w:right="114" w:firstLine="720"/>
        <w:jc w:val="both"/>
      </w:pPr>
      <w:r>
        <w:t>Dentro de las causas que originan la enfermedad , alrededor de un tercio de las muertes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consumo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tabaco,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elevado</w:t>
      </w:r>
      <w:r>
        <w:rPr>
          <w:spacing w:val="-15"/>
        </w:rPr>
        <w:t xml:space="preserve"> </w:t>
      </w:r>
      <w:r>
        <w:t>índice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masa</w:t>
      </w:r>
      <w:r>
        <w:rPr>
          <w:spacing w:val="-15"/>
        </w:rPr>
        <w:t xml:space="preserve"> </w:t>
      </w:r>
      <w:r>
        <w:t>corporal,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</w:t>
      </w:r>
      <w:r>
        <w:t>sumo de alcohol, a una baja ingesta de frutas y verduras y a falta de actividad física</w:t>
      </w:r>
      <w:r>
        <w:rPr>
          <w:vertAlign w:val="superscript"/>
        </w:rPr>
        <w:t>4</w:t>
      </w:r>
      <w:r>
        <w:t>. La OMS también</w:t>
      </w:r>
      <w:r>
        <w:rPr>
          <w:spacing w:val="-14"/>
        </w:rPr>
        <w:t xml:space="preserve"> </w:t>
      </w:r>
      <w:r>
        <w:t>destaca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muchos</w:t>
      </w:r>
      <w:r>
        <w:rPr>
          <w:spacing w:val="-14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pacientes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cáncer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detectan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pueden tener un tratamiento eficaz.</w:t>
      </w:r>
    </w:p>
    <w:p w:rsidR="004E36E1" w:rsidRDefault="005B3A7A">
      <w:pPr>
        <w:pStyle w:val="Textoindependiente"/>
        <w:spacing w:line="360" w:lineRule="auto"/>
        <w:ind w:right="115" w:firstLine="720"/>
        <w:jc w:val="both"/>
      </w:pPr>
      <w:r>
        <w:t>De acuerdo al fallo de la Corte Interamericana de Derechos Humanos en el caso Poblete Vilches y otros vs. Chile en sentencia de 8 de marzo de 2018, donde se declaró la</w:t>
      </w:r>
      <w:r>
        <w:rPr>
          <w:spacing w:val="53"/>
        </w:rPr>
        <w:t xml:space="preserve"> </w:t>
      </w:r>
      <w:r>
        <w:t>responsabilidad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Estado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Chile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violación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derecho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salud,</w:t>
      </w:r>
      <w:r>
        <w:rPr>
          <w:spacing w:val="54"/>
        </w:rPr>
        <w:t xml:space="preserve"> </w:t>
      </w:r>
      <w:r>
        <w:rPr>
          <w:spacing w:val="-5"/>
        </w:rPr>
        <w:t>de</w:t>
      </w:r>
    </w:p>
    <w:p w:rsidR="004E36E1" w:rsidRDefault="005B3A7A">
      <w:pPr>
        <w:pStyle w:val="Textoindependiente"/>
        <w:spacing w:before="7"/>
        <w:ind w:left="0"/>
        <w:rPr>
          <w:sz w:val="16"/>
        </w:rPr>
      </w:pPr>
      <w:r>
        <w:pict>
          <v:rect id="docshape2" o:spid="_x0000_s1027" style="position:absolute;margin-left:84.95pt;margin-top:10.7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E36E1" w:rsidRDefault="005B3A7A">
      <w:pPr>
        <w:spacing w:before="108" w:line="249" w:lineRule="auto"/>
        <w:ind w:left="119"/>
        <w:rPr>
          <w:rFonts w:ascii="Calibri" w:hAnsi="Calibri"/>
          <w:sz w:val="20"/>
        </w:rPr>
      </w:pPr>
      <w:r>
        <w:rPr>
          <w:rFonts w:ascii="Calibri" w:hAnsi="Calibri"/>
          <w:position w:val="8"/>
          <w:sz w:val="16"/>
        </w:rPr>
        <w:t xml:space="preserve">3 </w:t>
      </w:r>
      <w:r>
        <w:rPr>
          <w:rFonts w:ascii="Calibri" w:hAnsi="Calibri"/>
          <w:sz w:val="20"/>
        </w:rPr>
        <w:t>Constitución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Política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República,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línea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en: </w:t>
      </w:r>
      <w:r>
        <w:rPr>
          <w:rFonts w:ascii="Calibri" w:hAnsi="Calibri"/>
          <w:color w:val="1155CC"/>
          <w:spacing w:val="-2"/>
          <w:sz w:val="20"/>
          <w:u w:val="single" w:color="1155CC"/>
        </w:rPr>
        <w:t>https://</w:t>
      </w:r>
      <w:hyperlink r:id="rId7">
        <w:r>
          <w:rPr>
            <w:rFonts w:ascii="Calibri" w:hAnsi="Calibri"/>
            <w:color w:val="1155CC"/>
            <w:spacing w:val="-2"/>
            <w:sz w:val="20"/>
            <w:u w:val="single" w:color="1155CC"/>
          </w:rPr>
          <w:t>www.oas.org/dil/esp/constitucion_chile.pdf</w:t>
        </w:r>
      </w:hyperlink>
    </w:p>
    <w:p w:rsidR="004E36E1" w:rsidRDefault="005B3A7A">
      <w:pPr>
        <w:spacing w:line="274" w:lineRule="exact"/>
        <w:ind w:left="119"/>
        <w:rPr>
          <w:rFonts w:ascii="Calibri"/>
          <w:sz w:val="20"/>
        </w:rPr>
      </w:pPr>
      <w:r>
        <w:rPr>
          <w:rFonts w:ascii="Calibri"/>
          <w:spacing w:val="-2"/>
          <w:position w:val="8"/>
          <w:sz w:val="16"/>
        </w:rPr>
        <w:t>4</w:t>
      </w:r>
      <w:r>
        <w:rPr>
          <w:rFonts w:ascii="Calibri"/>
          <w:spacing w:val="42"/>
          <w:position w:val="8"/>
          <w:sz w:val="16"/>
        </w:rPr>
        <w:t xml:space="preserve"> </w:t>
      </w:r>
      <w:r>
        <w:rPr>
          <w:rFonts w:ascii="Calibri"/>
          <w:color w:val="1155CC"/>
          <w:spacing w:val="-2"/>
          <w:sz w:val="20"/>
          <w:u w:val="single" w:color="1155CC"/>
        </w:rPr>
        <w:t>https://</w:t>
      </w:r>
      <w:hyperlink r:id="rId8">
        <w:r>
          <w:rPr>
            <w:rFonts w:ascii="Calibri"/>
            <w:color w:val="1155CC"/>
            <w:spacing w:val="-2"/>
            <w:sz w:val="20"/>
            <w:u w:val="single" w:color="1155CC"/>
          </w:rPr>
          <w:t>www.who.int/es/news-room/fact-sheets/detail/cancer</w:t>
        </w:r>
      </w:hyperlink>
    </w:p>
    <w:p w:rsidR="004E36E1" w:rsidRDefault="004E36E1">
      <w:pPr>
        <w:spacing w:line="274" w:lineRule="exact"/>
        <w:rPr>
          <w:rFonts w:ascii="Calibri"/>
          <w:sz w:val="20"/>
        </w:rPr>
        <w:sectPr w:rsidR="004E36E1">
          <w:pgSz w:w="11900" w:h="16840"/>
          <w:pgMar w:top="1340" w:right="1580" w:bottom="280" w:left="1580" w:header="720" w:footer="720" w:gutter="0"/>
          <w:cols w:space="720"/>
        </w:sectPr>
      </w:pPr>
    </w:p>
    <w:p w:rsidR="004E36E1" w:rsidRDefault="005B3A7A">
      <w:pPr>
        <w:spacing w:before="77" w:line="360" w:lineRule="auto"/>
        <w:ind w:left="119" w:right="114"/>
        <w:jc w:val="both"/>
        <w:rPr>
          <w:i/>
          <w:sz w:val="24"/>
        </w:rPr>
      </w:pPr>
      <w:r>
        <w:rPr>
          <w:sz w:val="24"/>
        </w:rPr>
        <w:lastRenderedPageBreak/>
        <w:t xml:space="preserve">conformidad con el artículo 26 de la Convención Americana, en perjuicio del señor Vinicio Poblete Vilches. El fallo señala respecto al derecho a la salud que </w:t>
      </w:r>
      <w:r>
        <w:rPr>
          <w:i/>
          <w:color w:val="3C4245"/>
          <w:sz w:val="24"/>
        </w:rPr>
        <w:t>“tomando en cuenta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las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consideraciones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expuestas,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esta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Corte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verificó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que: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i)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el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derecho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a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la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salu</w:t>
      </w:r>
      <w:r>
        <w:rPr>
          <w:i/>
          <w:color w:val="3C4245"/>
          <w:sz w:val="24"/>
        </w:rPr>
        <w:t>d</w:t>
      </w:r>
      <w:r>
        <w:rPr>
          <w:i/>
          <w:color w:val="3C4245"/>
          <w:spacing w:val="-5"/>
          <w:sz w:val="24"/>
        </w:rPr>
        <w:t xml:space="preserve"> </w:t>
      </w:r>
      <w:r>
        <w:rPr>
          <w:i/>
          <w:color w:val="3C4245"/>
          <w:sz w:val="24"/>
        </w:rPr>
        <w:t>es un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derecho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autónomo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protegido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por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el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artículo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26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de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la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Convención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Americana;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ii)</w:t>
      </w:r>
      <w:r>
        <w:rPr>
          <w:i/>
          <w:color w:val="3C4245"/>
          <w:spacing w:val="-1"/>
          <w:sz w:val="24"/>
        </w:rPr>
        <w:t xml:space="preserve"> </w:t>
      </w:r>
      <w:r>
        <w:rPr>
          <w:i/>
          <w:color w:val="3C4245"/>
          <w:sz w:val="24"/>
        </w:rPr>
        <w:t>este derecho en situaciones de urgencia exige a los Estados velar por una adecuada regulación</w:t>
      </w:r>
      <w:r>
        <w:rPr>
          <w:i/>
          <w:color w:val="3C4245"/>
          <w:spacing w:val="-9"/>
          <w:sz w:val="24"/>
        </w:rPr>
        <w:t xml:space="preserve"> </w:t>
      </w:r>
      <w:r>
        <w:rPr>
          <w:i/>
          <w:color w:val="3C4245"/>
          <w:sz w:val="24"/>
        </w:rPr>
        <w:t>de</w:t>
      </w:r>
      <w:r>
        <w:rPr>
          <w:i/>
          <w:color w:val="3C4245"/>
          <w:spacing w:val="-9"/>
          <w:sz w:val="24"/>
        </w:rPr>
        <w:t xml:space="preserve"> </w:t>
      </w:r>
      <w:r>
        <w:rPr>
          <w:i/>
          <w:color w:val="3C4245"/>
          <w:sz w:val="24"/>
        </w:rPr>
        <w:t>los</w:t>
      </w:r>
      <w:r>
        <w:rPr>
          <w:i/>
          <w:color w:val="3C4245"/>
          <w:spacing w:val="-8"/>
          <w:sz w:val="24"/>
        </w:rPr>
        <w:t xml:space="preserve"> </w:t>
      </w:r>
      <w:r>
        <w:rPr>
          <w:i/>
          <w:color w:val="3C4245"/>
          <w:sz w:val="24"/>
        </w:rPr>
        <w:t>servicios</w:t>
      </w:r>
      <w:r>
        <w:rPr>
          <w:i/>
          <w:color w:val="3C4245"/>
          <w:spacing w:val="-8"/>
          <w:sz w:val="24"/>
        </w:rPr>
        <w:t xml:space="preserve"> </w:t>
      </w:r>
      <w:r>
        <w:rPr>
          <w:i/>
          <w:color w:val="3C4245"/>
          <w:sz w:val="24"/>
        </w:rPr>
        <w:t>de</w:t>
      </w:r>
      <w:r>
        <w:rPr>
          <w:i/>
          <w:color w:val="3C4245"/>
          <w:spacing w:val="-9"/>
          <w:sz w:val="24"/>
        </w:rPr>
        <w:t xml:space="preserve"> </w:t>
      </w:r>
      <w:r>
        <w:rPr>
          <w:i/>
          <w:color w:val="3C4245"/>
          <w:sz w:val="24"/>
        </w:rPr>
        <w:t>salud,</w:t>
      </w:r>
      <w:r>
        <w:rPr>
          <w:i/>
          <w:color w:val="3C4245"/>
          <w:spacing w:val="-8"/>
          <w:sz w:val="24"/>
        </w:rPr>
        <w:t xml:space="preserve"> </w:t>
      </w:r>
      <w:r>
        <w:rPr>
          <w:b/>
          <w:i/>
          <w:color w:val="3C4245"/>
          <w:sz w:val="24"/>
        </w:rPr>
        <w:t>brindando</w:t>
      </w:r>
      <w:r>
        <w:rPr>
          <w:b/>
          <w:i/>
          <w:color w:val="3C4245"/>
          <w:spacing w:val="-9"/>
          <w:sz w:val="24"/>
        </w:rPr>
        <w:t xml:space="preserve"> </w:t>
      </w:r>
      <w:r>
        <w:rPr>
          <w:b/>
          <w:i/>
          <w:color w:val="3C4245"/>
          <w:sz w:val="24"/>
        </w:rPr>
        <w:t>los</w:t>
      </w:r>
      <w:r>
        <w:rPr>
          <w:b/>
          <w:i/>
          <w:color w:val="3C4245"/>
          <w:spacing w:val="-8"/>
          <w:sz w:val="24"/>
        </w:rPr>
        <w:t xml:space="preserve"> </w:t>
      </w:r>
      <w:r>
        <w:rPr>
          <w:b/>
          <w:i/>
          <w:color w:val="3C4245"/>
          <w:sz w:val="24"/>
        </w:rPr>
        <w:t>servicios</w:t>
      </w:r>
      <w:r>
        <w:rPr>
          <w:b/>
          <w:i/>
          <w:color w:val="3C4245"/>
          <w:spacing w:val="-8"/>
          <w:sz w:val="24"/>
        </w:rPr>
        <w:t xml:space="preserve"> </w:t>
      </w:r>
      <w:r>
        <w:rPr>
          <w:b/>
          <w:i/>
          <w:color w:val="3C4245"/>
          <w:sz w:val="24"/>
        </w:rPr>
        <w:t>necesarios</w:t>
      </w:r>
      <w:r>
        <w:rPr>
          <w:b/>
          <w:i/>
          <w:color w:val="3C4245"/>
          <w:spacing w:val="-8"/>
          <w:sz w:val="24"/>
        </w:rPr>
        <w:t xml:space="preserve"> </w:t>
      </w:r>
      <w:r>
        <w:rPr>
          <w:b/>
          <w:i/>
          <w:color w:val="3C4245"/>
          <w:sz w:val="24"/>
        </w:rPr>
        <w:t>de</w:t>
      </w:r>
      <w:r>
        <w:rPr>
          <w:b/>
          <w:i/>
          <w:color w:val="3C4245"/>
          <w:spacing w:val="-9"/>
          <w:sz w:val="24"/>
        </w:rPr>
        <w:t xml:space="preserve"> </w:t>
      </w:r>
      <w:r>
        <w:rPr>
          <w:b/>
          <w:i/>
          <w:color w:val="3C4245"/>
          <w:sz w:val="24"/>
        </w:rPr>
        <w:t>conformidad con los elementos de disponibilidad, accesibilidad, calidad y aceptabilidad, en condiciones de igualdad y sin discriminación, pero también brindando medidas positivas respecto de grupos en situación de vulnerabilidad</w:t>
      </w:r>
      <w:r>
        <w:rPr>
          <w:i/>
          <w:color w:val="3C4245"/>
          <w:sz w:val="24"/>
        </w:rPr>
        <w:t xml:space="preserve">; iii) las personas mayores </w:t>
      </w:r>
      <w:r>
        <w:rPr>
          <w:i/>
          <w:color w:val="3C4245"/>
          <w:sz w:val="24"/>
        </w:rPr>
        <w:t>gozan de un nivel reforzado de protección respecto de servicios de salud de prevención y urgencia…”</w:t>
      </w:r>
      <w:r>
        <w:rPr>
          <w:i/>
          <w:color w:val="3C4245"/>
          <w:sz w:val="24"/>
          <w:vertAlign w:val="superscript"/>
        </w:rPr>
        <w:t>5</w:t>
      </w:r>
      <w:r>
        <w:rPr>
          <w:i/>
          <w:color w:val="3C4245"/>
          <w:sz w:val="24"/>
        </w:rPr>
        <w:t>.</w:t>
      </w:r>
    </w:p>
    <w:p w:rsidR="004E36E1" w:rsidRDefault="004E36E1">
      <w:pPr>
        <w:pStyle w:val="Textoindependiente"/>
        <w:ind w:left="0"/>
        <w:rPr>
          <w:i/>
          <w:sz w:val="36"/>
        </w:rPr>
      </w:pPr>
    </w:p>
    <w:p w:rsidR="004E36E1" w:rsidRDefault="005B3A7A">
      <w:pPr>
        <w:pStyle w:val="Textoindependiente"/>
        <w:spacing w:before="1"/>
        <w:jc w:val="both"/>
      </w:pPr>
      <w:r>
        <w:rPr>
          <w:u w:val="single"/>
        </w:rPr>
        <w:t>Alimentación,</w:t>
      </w:r>
      <w:r>
        <w:rPr>
          <w:spacing w:val="-4"/>
          <w:u w:val="single"/>
        </w:rPr>
        <w:t xml:space="preserve"> </w:t>
      </w:r>
      <w:r>
        <w:rPr>
          <w:u w:val="single"/>
        </w:rPr>
        <w:t>cáncer</w:t>
      </w:r>
      <w:r>
        <w:rPr>
          <w:spacing w:val="-3"/>
          <w:u w:val="single"/>
        </w:rPr>
        <w:t xml:space="preserve"> </w:t>
      </w:r>
      <w:r>
        <w:rPr>
          <w:u w:val="single"/>
        </w:rPr>
        <w:t>u</w:t>
      </w:r>
      <w:r>
        <w:rPr>
          <w:spacing w:val="-3"/>
          <w:u w:val="single"/>
        </w:rPr>
        <w:t xml:space="preserve"> </w:t>
      </w:r>
      <w:r>
        <w:rPr>
          <w:u w:val="single"/>
        </w:rPr>
        <w:t>otras</w:t>
      </w:r>
      <w:r>
        <w:rPr>
          <w:spacing w:val="-3"/>
          <w:u w:val="single"/>
        </w:rPr>
        <w:t xml:space="preserve"> </w:t>
      </w:r>
      <w:r>
        <w:rPr>
          <w:u w:val="single"/>
        </w:rPr>
        <w:t>enfermedades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catastróficas</w:t>
      </w:r>
    </w:p>
    <w:p w:rsidR="004E36E1" w:rsidRDefault="005B3A7A">
      <w:pPr>
        <w:pStyle w:val="Textoindependiente"/>
        <w:spacing w:before="136" w:line="360" w:lineRule="auto"/>
        <w:ind w:right="115" w:firstLine="708"/>
        <w:jc w:val="both"/>
      </w:pPr>
      <w:r>
        <w:t>Existen</w:t>
      </w:r>
      <w:r>
        <w:rPr>
          <w:spacing w:val="-15"/>
        </w:rPr>
        <w:t xml:space="preserve"> </w:t>
      </w:r>
      <w:r>
        <w:t>muchos</w:t>
      </w:r>
      <w:r>
        <w:rPr>
          <w:spacing w:val="-15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pacientes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largo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país,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zonas rurales que no tienen acceso a alimentos fortificados con vitaminas y minerales, perjudicando así aún más su salud. En este sentido, en concordancia con el principio de humanización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trato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alimentación</w:t>
      </w:r>
      <w:r>
        <w:rPr>
          <w:spacing w:val="-10"/>
        </w:rPr>
        <w:t xml:space="preserve"> </w:t>
      </w:r>
      <w:r>
        <w:t>complementaria</w:t>
      </w:r>
      <w:r>
        <w:rPr>
          <w:spacing w:val="-10"/>
        </w:rPr>
        <w:t xml:space="preserve"> </w:t>
      </w:r>
      <w:r>
        <w:t>com</w:t>
      </w:r>
      <w:r>
        <w:t>o</w:t>
      </w:r>
      <w:r>
        <w:rPr>
          <w:spacing w:val="-10"/>
        </w:rPr>
        <w:t xml:space="preserve"> </w:t>
      </w:r>
      <w:r>
        <w:t>el de adultos mayores y el de mujeres gestantes, se hace necesario complementar estos programas y consagrar a nivel constitucional que el Estado garantice los alimentos fortificados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vitaminas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minerales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cáncer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enfermeda</w:t>
      </w:r>
      <w:r>
        <w:t>des catastróficas. Es necesario que el Estado pueda estar presente en estos casos, puesto que las personas con cáncer y otras enfermedades catastróficas son personas de distintas edades y de diversos estratos sociales, afectando esta situación a personas c</w:t>
      </w:r>
      <w:r>
        <w:t xml:space="preserve">on menores </w:t>
      </w:r>
      <w:r>
        <w:rPr>
          <w:spacing w:val="-2"/>
        </w:rPr>
        <w:t>recursos.</w:t>
      </w:r>
    </w:p>
    <w:p w:rsidR="004E36E1" w:rsidRDefault="005B3A7A">
      <w:pPr>
        <w:pStyle w:val="Textoindependiente"/>
        <w:spacing w:before="2" w:line="360" w:lineRule="auto"/>
        <w:ind w:right="115" w:firstLine="708"/>
        <w:jc w:val="both"/>
      </w:pPr>
      <w:r>
        <w:t>La alimentación en los estratos más vulnerables muchas veces se basa en gran cantidad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hidratos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carbonos,</w:t>
      </w:r>
      <w:r>
        <w:rPr>
          <w:spacing w:val="-8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inflación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alimentos</w:t>
      </w:r>
      <w:r>
        <w:rPr>
          <w:spacing w:val="-8"/>
        </w:rPr>
        <w:t xml:space="preserve"> </w:t>
      </w:r>
      <w:r>
        <w:t>las personas más vulnerables tienen menor capacidad de adquisición.</w:t>
      </w:r>
    </w:p>
    <w:p w:rsidR="004E36E1" w:rsidRDefault="005B3A7A">
      <w:pPr>
        <w:pStyle w:val="Textoindependiente"/>
        <w:spacing w:before="1" w:line="360" w:lineRule="auto"/>
        <w:ind w:right="115" w:firstLine="708"/>
        <w:jc w:val="both"/>
      </w:pPr>
      <w:r>
        <w:t>De a</w:t>
      </w:r>
      <w:r>
        <w:t>cuerdo a la Encuesta Nacional de Consumo Alimentario en Chile de la Universidad de Chile</w:t>
      </w:r>
      <w:r>
        <w:rPr>
          <w:vertAlign w:val="superscript"/>
        </w:rPr>
        <w:t>6</w:t>
      </w:r>
      <w:r>
        <w:t>, dentro de los resultados más relevantes es que solo el 5% de la población come saludable, mientras que el 95% de la población restante requiere modificaciones</w:t>
      </w:r>
      <w:r>
        <w:rPr>
          <w:spacing w:val="14"/>
        </w:rPr>
        <w:t xml:space="preserve"> </w:t>
      </w:r>
      <w:r>
        <w:t>importantes.</w:t>
      </w:r>
      <w:r>
        <w:rPr>
          <w:spacing w:val="17"/>
        </w:rPr>
        <w:t xml:space="preserve"> </w:t>
      </w:r>
      <w:r>
        <w:t>Respecto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adecuaciones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requieren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observa</w:t>
      </w:r>
    </w:p>
    <w:p w:rsidR="004E36E1" w:rsidRDefault="004E36E1">
      <w:pPr>
        <w:pStyle w:val="Textoindependiente"/>
        <w:ind w:left="0"/>
        <w:rPr>
          <w:sz w:val="20"/>
        </w:rPr>
      </w:pPr>
    </w:p>
    <w:p w:rsidR="004E36E1" w:rsidRDefault="005B3A7A">
      <w:pPr>
        <w:pStyle w:val="Textoindependiente"/>
        <w:spacing w:before="10"/>
        <w:ind w:left="0"/>
        <w:rPr>
          <w:sz w:val="17"/>
        </w:rPr>
      </w:pPr>
      <w:r>
        <w:pict>
          <v:rect id="docshape3" o:spid="_x0000_s1026" style="position:absolute;margin-left:84.95pt;margin-top:11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E36E1" w:rsidRDefault="005B3A7A">
      <w:pPr>
        <w:spacing w:before="108"/>
        <w:ind w:left="119"/>
        <w:rPr>
          <w:rFonts w:ascii="Calibri" w:hAnsi="Calibri"/>
          <w:sz w:val="20"/>
        </w:rPr>
      </w:pPr>
      <w:r>
        <w:rPr>
          <w:rFonts w:ascii="Calibri" w:hAnsi="Calibri"/>
          <w:position w:val="8"/>
          <w:sz w:val="16"/>
        </w:rPr>
        <w:t>5</w:t>
      </w:r>
      <w:r>
        <w:rPr>
          <w:rFonts w:ascii="Calibri" w:hAnsi="Calibri"/>
          <w:spacing w:val="5"/>
          <w:position w:val="8"/>
          <w:sz w:val="16"/>
        </w:rPr>
        <w:t xml:space="preserve"> </w:t>
      </w:r>
      <w:r>
        <w:rPr>
          <w:rFonts w:ascii="Calibri" w:hAnsi="Calibri"/>
          <w:sz w:val="20"/>
        </w:rPr>
        <w:t>Fallo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lìnea: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color w:val="1155CC"/>
          <w:spacing w:val="-2"/>
          <w:sz w:val="20"/>
          <w:u w:val="single" w:color="1155CC"/>
        </w:rPr>
        <w:t>https://</w:t>
      </w:r>
      <w:hyperlink r:id="rId9">
        <w:r>
          <w:rPr>
            <w:rFonts w:ascii="Calibri" w:hAnsi="Calibri"/>
            <w:color w:val="1155CC"/>
            <w:spacing w:val="-2"/>
            <w:sz w:val="20"/>
            <w:u w:val="single" w:color="1155CC"/>
          </w:rPr>
          <w:t>www.corteidh.or.cr/docs/casos/articulos/seriec_349_esp.pdf</w:t>
        </w:r>
      </w:hyperlink>
    </w:p>
    <w:p w:rsidR="004E36E1" w:rsidRDefault="005B3A7A">
      <w:pPr>
        <w:spacing w:before="7"/>
        <w:ind w:left="119"/>
        <w:rPr>
          <w:rFonts w:ascii="Calibri"/>
          <w:sz w:val="20"/>
        </w:rPr>
      </w:pPr>
      <w:r>
        <w:rPr>
          <w:rFonts w:ascii="Calibri"/>
          <w:spacing w:val="-2"/>
          <w:position w:val="8"/>
          <w:sz w:val="16"/>
        </w:rPr>
        <w:t>6</w:t>
      </w:r>
      <w:r>
        <w:rPr>
          <w:rFonts w:ascii="Calibri"/>
          <w:spacing w:val="51"/>
          <w:position w:val="8"/>
          <w:sz w:val="16"/>
        </w:rPr>
        <w:t xml:space="preserve"> </w:t>
      </w:r>
      <w:r>
        <w:rPr>
          <w:rFonts w:ascii="Calibri"/>
          <w:color w:val="0563C1"/>
          <w:spacing w:val="-2"/>
          <w:sz w:val="20"/>
          <w:u w:val="single" w:color="0563C1"/>
        </w:rPr>
        <w:t>https://</w:t>
      </w:r>
      <w:hyperlink r:id="rId10">
        <w:r>
          <w:rPr>
            <w:rFonts w:ascii="Calibri"/>
            <w:color w:val="0563C1"/>
            <w:spacing w:val="-2"/>
            <w:sz w:val="20"/>
            <w:u w:val="single" w:color="0563C1"/>
          </w:rPr>
          <w:t>www.minsal.cl/sites/default/files/ENCA-INFORME_FINAL.pdf</w:t>
        </w:r>
      </w:hyperlink>
    </w:p>
    <w:p w:rsidR="004E36E1" w:rsidRDefault="004E36E1">
      <w:pPr>
        <w:rPr>
          <w:rFonts w:ascii="Calibri"/>
          <w:sz w:val="20"/>
        </w:rPr>
        <w:sectPr w:rsidR="004E36E1">
          <w:pgSz w:w="11900" w:h="16840"/>
          <w:pgMar w:top="1340" w:right="1580" w:bottom="280" w:left="1580" w:header="720" w:footer="720" w:gutter="0"/>
          <w:cols w:space="720"/>
        </w:sectPr>
      </w:pPr>
    </w:p>
    <w:p w:rsidR="004E36E1" w:rsidRDefault="005B3A7A">
      <w:pPr>
        <w:pStyle w:val="Textoindependiente"/>
        <w:spacing w:before="77" w:line="360" w:lineRule="auto"/>
        <w:ind w:right="115"/>
        <w:jc w:val="both"/>
      </w:pP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consumen</w:t>
      </w:r>
      <w:r>
        <w:rPr>
          <w:spacing w:val="-15"/>
        </w:rPr>
        <w:t xml:space="preserve"> </w:t>
      </w:r>
      <w:r>
        <w:t>exceso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energía,</w:t>
      </w:r>
      <w:r>
        <w:rPr>
          <w:spacing w:val="-15"/>
        </w:rPr>
        <w:t xml:space="preserve"> </w:t>
      </w:r>
      <w:r>
        <w:t>grasas</w:t>
      </w:r>
      <w:r>
        <w:rPr>
          <w:spacing w:val="-15"/>
        </w:rPr>
        <w:t xml:space="preserve"> </w:t>
      </w:r>
      <w:r>
        <w:t>saturadas,</w:t>
      </w:r>
      <w:r>
        <w:rPr>
          <w:spacing w:val="-15"/>
        </w:rPr>
        <w:t xml:space="preserve"> </w:t>
      </w:r>
      <w:r>
        <w:t>azúcares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sodio,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todos los grupos soc</w:t>
      </w:r>
      <w:r>
        <w:t xml:space="preserve">ioeconómicos, pero especialmente en los niveles socioeconómicos más </w:t>
      </w:r>
      <w:r>
        <w:rPr>
          <w:spacing w:val="-2"/>
        </w:rPr>
        <w:t>bajos.</w:t>
      </w:r>
    </w:p>
    <w:p w:rsidR="004E36E1" w:rsidRDefault="004E36E1">
      <w:pPr>
        <w:pStyle w:val="Textoindependiente"/>
        <w:ind w:left="0"/>
        <w:rPr>
          <w:sz w:val="36"/>
        </w:rPr>
      </w:pPr>
    </w:p>
    <w:p w:rsidR="004E36E1" w:rsidRDefault="005B3A7A">
      <w:pPr>
        <w:ind w:left="119"/>
        <w:jc w:val="both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matriz:</w:t>
      </w:r>
    </w:p>
    <w:p w:rsidR="004E36E1" w:rsidRDefault="005B3A7A">
      <w:pPr>
        <w:pStyle w:val="Textoindependiente"/>
        <w:spacing w:before="137" w:line="360" w:lineRule="auto"/>
        <w:ind w:right="115"/>
        <w:jc w:val="both"/>
      </w:pPr>
      <w:r>
        <w:t>El objetivo del proyecto de reforma constitucional es consagrar la garantía de alimentación fortificada con vitaminas y minerales para personas con cáncer, considerand</w:t>
      </w:r>
      <w:r>
        <w:t>o especialmente a los pacientes que se encuentran en etapas avanzadas.</w:t>
      </w:r>
    </w:p>
    <w:p w:rsidR="004E36E1" w:rsidRDefault="004E36E1">
      <w:pPr>
        <w:pStyle w:val="Textoindependiente"/>
        <w:ind w:left="0"/>
        <w:rPr>
          <w:sz w:val="36"/>
        </w:rPr>
      </w:pPr>
    </w:p>
    <w:p w:rsidR="004E36E1" w:rsidRDefault="005B3A7A">
      <w:pPr>
        <w:pStyle w:val="Textoindependiente"/>
        <w:jc w:val="both"/>
      </w:pPr>
      <w:r>
        <w:t>Por</w:t>
      </w:r>
      <w:r>
        <w:rPr>
          <w:spacing w:val="-5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señaladas,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firmantes</w:t>
      </w:r>
      <w:r>
        <w:rPr>
          <w:spacing w:val="-2"/>
        </w:rPr>
        <w:t xml:space="preserve"> </w:t>
      </w:r>
      <w:r>
        <w:t>proponemos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siguiente:</w:t>
      </w: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spacing w:before="3"/>
        <w:ind w:left="0"/>
        <w:rPr>
          <w:sz w:val="22"/>
        </w:rPr>
      </w:pPr>
    </w:p>
    <w:p w:rsidR="004E36E1" w:rsidRDefault="005B3A7A">
      <w:pPr>
        <w:ind w:left="491" w:right="489"/>
        <w:jc w:val="center"/>
        <w:rPr>
          <w:i/>
          <w:sz w:val="24"/>
        </w:rPr>
      </w:pPr>
      <w:r>
        <w:rPr>
          <w:i/>
          <w:sz w:val="24"/>
        </w:rPr>
        <w:t>Proyecto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ley:</w:t>
      </w:r>
    </w:p>
    <w:p w:rsidR="004E36E1" w:rsidRDefault="004E36E1">
      <w:pPr>
        <w:pStyle w:val="Textoindependiente"/>
        <w:ind w:left="0"/>
        <w:rPr>
          <w:i/>
          <w:sz w:val="26"/>
        </w:rPr>
      </w:pPr>
    </w:p>
    <w:p w:rsidR="004E36E1" w:rsidRDefault="004E36E1">
      <w:pPr>
        <w:pStyle w:val="Textoindependiente"/>
        <w:spacing w:before="9"/>
        <w:ind w:left="0"/>
        <w:rPr>
          <w:i/>
          <w:sz w:val="21"/>
        </w:rPr>
      </w:pPr>
    </w:p>
    <w:p w:rsidR="004E36E1" w:rsidRDefault="005B3A7A">
      <w:pPr>
        <w:pStyle w:val="Textoindependiente"/>
        <w:spacing w:line="362" w:lineRule="auto"/>
        <w:ind w:right="115"/>
        <w:jc w:val="both"/>
      </w:pPr>
      <w:r>
        <w:t>Artículo único: Agréguese una nueva disposición transitoria, quincuagésima cuarta, a la Constitución Política de la República:</w:t>
      </w:r>
    </w:p>
    <w:p w:rsidR="004E36E1" w:rsidRDefault="005B3A7A">
      <w:pPr>
        <w:pStyle w:val="Textoindependiente"/>
        <w:spacing w:line="360" w:lineRule="auto"/>
        <w:ind w:right="115"/>
        <w:jc w:val="both"/>
      </w:pPr>
      <w:r>
        <w:t>“A efectos de lo dispuesto en los primeros tres incisos del numeral 9° del artículo 19, se entenderá incluido el deber de garantizar la alimentación fortificada con vitaminas y minerales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cáncer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catastróficas,</w:t>
      </w:r>
      <w:r>
        <w:rPr>
          <w:spacing w:val="-2"/>
        </w:rPr>
        <w:t xml:space="preserve"> </w:t>
      </w:r>
      <w:r>
        <w:t>cons</w:t>
      </w:r>
      <w:r>
        <w:t>iderando especialmente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avanzadas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enfermedad.”.</w:t>
      </w: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ind w:left="0"/>
        <w:rPr>
          <w:sz w:val="26"/>
        </w:rPr>
      </w:pPr>
    </w:p>
    <w:p w:rsidR="004E36E1" w:rsidRDefault="004E36E1">
      <w:pPr>
        <w:pStyle w:val="Textoindependiente"/>
        <w:spacing w:before="7"/>
        <w:ind w:left="0"/>
        <w:rPr>
          <w:sz w:val="23"/>
        </w:rPr>
      </w:pPr>
    </w:p>
    <w:p w:rsidR="004E36E1" w:rsidRDefault="005B3A7A">
      <w:pPr>
        <w:spacing w:before="1" w:line="360" w:lineRule="auto"/>
        <w:ind w:left="3067" w:right="2659" w:firstLine="533"/>
        <w:rPr>
          <w:b/>
          <w:sz w:val="24"/>
        </w:rPr>
      </w:pPr>
      <w:r>
        <w:rPr>
          <w:b/>
          <w:sz w:val="24"/>
        </w:rPr>
        <w:t>Emilia Nuyado Diputada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4E36E1">
      <w:pgSz w:w="1190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6E1"/>
    <w:rsid w:val="004E36E1"/>
    <w:rsid w:val="005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s/news-room/fact-sheets/detail/canc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as.org/dil/esp/constitucion_chil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n.cl/leychile/navegar?idNorma=1149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cn.cl/leychile/navegar?idNorma=1149004" TargetMode="External"/><Relationship Id="rId10" Type="http://schemas.openxmlformats.org/officeDocument/2006/relationships/hyperlink" Target="http://www.minsal.cl/sites/default/files/ENCA-INFORME_FINAL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rteidh.or.cr/docs/casos/articulos/seriec_349_es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DE LEY PARA GARANTIZAR  ALIMENTACIÓN A LAS PERSONAS CON CÁNCER (1).docx</dc:title>
  <dc:creator>Guillermo Diaz Vallejos</dc:creator>
  <cp:lastModifiedBy>Guillermo Diaz Vallejos</cp:lastModifiedBy>
  <cp:revision>1</cp:revision>
  <dcterms:created xsi:type="dcterms:W3CDTF">2023-03-29T12:55:00Z</dcterms:created>
  <dcterms:modified xsi:type="dcterms:W3CDTF">2023-03-29T14:26:00Z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2023-03-29T00:00:00Z</vt:filetime>
  </property>
  <property fmtid="{D5CDD505-2E9C-101B-9397-08002B2CF9AE}" pid="5" name="Producer">
    <vt:lpwstr>macOS Versión 10.15.7 (Compilación 19H2) Quartz PDFContext</vt:lpwstr>
  </property>
</Properties>
</file>