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DA9" w:rsidRDefault="00C164EB">
      <w:pPr>
        <w:pStyle w:val="Ttulo1"/>
        <w:spacing w:before="77" w:line="276" w:lineRule="auto"/>
        <w:ind w:right="117"/>
        <w:jc w:val="both"/>
      </w:pPr>
      <w:r>
        <w:t xml:space="preserve">PROYECTO DE LEY QUE MODIFICA LA LEY N° 18059 QUE ASIGNA </w:t>
      </w:r>
      <w:r>
        <w:t>AL MINISTERIO DE TRANSPORTES Y TELECOMUNICACIONES EL CARÁCTER DE ORGANISMO RECTOR NACIONAL DE TRÁNSITO Y LE SEÑALA ATRIBUCIONES, EN EL SENTIDO QUE INDICA.</w:t>
      </w:r>
    </w:p>
    <w:p w:rsidR="007C2DA9" w:rsidRDefault="007C2DA9">
      <w:pPr>
        <w:pStyle w:val="Textoindependiente"/>
        <w:rPr>
          <w:b/>
          <w:sz w:val="26"/>
        </w:rPr>
      </w:pPr>
    </w:p>
    <w:p w:rsidR="007C2DA9" w:rsidRDefault="007C2DA9">
      <w:pPr>
        <w:pStyle w:val="Textoindependiente"/>
        <w:spacing w:before="4"/>
        <w:rPr>
          <w:b/>
          <w:sz w:val="36"/>
        </w:rPr>
      </w:pPr>
    </w:p>
    <w:p w:rsidR="007C2DA9" w:rsidRDefault="00C164EB">
      <w:pPr>
        <w:ind w:left="101"/>
        <w:rPr>
          <w:b/>
          <w:sz w:val="24"/>
        </w:rPr>
      </w:pPr>
      <w:r>
        <w:rPr>
          <w:b/>
          <w:spacing w:val="-2"/>
          <w:sz w:val="24"/>
          <w:u w:val="single"/>
        </w:rPr>
        <w:t>Fundamentos</w:t>
      </w:r>
    </w:p>
    <w:p w:rsidR="007C2DA9" w:rsidRDefault="007C2DA9">
      <w:pPr>
        <w:pStyle w:val="Textoindependiente"/>
        <w:rPr>
          <w:b/>
          <w:sz w:val="21"/>
        </w:rPr>
      </w:pPr>
    </w:p>
    <w:p w:rsidR="007C2DA9" w:rsidRDefault="00C164EB">
      <w:pPr>
        <w:pStyle w:val="Textoindependiente"/>
        <w:spacing w:line="276" w:lineRule="auto"/>
        <w:ind w:left="101" w:right="115"/>
        <w:jc w:val="both"/>
      </w:pPr>
      <w:r>
        <w:t>1.-</w:t>
      </w:r>
      <w:r>
        <w:rPr>
          <w:spacing w:val="80"/>
        </w:rPr>
        <w:t xml:space="preserve">  </w:t>
      </w:r>
      <w:r>
        <w:t>La</w:t>
      </w:r>
      <w:r>
        <w:rPr>
          <w:spacing w:val="40"/>
        </w:rPr>
        <w:t xml:space="preserve"> </w:t>
      </w:r>
      <w:r>
        <w:t>longitud de nuestro país hace que su geografía sea diversa y, en</w:t>
      </w:r>
      <w:r>
        <w:rPr>
          <w:spacing w:val="40"/>
        </w:rPr>
        <w:t xml:space="preserve"> </w:t>
      </w:r>
      <w:r>
        <w:t>razón de esto</w:t>
      </w:r>
      <w:r>
        <w:t>, el desafío por conectar vialmente a las comunidades debe representar un esfuerzo permanente. Más allá de los avances experimentados durante las últimas décadas en materia de infraestructura vial y en calidad de los medios de transporte que se emplean, si</w:t>
      </w:r>
      <w:r>
        <w:t>empre es posible transitar hacia mejores condiciones en esta materia.</w:t>
      </w:r>
    </w:p>
    <w:p w:rsidR="007C2DA9" w:rsidRDefault="00C164EB">
      <w:pPr>
        <w:pStyle w:val="Textoindependiente"/>
        <w:spacing w:before="200" w:line="276" w:lineRule="auto"/>
        <w:ind w:left="101" w:right="120"/>
        <w:jc w:val="both"/>
      </w:pPr>
      <w:r>
        <w:t>2.-</w:t>
      </w:r>
      <w:r>
        <w:rPr>
          <w:spacing w:val="80"/>
          <w:w w:val="150"/>
        </w:rPr>
        <w:t xml:space="preserve"> </w:t>
      </w:r>
      <w:r>
        <w:t>Es por ello que las actuales políticas públicas, especialmente aquellas referidas específicamente al transporte público de pasajeros deben ser regularmente sujetas a revisión por par</w:t>
      </w:r>
      <w:r>
        <w:t>te del legislador y otras autoridades involucradas, a fin de mejorar su eficiencia y sentido.</w:t>
      </w:r>
    </w:p>
    <w:p w:rsidR="007C2DA9" w:rsidRDefault="00C164EB">
      <w:pPr>
        <w:pStyle w:val="Textoindependiente"/>
        <w:spacing w:before="200" w:line="276" w:lineRule="auto"/>
        <w:ind w:left="101" w:right="120"/>
        <w:jc w:val="both"/>
      </w:pPr>
      <w:r>
        <w:t>3.-</w:t>
      </w:r>
      <w:r>
        <w:rPr>
          <w:spacing w:val="80"/>
        </w:rPr>
        <w:t xml:space="preserve">  </w:t>
      </w:r>
      <w:r>
        <w:t>Lo anterior cobra sentido si consideramos que nuestro país aún cuenta con vastos sectores rurales donde los medios de transporte público que se emplean no op</w:t>
      </w:r>
      <w:r>
        <w:t>eran con la regularidad o frecuencia que se requiere, en comparación a las zonas altamente urbanizadas.</w:t>
      </w:r>
    </w:p>
    <w:p w:rsidR="007C2DA9" w:rsidRDefault="00C164EB">
      <w:pPr>
        <w:pStyle w:val="Textoindependiente"/>
        <w:spacing w:before="200" w:line="276" w:lineRule="auto"/>
        <w:ind w:left="101" w:right="119"/>
        <w:jc w:val="both"/>
      </w:pPr>
      <w:r>
        <w:t>4.- Según datos del Ministerio de Agricultura, actualmente el 76%de las comunas en Chile son</w:t>
      </w:r>
      <w:r>
        <w:rPr>
          <w:spacing w:val="-4"/>
        </w:rPr>
        <w:t xml:space="preserve"> </w:t>
      </w:r>
      <w:r>
        <w:t>tipificadas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comunas</w:t>
      </w:r>
      <w:r>
        <w:rPr>
          <w:spacing w:val="-4"/>
        </w:rPr>
        <w:t xml:space="preserve"> </w:t>
      </w:r>
      <w:r>
        <w:t>rurales,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decir,</w:t>
      </w:r>
      <w:r>
        <w:rPr>
          <w:spacing w:val="-4"/>
        </w:rPr>
        <w:t xml:space="preserve"> </w:t>
      </w:r>
      <w:r>
        <w:t>alrededor</w:t>
      </w:r>
      <w:r>
        <w:rPr>
          <w:spacing w:val="-4"/>
        </w:rPr>
        <w:t xml:space="preserve"> </w:t>
      </w:r>
      <w:r>
        <w:t>de 4,</w:t>
      </w:r>
      <w:r>
        <w:t>5 millones de personas viven en el campo. En este sentido, una gran</w:t>
      </w:r>
      <w:r>
        <w:rPr>
          <w:spacing w:val="40"/>
        </w:rPr>
        <w:t xml:space="preserve"> </w:t>
      </w:r>
      <w:r>
        <w:t>cantidad de habitantes del país viven a diario las implicancias de no tener acceso a transporte público con la calidad y la regularidad de otros sectores más urbanizados.</w:t>
      </w:r>
    </w:p>
    <w:p w:rsidR="007C2DA9" w:rsidRDefault="00C164EB">
      <w:pPr>
        <w:pStyle w:val="Textoindependiente"/>
        <w:spacing w:before="200" w:line="276" w:lineRule="auto"/>
        <w:ind w:left="101" w:right="115"/>
        <w:jc w:val="both"/>
      </w:pPr>
      <w:r>
        <w:t>5.- Como antecede</w:t>
      </w:r>
      <w:r>
        <w:t>nte a nivel legal se encuentra la ley 20.378, que crea un Subsidio Nacional para Transporte Público Remunerado de Pasajeros, promulgada el 05 de septiembre de 2009. Esta ley tiene como espìritu</w:t>
      </w:r>
      <w:r>
        <w:rPr>
          <w:spacing w:val="40"/>
        </w:rPr>
        <w:t xml:space="preserve"> </w:t>
      </w:r>
      <w:r>
        <w:t>fortalecer el transporte público en las regiones del país, pon</w:t>
      </w:r>
      <w:r>
        <w:t>iendo en consideración especial a los sectores que presentan problemas de conectividad, especialmente aquellos con dificultades de acceso y alejados geográficamente. Para cumplir estos objetivos la ley 20.378 establece</w:t>
      </w:r>
      <w:r>
        <w:rPr>
          <w:spacing w:val="40"/>
        </w:rPr>
        <w:t xml:space="preserve"> </w:t>
      </w:r>
      <w:r>
        <w:t>subsidios para impulsar mejoras en la</w:t>
      </w:r>
      <w:r>
        <w:t xml:space="preserve">s condiciones de las prestaciones de servicio de transporte. En ese orden de ideas, con esta propuesta legislativa que aquí presentamos se incluye la </w:t>
      </w:r>
      <w:r>
        <w:rPr>
          <w:b/>
        </w:rPr>
        <w:t xml:space="preserve">equidad territorial </w:t>
      </w:r>
      <w:r>
        <w:t>como un elemento fundamental para la justificación de este subsidio.</w:t>
      </w:r>
    </w:p>
    <w:p w:rsidR="007C2DA9" w:rsidRDefault="00C164EB">
      <w:pPr>
        <w:pStyle w:val="Textoindependiente"/>
        <w:spacing w:before="200" w:line="276" w:lineRule="auto"/>
        <w:ind w:left="101" w:right="111"/>
      </w:pPr>
      <w:r>
        <w:t>6.</w:t>
      </w:r>
      <w:r>
        <w:rPr>
          <w:spacing w:val="4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equidad</w:t>
      </w:r>
      <w:r>
        <w:rPr>
          <w:spacing w:val="27"/>
        </w:rPr>
        <w:t xml:space="preserve"> </w:t>
      </w:r>
      <w:r>
        <w:t>ter</w:t>
      </w:r>
      <w:r>
        <w:t>ritorial,</w:t>
      </w:r>
      <w:r>
        <w:rPr>
          <w:spacing w:val="27"/>
        </w:rPr>
        <w:t xml:space="preserve"> </w:t>
      </w:r>
      <w:r>
        <w:t>ya</w:t>
      </w:r>
      <w:r>
        <w:rPr>
          <w:spacing w:val="27"/>
        </w:rPr>
        <w:t xml:space="preserve"> </w:t>
      </w:r>
      <w:r>
        <w:t>fue</w:t>
      </w:r>
      <w:r>
        <w:rPr>
          <w:spacing w:val="27"/>
        </w:rPr>
        <w:t xml:space="preserve"> </w:t>
      </w:r>
      <w:r>
        <w:t>incorporada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ordenamiento</w:t>
      </w:r>
      <w:r>
        <w:rPr>
          <w:spacing w:val="27"/>
        </w:rPr>
        <w:t xml:space="preserve"> </w:t>
      </w:r>
      <w:r>
        <w:t>jurídico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la creación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empresa</w:t>
      </w:r>
      <w:r>
        <w:rPr>
          <w:spacing w:val="15"/>
        </w:rPr>
        <w:t xml:space="preserve"> </w:t>
      </w:r>
      <w:r>
        <w:t>estatal</w:t>
      </w:r>
      <w:r>
        <w:rPr>
          <w:spacing w:val="15"/>
        </w:rPr>
        <w:t xml:space="preserve"> </w:t>
      </w:r>
      <w:r>
        <w:t>“Fondo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Infraestructura</w:t>
      </w:r>
      <w:r>
        <w:rPr>
          <w:spacing w:val="15"/>
        </w:rPr>
        <w:t xml:space="preserve"> </w:t>
      </w:r>
      <w:r>
        <w:t xml:space="preserve">para el desarrollo” </w:t>
      </w:r>
      <w:r>
        <w:rPr>
          <w:spacing w:val="-5"/>
        </w:rPr>
        <w:t>en</w:t>
      </w:r>
    </w:p>
    <w:p w:rsidR="007C2DA9" w:rsidRDefault="007C2DA9">
      <w:pPr>
        <w:spacing w:line="276" w:lineRule="auto"/>
        <w:sectPr w:rsidR="007C2DA9">
          <w:type w:val="continuous"/>
          <w:pgSz w:w="11920" w:h="16840"/>
          <w:pgMar w:top="1340" w:right="1600" w:bottom="280" w:left="1600" w:header="720" w:footer="720" w:gutter="0"/>
          <w:cols w:space="720"/>
        </w:sectPr>
      </w:pPr>
    </w:p>
    <w:p w:rsidR="007C2DA9" w:rsidRDefault="00C164EB">
      <w:pPr>
        <w:pStyle w:val="Textoindependiente"/>
        <w:spacing w:before="77" w:line="276" w:lineRule="auto"/>
        <w:ind w:left="101" w:right="114"/>
        <w:jc w:val="both"/>
      </w:pPr>
      <w:r>
        <w:lastRenderedPageBreak/>
        <w:t xml:space="preserve">el artículo 23 Nº 3 de la ley 21.082 establece que para la evaluación de los proyectos de infraestructura a financiar se deberán considerar los criterios de equidad territorial y no solamente analizar la rentabilidad económica los </w:t>
      </w:r>
      <w:r>
        <w:rPr>
          <w:spacing w:val="-2"/>
        </w:rPr>
        <w:t>proyectos.</w:t>
      </w:r>
    </w:p>
    <w:p w:rsidR="007C2DA9" w:rsidRDefault="00C164EB">
      <w:pPr>
        <w:pStyle w:val="Textoindependiente"/>
        <w:spacing w:before="200" w:line="276" w:lineRule="auto"/>
        <w:ind w:left="101" w:right="115"/>
        <w:jc w:val="both"/>
      </w:pPr>
      <w:r>
        <w:t>6.-</w:t>
      </w:r>
      <w:r>
        <w:rPr>
          <w:spacing w:val="80"/>
        </w:rPr>
        <w:t xml:space="preserve">  </w:t>
      </w:r>
      <w:r>
        <w:t>La</w:t>
      </w:r>
      <w:r>
        <w:rPr>
          <w:spacing w:val="40"/>
        </w:rPr>
        <w:t xml:space="preserve"> </w:t>
      </w:r>
      <w:r>
        <w:t>presen</w:t>
      </w:r>
      <w:r>
        <w:t>te</w:t>
      </w:r>
      <w:r>
        <w:rPr>
          <w:spacing w:val="40"/>
        </w:rPr>
        <w:t xml:space="preserve"> </w:t>
      </w:r>
      <w:r>
        <w:t>iniciativa,</w:t>
      </w:r>
      <w:r>
        <w:rPr>
          <w:spacing w:val="40"/>
        </w:rPr>
        <w:t xml:space="preserve"> </w:t>
      </w:r>
      <w:r>
        <w:t>entonces,</w:t>
      </w:r>
      <w:r>
        <w:rPr>
          <w:spacing w:val="40"/>
        </w:rPr>
        <w:t xml:space="preserve"> </w:t>
      </w:r>
      <w:r>
        <w:t>tiene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objeto</w:t>
      </w:r>
      <w:r>
        <w:rPr>
          <w:spacing w:val="40"/>
        </w:rPr>
        <w:t xml:space="preserve"> </w:t>
      </w:r>
      <w:r>
        <w:t>poner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foco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 labor que desempeña el Ministerio de Transportes y Telecomunicaciones, a fin de promover una labor más consciente de esta institución, en tanto</w:t>
      </w:r>
      <w:r>
        <w:rPr>
          <w:spacing w:val="-3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rector del tránsito a nivel nacional.</w:t>
      </w:r>
    </w:p>
    <w:p w:rsidR="007C2DA9" w:rsidRDefault="00C164EB">
      <w:pPr>
        <w:pStyle w:val="Textoindependiente"/>
        <w:spacing w:before="200" w:line="276" w:lineRule="auto"/>
        <w:ind w:left="101" w:right="113"/>
        <w:jc w:val="both"/>
      </w:pPr>
      <w:r>
        <w:rPr>
          <w:b/>
          <w:u w:val="single"/>
        </w:rPr>
        <w:t>Ideas Matrices</w:t>
      </w:r>
      <w:r>
        <w:t>: La presente iniciativa tiene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unificar</w:t>
      </w:r>
      <w:r>
        <w:rPr>
          <w:spacing w:val="-3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criterio específico y orientador aquellas atribuciones que el Ministerio de Transporte y Telecomunicaciones posee en tanto organismo rector nacional del tránsito. Todo ello con el o</w:t>
      </w:r>
      <w:r>
        <w:t>bjetivo de abrir el debate para la creación e implementación de nuevas y mejores políticas públicas que aseguren y garanticen de mejor manera el transporte público de pasajeros, con especial énfasis en las zonas rurales, equiparándolas en importancia con a</w:t>
      </w:r>
      <w:r>
        <w:t>quellas zonas altamente urbanizadas. Además busca establecer el criterio de equidad territorial en materia de subsidios al transporte público remunerado de pasajeros.</w:t>
      </w:r>
    </w:p>
    <w:p w:rsidR="007C2DA9" w:rsidRDefault="007C2DA9">
      <w:pPr>
        <w:pStyle w:val="Textoindependiente"/>
        <w:rPr>
          <w:sz w:val="26"/>
        </w:rPr>
      </w:pPr>
    </w:p>
    <w:p w:rsidR="007C2DA9" w:rsidRDefault="007C2DA9">
      <w:pPr>
        <w:pStyle w:val="Textoindependiente"/>
        <w:spacing w:before="4"/>
        <w:rPr>
          <w:sz w:val="36"/>
        </w:rPr>
      </w:pPr>
    </w:p>
    <w:p w:rsidR="007C2DA9" w:rsidRDefault="00C164EB">
      <w:pPr>
        <w:pStyle w:val="Textoindependiente"/>
        <w:spacing w:line="276" w:lineRule="auto"/>
        <w:ind w:left="101" w:right="124"/>
        <w:jc w:val="both"/>
      </w:pPr>
      <w:r>
        <w:t>En</w:t>
      </w:r>
      <w:r>
        <w:rPr>
          <w:spacing w:val="39"/>
        </w:rPr>
        <w:t xml:space="preserve"> </w:t>
      </w:r>
      <w:r>
        <w:t>virtud de lo anteriormente expuesto es que quienes suscribimos, venimos en presentar</w:t>
      </w:r>
      <w:r>
        <w:t xml:space="preserve"> el siguiente:</w:t>
      </w:r>
    </w:p>
    <w:p w:rsidR="007C2DA9" w:rsidRDefault="007C2DA9">
      <w:pPr>
        <w:pStyle w:val="Textoindependiente"/>
        <w:rPr>
          <w:sz w:val="26"/>
        </w:rPr>
      </w:pPr>
    </w:p>
    <w:p w:rsidR="007C2DA9" w:rsidRDefault="007C2DA9">
      <w:pPr>
        <w:pStyle w:val="Textoindependiente"/>
        <w:rPr>
          <w:sz w:val="26"/>
        </w:rPr>
      </w:pPr>
    </w:p>
    <w:p w:rsidR="007C2DA9" w:rsidRDefault="007C2DA9">
      <w:pPr>
        <w:pStyle w:val="Textoindependiente"/>
        <w:rPr>
          <w:sz w:val="26"/>
        </w:rPr>
      </w:pPr>
    </w:p>
    <w:p w:rsidR="007C2DA9" w:rsidRDefault="007C2DA9">
      <w:pPr>
        <w:pStyle w:val="Textoindependiente"/>
        <w:rPr>
          <w:sz w:val="26"/>
        </w:rPr>
      </w:pPr>
    </w:p>
    <w:p w:rsidR="007C2DA9" w:rsidRDefault="007C2DA9">
      <w:pPr>
        <w:pStyle w:val="Textoindependiente"/>
        <w:rPr>
          <w:sz w:val="26"/>
        </w:rPr>
      </w:pPr>
    </w:p>
    <w:p w:rsidR="007C2DA9" w:rsidRDefault="007C2DA9">
      <w:pPr>
        <w:pStyle w:val="Textoindependiente"/>
        <w:spacing w:before="4"/>
        <w:rPr>
          <w:sz w:val="22"/>
        </w:rPr>
      </w:pPr>
    </w:p>
    <w:p w:rsidR="007C2DA9" w:rsidRDefault="00C164EB">
      <w:pPr>
        <w:ind w:left="3454" w:right="3466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Proyecto de </w:t>
      </w:r>
      <w:r>
        <w:rPr>
          <w:b/>
          <w:spacing w:val="-5"/>
          <w:sz w:val="24"/>
          <w:u w:val="single"/>
        </w:rPr>
        <w:t>ley</w:t>
      </w:r>
    </w:p>
    <w:p w:rsidR="007C2DA9" w:rsidRDefault="007C2DA9">
      <w:pPr>
        <w:pStyle w:val="Textoindependiente"/>
        <w:rPr>
          <w:b/>
          <w:sz w:val="26"/>
        </w:rPr>
      </w:pPr>
    </w:p>
    <w:p w:rsidR="007C2DA9" w:rsidRDefault="007C2DA9">
      <w:pPr>
        <w:pStyle w:val="Textoindependiente"/>
        <w:rPr>
          <w:b/>
          <w:sz w:val="26"/>
        </w:rPr>
      </w:pPr>
    </w:p>
    <w:p w:rsidR="007C2DA9" w:rsidRDefault="00C164EB">
      <w:pPr>
        <w:pStyle w:val="Textoindependiente"/>
        <w:spacing w:before="161" w:line="276" w:lineRule="auto"/>
        <w:ind w:left="101" w:right="116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Artículo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1°.-</w:t>
      </w:r>
      <w:r>
        <w:rPr>
          <w:rFonts w:ascii="Courier New" w:hAnsi="Courier New"/>
          <w:b/>
          <w:spacing w:val="80"/>
        </w:rPr>
        <w:t xml:space="preserve"> </w:t>
      </w:r>
      <w:r>
        <w:rPr>
          <w:rFonts w:ascii="Courier New" w:hAnsi="Courier New"/>
        </w:rPr>
        <w:t>Agréguese el siguiente artículo 1 bis a la Ley N° 18.059, que asigna al Ministerio de Transportes y Telecomunicaciones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carácter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organismo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rector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nacional de tránsito y le señala atribuciones, del siguiente tenor:</w:t>
      </w:r>
    </w:p>
    <w:p w:rsidR="007C2DA9" w:rsidRDefault="00C164EB">
      <w:pPr>
        <w:pStyle w:val="Textoindependiente"/>
        <w:spacing w:before="200" w:line="276" w:lineRule="auto"/>
        <w:ind w:left="101" w:right="114"/>
        <w:jc w:val="both"/>
        <w:rPr>
          <w:rFonts w:ascii="Courier New" w:hAnsi="Courier New"/>
        </w:rPr>
      </w:pPr>
      <w:r>
        <w:rPr>
          <w:rFonts w:ascii="Courier New" w:hAnsi="Courier New"/>
        </w:rPr>
        <w:t>“Artículo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1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bis.-</w:t>
      </w:r>
      <w:r>
        <w:rPr>
          <w:rFonts w:ascii="Courier New" w:hAnsi="Courier New"/>
          <w:spacing w:val="80"/>
          <w:w w:val="150"/>
        </w:rPr>
        <w:t xml:space="preserve"> </w:t>
      </w:r>
      <w:r>
        <w:rPr>
          <w:rFonts w:ascii="Courier New" w:hAnsi="Courier New"/>
        </w:rPr>
        <w:t>Como consecuencia de lo señalado en el artículo anterior, se garantizará que todas las personas puedan acceder de manera oportuna, equitativa y eficiente al servicio de t</w:t>
      </w:r>
      <w:r>
        <w:rPr>
          <w:rFonts w:ascii="Courier New" w:hAnsi="Courier New"/>
        </w:rPr>
        <w:t xml:space="preserve">ransporte público de pasajeros, en zonas urbanas y rurales, especialmente en aquellas de difícil </w:t>
      </w:r>
      <w:r>
        <w:rPr>
          <w:rFonts w:ascii="Courier New" w:hAnsi="Courier New"/>
          <w:spacing w:val="-2"/>
        </w:rPr>
        <w:t>acceso.”.</w:t>
      </w:r>
    </w:p>
    <w:p w:rsidR="007C2DA9" w:rsidRDefault="007C2DA9">
      <w:pPr>
        <w:spacing w:line="276" w:lineRule="auto"/>
        <w:jc w:val="both"/>
        <w:rPr>
          <w:rFonts w:ascii="Courier New" w:hAnsi="Courier New"/>
        </w:rPr>
        <w:sectPr w:rsidR="007C2DA9">
          <w:pgSz w:w="11920" w:h="16840"/>
          <w:pgMar w:top="1340" w:right="1600" w:bottom="280" w:left="1600" w:header="720" w:footer="720" w:gutter="0"/>
          <w:cols w:space="720"/>
        </w:sectPr>
      </w:pPr>
    </w:p>
    <w:p w:rsidR="007C2DA9" w:rsidRDefault="00C164EB">
      <w:pPr>
        <w:pStyle w:val="Textoindependiente"/>
        <w:spacing w:before="77" w:line="276" w:lineRule="auto"/>
        <w:ind w:left="101" w:right="113"/>
        <w:jc w:val="both"/>
        <w:rPr>
          <w:rFonts w:ascii="Courier New" w:hAnsi="Courier New"/>
        </w:rPr>
      </w:pPr>
      <w:r>
        <w:rPr>
          <w:rFonts w:ascii="Courier New" w:hAnsi="Courier New"/>
        </w:rPr>
        <w:lastRenderedPageBreak/>
        <w:t>Artículo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2°.-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Reemplácese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en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inciso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primero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del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artículo 5° de la Ley N° 20378, la expresión “y,o” que sigue a la expresión “impacto” y precede a la expresión “rentabilidad social” por lo siguiente: “, equidad territorial y”.</w:t>
      </w:r>
    </w:p>
    <w:sectPr w:rsidR="007C2DA9">
      <w:pgSz w:w="11920" w:h="16840"/>
      <w:pgMar w:top="13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DA9"/>
    <w:rsid w:val="007C2DA9"/>
    <w:rsid w:val="00C1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76E19-42FD-4B30-9F24-1A0F453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Emilia Nuyado</dc:title>
  <dc:creator>Guillermo Diaz Vallejos</dc:creator>
  <cp:lastModifiedBy>Guillermo Diaz Vallejos</cp:lastModifiedBy>
  <cp:revision>1</cp:revision>
  <dcterms:created xsi:type="dcterms:W3CDTF">2023-03-29T12:54:00Z</dcterms:created>
  <dcterms:modified xsi:type="dcterms:W3CDTF">2023-04-04T16:13:00Z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m113 Google Docs Renderer</vt:lpwstr>
  </property>
</Properties>
</file>