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CF2" w:rsidRDefault="00331782">
      <w:pPr>
        <w:pStyle w:val="Textoindependiente"/>
        <w:ind w:left="130"/>
        <w:rPr>
          <w:sz w:val="20"/>
        </w:rPr>
      </w:pPr>
      <w:r>
        <w:rPr>
          <w:noProof/>
          <w:sz w:val="20"/>
        </w:rPr>
        <w:drawing>
          <wp:inline distT="0" distB="0" distL="0" distR="0">
            <wp:extent cx="1299150" cy="10715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99150" cy="1071562"/>
                    </a:xfrm>
                    <a:prstGeom prst="rect">
                      <a:avLst/>
                    </a:prstGeom>
                  </pic:spPr>
                </pic:pic>
              </a:graphicData>
            </a:graphic>
          </wp:inline>
        </w:drawing>
      </w:r>
    </w:p>
    <w:p w:rsidR="00652CF2" w:rsidRDefault="00652CF2">
      <w:pPr>
        <w:pStyle w:val="Textoindependiente"/>
        <w:rPr>
          <w:sz w:val="20"/>
        </w:rPr>
      </w:pPr>
    </w:p>
    <w:p w:rsidR="00652CF2" w:rsidRDefault="00652CF2">
      <w:pPr>
        <w:pStyle w:val="Textoindependiente"/>
        <w:rPr>
          <w:sz w:val="20"/>
        </w:rPr>
      </w:pPr>
    </w:p>
    <w:p w:rsidR="00652CF2" w:rsidRDefault="00652CF2">
      <w:pPr>
        <w:pStyle w:val="Textoindependiente"/>
        <w:spacing w:before="8"/>
        <w:rPr>
          <w:sz w:val="20"/>
        </w:rPr>
      </w:pPr>
    </w:p>
    <w:p w:rsidR="00652CF2" w:rsidRDefault="00331782">
      <w:pPr>
        <w:pStyle w:val="Ttulo1"/>
        <w:spacing w:before="91" w:line="276" w:lineRule="auto"/>
        <w:ind w:right="121" w:firstLine="0"/>
        <w:jc w:val="both"/>
      </w:pPr>
      <w:r>
        <w:t>MODIFICA DISPOSICIONES QUE INDICA DEL CÓDIGO</w:t>
      </w:r>
      <w:r>
        <w:rPr>
          <w:spacing w:val="-5"/>
        </w:rPr>
        <w:t xml:space="preserve"> </w:t>
      </w:r>
      <w:r>
        <w:t>ORGÁNICO</w:t>
      </w:r>
      <w:r>
        <w:rPr>
          <w:spacing w:val="-5"/>
        </w:rPr>
        <w:t xml:space="preserve"> </w:t>
      </w:r>
      <w:r>
        <w:t>DE</w:t>
      </w:r>
      <w:r>
        <w:rPr>
          <w:spacing w:val="-5"/>
        </w:rPr>
        <w:t xml:space="preserve"> </w:t>
      </w:r>
      <w:r>
        <w:t>TRIBUNALES (COT) Y DE LA LEY GENERAL</w:t>
      </w:r>
      <w:r>
        <w:rPr>
          <w:spacing w:val="-4"/>
        </w:rPr>
        <w:t xml:space="preserve"> </w:t>
      </w:r>
      <w:r>
        <w:t>DE</w:t>
      </w:r>
      <w:r>
        <w:rPr>
          <w:spacing w:val="-4"/>
        </w:rPr>
        <w:t xml:space="preserve"> </w:t>
      </w:r>
      <w:r>
        <w:t>URBANISMO</w:t>
      </w:r>
      <w:r>
        <w:rPr>
          <w:spacing w:val="-4"/>
        </w:rPr>
        <w:t xml:space="preserve"> </w:t>
      </w:r>
      <w:r>
        <w:t>Y</w:t>
      </w:r>
      <w:r>
        <w:rPr>
          <w:spacing w:val="-4"/>
        </w:rPr>
        <w:t xml:space="preserve"> </w:t>
      </w:r>
      <w:r>
        <w:t>CONSTRUCCIÓN</w:t>
      </w:r>
      <w:r>
        <w:rPr>
          <w:spacing w:val="-4"/>
        </w:rPr>
        <w:t xml:space="preserve"> </w:t>
      </w:r>
      <w:r>
        <w:t>(LGUC)</w:t>
      </w:r>
      <w:r>
        <w:rPr>
          <w:spacing w:val="-4"/>
        </w:rPr>
        <w:t xml:space="preserve"> </w:t>
      </w:r>
      <w:r>
        <w:t>CON</w:t>
      </w:r>
      <w:r>
        <w:rPr>
          <w:spacing w:val="-4"/>
        </w:rPr>
        <w:t xml:space="preserve"> </w:t>
      </w:r>
      <w:r>
        <w:t>LOS FINES DE AUMENTAR LAS PENAS Y DE SANCIONAR A LOS NOTARIOS QUE AUTORICEN MEDIANTE ESCRITURA PÚBLICA EL NEGOCIO DE VENTA DE LOS LLAMADOS “LOTEOS IRREGULARES”</w:t>
      </w:r>
    </w:p>
    <w:p w:rsidR="00652CF2" w:rsidRDefault="00652CF2">
      <w:pPr>
        <w:pStyle w:val="Textoindependiente"/>
        <w:rPr>
          <w:b/>
          <w:sz w:val="24"/>
        </w:rPr>
      </w:pPr>
    </w:p>
    <w:p w:rsidR="00652CF2" w:rsidRDefault="00652CF2">
      <w:pPr>
        <w:pStyle w:val="Textoindependiente"/>
        <w:spacing w:before="6"/>
        <w:rPr>
          <w:b/>
          <w:sz w:val="26"/>
        </w:rPr>
      </w:pPr>
    </w:p>
    <w:p w:rsidR="00652CF2" w:rsidRDefault="00331782">
      <w:pPr>
        <w:ind w:left="100"/>
        <w:jc w:val="both"/>
        <w:rPr>
          <w:b/>
        </w:rPr>
      </w:pPr>
      <w:r>
        <w:rPr>
          <w:b/>
        </w:rPr>
        <w:t>Antecedentes</w:t>
      </w:r>
      <w:r>
        <w:rPr>
          <w:b/>
          <w:spacing w:val="-12"/>
        </w:rPr>
        <w:t xml:space="preserve"> </w:t>
      </w:r>
      <w:r>
        <w:rPr>
          <w:b/>
          <w:spacing w:val="-2"/>
        </w:rPr>
        <w:t>generales:</w:t>
      </w:r>
    </w:p>
    <w:p w:rsidR="00652CF2" w:rsidRDefault="00652CF2">
      <w:pPr>
        <w:pStyle w:val="Textoindependiente"/>
        <w:rPr>
          <w:b/>
          <w:sz w:val="24"/>
        </w:rPr>
      </w:pPr>
    </w:p>
    <w:p w:rsidR="00652CF2" w:rsidRDefault="00652CF2">
      <w:pPr>
        <w:pStyle w:val="Textoindependiente"/>
        <w:spacing w:before="11"/>
        <w:rPr>
          <w:b/>
          <w:sz w:val="29"/>
        </w:rPr>
      </w:pPr>
    </w:p>
    <w:p w:rsidR="00652CF2" w:rsidRDefault="00331782">
      <w:pPr>
        <w:spacing w:line="276" w:lineRule="auto"/>
        <w:ind w:left="100" w:right="115"/>
        <w:jc w:val="both"/>
        <w:rPr>
          <w:sz w:val="24"/>
        </w:rPr>
      </w:pPr>
      <w:r>
        <w:rPr>
          <w:color w:val="333333"/>
          <w:sz w:val="24"/>
        </w:rPr>
        <w:t>Los loteos irregulares o también llamados loteos “brujos” son cesion</w:t>
      </w:r>
      <w:r>
        <w:rPr>
          <w:color w:val="333333"/>
          <w:sz w:val="24"/>
        </w:rPr>
        <w:t>es de derechos</w:t>
      </w:r>
      <w:r>
        <w:rPr>
          <w:color w:val="333333"/>
          <w:spacing w:val="40"/>
          <w:sz w:val="24"/>
        </w:rPr>
        <w:t xml:space="preserve"> </w:t>
      </w:r>
      <w:r>
        <w:rPr>
          <w:color w:val="333333"/>
          <w:sz w:val="24"/>
        </w:rPr>
        <w:t>que transfieren un porcentaje de los mismos menor al necesario en caso de subdividir el mismo inmueble de acuerdo con la superficie predial mínima que prescriben los instrumentos de regulación espacial que apliquen, en especial la LGUC. Esto</w:t>
      </w:r>
      <w:r>
        <w:rPr>
          <w:color w:val="333333"/>
          <w:sz w:val="24"/>
        </w:rPr>
        <w:t>s “terrenos”</w:t>
      </w:r>
      <w:r>
        <w:rPr>
          <w:color w:val="333333"/>
          <w:spacing w:val="-2"/>
          <w:sz w:val="24"/>
        </w:rPr>
        <w:t xml:space="preserve"> </w:t>
      </w:r>
      <w:r>
        <w:rPr>
          <w:color w:val="333333"/>
          <w:sz w:val="24"/>
        </w:rPr>
        <w:t>en</w:t>
      </w:r>
      <w:r>
        <w:rPr>
          <w:color w:val="333333"/>
          <w:spacing w:val="-2"/>
          <w:sz w:val="24"/>
        </w:rPr>
        <w:t xml:space="preserve"> </w:t>
      </w:r>
      <w:r>
        <w:rPr>
          <w:color w:val="333333"/>
          <w:sz w:val="24"/>
        </w:rPr>
        <w:t>consecuencia</w:t>
      </w:r>
      <w:r>
        <w:rPr>
          <w:color w:val="333333"/>
          <w:spacing w:val="-2"/>
          <w:sz w:val="24"/>
        </w:rPr>
        <w:t xml:space="preserve"> </w:t>
      </w:r>
      <w:r>
        <w:rPr>
          <w:color w:val="333333"/>
          <w:sz w:val="24"/>
        </w:rPr>
        <w:t>no poseen delimitaciones claras de calles, tampoco acceso a espacios públicos ni a servicios básicos como: alcantarillado, agua potable, luz, entre otros.</w:t>
      </w:r>
    </w:p>
    <w:p w:rsidR="00652CF2" w:rsidRDefault="00652CF2">
      <w:pPr>
        <w:pStyle w:val="Textoindependiente"/>
        <w:spacing w:before="3"/>
        <w:rPr>
          <w:sz w:val="31"/>
        </w:rPr>
      </w:pPr>
    </w:p>
    <w:p w:rsidR="00652CF2" w:rsidRDefault="00331782">
      <w:pPr>
        <w:spacing w:line="276" w:lineRule="auto"/>
        <w:ind w:left="100" w:right="115"/>
        <w:jc w:val="both"/>
        <w:rPr>
          <w:sz w:val="24"/>
        </w:rPr>
      </w:pPr>
      <w:r>
        <w:rPr>
          <w:color w:val="333333"/>
          <w:sz w:val="24"/>
        </w:rPr>
        <w:t>Son subdivisiones “de hecho” fuera</w:t>
      </w:r>
      <w:r>
        <w:rPr>
          <w:color w:val="333333"/>
          <w:spacing w:val="-2"/>
          <w:sz w:val="24"/>
        </w:rPr>
        <w:t xml:space="preserve"> </w:t>
      </w:r>
      <w:r>
        <w:rPr>
          <w:color w:val="333333"/>
          <w:sz w:val="24"/>
        </w:rPr>
        <w:t>de</w:t>
      </w:r>
      <w:r>
        <w:rPr>
          <w:color w:val="333333"/>
          <w:spacing w:val="-2"/>
          <w:sz w:val="24"/>
        </w:rPr>
        <w:t xml:space="preserve"> </w:t>
      </w:r>
      <w:r>
        <w:rPr>
          <w:color w:val="333333"/>
          <w:sz w:val="24"/>
        </w:rPr>
        <w:t>los</w:t>
      </w:r>
      <w:r>
        <w:rPr>
          <w:color w:val="333333"/>
          <w:spacing w:val="-2"/>
          <w:sz w:val="24"/>
        </w:rPr>
        <w:t xml:space="preserve"> </w:t>
      </w:r>
      <w:r>
        <w:rPr>
          <w:color w:val="333333"/>
          <w:sz w:val="24"/>
        </w:rPr>
        <w:t>límites</w:t>
      </w:r>
      <w:r>
        <w:rPr>
          <w:color w:val="333333"/>
          <w:spacing w:val="-2"/>
          <w:sz w:val="24"/>
        </w:rPr>
        <w:t xml:space="preserve"> </w:t>
      </w:r>
      <w:r>
        <w:rPr>
          <w:color w:val="333333"/>
          <w:sz w:val="24"/>
        </w:rPr>
        <w:t>urbanos</w:t>
      </w:r>
      <w:r>
        <w:rPr>
          <w:color w:val="333333"/>
          <w:spacing w:val="-2"/>
          <w:sz w:val="24"/>
        </w:rPr>
        <w:t xml:space="preserve"> </w:t>
      </w:r>
      <w:r>
        <w:rPr>
          <w:color w:val="333333"/>
          <w:sz w:val="24"/>
        </w:rPr>
        <w:t>o</w:t>
      </w:r>
      <w:r>
        <w:rPr>
          <w:color w:val="333333"/>
          <w:spacing w:val="-2"/>
          <w:sz w:val="24"/>
        </w:rPr>
        <w:t xml:space="preserve"> </w:t>
      </w:r>
      <w:r>
        <w:rPr>
          <w:color w:val="333333"/>
          <w:sz w:val="24"/>
        </w:rPr>
        <w:t>fuera</w:t>
      </w:r>
      <w:r>
        <w:rPr>
          <w:color w:val="333333"/>
          <w:spacing w:val="-2"/>
          <w:sz w:val="24"/>
        </w:rPr>
        <w:t xml:space="preserve"> </w:t>
      </w:r>
      <w:r>
        <w:rPr>
          <w:color w:val="333333"/>
          <w:sz w:val="24"/>
        </w:rPr>
        <w:t>de</w:t>
      </w:r>
      <w:r>
        <w:rPr>
          <w:color w:val="333333"/>
          <w:spacing w:val="-2"/>
          <w:sz w:val="24"/>
        </w:rPr>
        <w:t xml:space="preserve"> </w:t>
      </w:r>
      <w:r>
        <w:rPr>
          <w:color w:val="333333"/>
          <w:sz w:val="24"/>
        </w:rPr>
        <w:t>los</w:t>
      </w:r>
      <w:r>
        <w:rPr>
          <w:color w:val="333333"/>
          <w:spacing w:val="-2"/>
          <w:sz w:val="24"/>
        </w:rPr>
        <w:t xml:space="preserve"> </w:t>
      </w:r>
      <w:r>
        <w:rPr>
          <w:color w:val="333333"/>
          <w:sz w:val="24"/>
        </w:rPr>
        <w:t>límites</w:t>
      </w:r>
      <w:r>
        <w:rPr>
          <w:color w:val="333333"/>
          <w:spacing w:val="-2"/>
          <w:sz w:val="24"/>
        </w:rPr>
        <w:t xml:space="preserve"> </w:t>
      </w:r>
      <w:r>
        <w:rPr>
          <w:color w:val="333333"/>
          <w:sz w:val="24"/>
        </w:rPr>
        <w:t>de</w:t>
      </w:r>
      <w:r>
        <w:rPr>
          <w:color w:val="333333"/>
          <w:spacing w:val="-2"/>
          <w:sz w:val="24"/>
        </w:rPr>
        <w:t xml:space="preserve"> </w:t>
      </w:r>
      <w:r>
        <w:rPr>
          <w:color w:val="333333"/>
          <w:sz w:val="24"/>
        </w:rPr>
        <w:t>los</w:t>
      </w:r>
      <w:r>
        <w:rPr>
          <w:color w:val="333333"/>
          <w:spacing w:val="-2"/>
          <w:sz w:val="24"/>
        </w:rPr>
        <w:t xml:space="preserve"> </w:t>
      </w:r>
      <w:r>
        <w:rPr>
          <w:color w:val="333333"/>
          <w:sz w:val="24"/>
        </w:rPr>
        <w:t>planes reguladores intercomunales de Santiago y Valparaíso y del plan regulador metropolitano de Concepción, de una superficie inferior a los 5.000 m², que es la superficie predial mínima exigida por la Ley General de Urbanismo y Constru</w:t>
      </w:r>
      <w:r>
        <w:rPr>
          <w:color w:val="333333"/>
          <w:sz w:val="24"/>
        </w:rPr>
        <w:t>cciones (LGUC) y el DL 3.516, que establece normas de división de predios rústicos</w:t>
      </w:r>
    </w:p>
    <w:p w:rsidR="00652CF2" w:rsidRDefault="00652CF2">
      <w:pPr>
        <w:pStyle w:val="Textoindependiente"/>
        <w:spacing w:before="4"/>
        <w:rPr>
          <w:sz w:val="31"/>
        </w:rPr>
      </w:pPr>
    </w:p>
    <w:p w:rsidR="00652CF2" w:rsidRDefault="00331782">
      <w:pPr>
        <w:spacing w:line="276" w:lineRule="auto"/>
        <w:ind w:left="100" w:right="116"/>
        <w:jc w:val="both"/>
        <w:rPr>
          <w:sz w:val="24"/>
        </w:rPr>
      </w:pPr>
      <w:r>
        <w:rPr>
          <w:color w:val="333333"/>
          <w:sz w:val="24"/>
        </w:rPr>
        <w:t>Se producen por la disposición de terrenos emplazados generalmente en zonas rurales, sin cumplir con la normativa urbanística que regula dichos predios, contenida</w:t>
      </w:r>
      <w:r>
        <w:rPr>
          <w:color w:val="333333"/>
          <w:spacing w:val="-2"/>
          <w:sz w:val="24"/>
        </w:rPr>
        <w:t xml:space="preserve"> </w:t>
      </w:r>
      <w:r>
        <w:rPr>
          <w:color w:val="333333"/>
          <w:sz w:val="24"/>
        </w:rPr>
        <w:t>en</w:t>
      </w:r>
      <w:r>
        <w:rPr>
          <w:color w:val="333333"/>
          <w:spacing w:val="-2"/>
          <w:sz w:val="24"/>
        </w:rPr>
        <w:t xml:space="preserve"> </w:t>
      </w:r>
      <w:r>
        <w:rPr>
          <w:color w:val="333333"/>
          <w:sz w:val="24"/>
        </w:rPr>
        <w:t>la</w:t>
      </w:r>
      <w:r>
        <w:rPr>
          <w:color w:val="333333"/>
          <w:spacing w:val="-2"/>
          <w:sz w:val="24"/>
        </w:rPr>
        <w:t xml:space="preserve"> </w:t>
      </w:r>
      <w:r>
        <w:rPr>
          <w:color w:val="333333"/>
          <w:sz w:val="24"/>
        </w:rPr>
        <w:t>Ley</w:t>
      </w:r>
      <w:r>
        <w:rPr>
          <w:color w:val="333333"/>
          <w:spacing w:val="-2"/>
          <w:sz w:val="24"/>
        </w:rPr>
        <w:t xml:space="preserve"> </w:t>
      </w:r>
      <w:r>
        <w:rPr>
          <w:color w:val="333333"/>
          <w:sz w:val="24"/>
        </w:rPr>
        <w:t>General de Urbanismo y Construcciones, en su ordenanza general y en el Decreto Ley Nº 3.516, las que establecen normas sobre subdivisión predial urbana y rústica en relación con los planos reguladores comunales</w:t>
      </w:r>
      <w:r>
        <w:rPr>
          <w:color w:val="333333"/>
          <w:sz w:val="24"/>
          <w:vertAlign w:val="superscript"/>
        </w:rPr>
        <w:t>1</w:t>
      </w:r>
      <w:r>
        <w:rPr>
          <w:color w:val="333333"/>
          <w:sz w:val="24"/>
        </w:rPr>
        <w:t>.</w:t>
      </w:r>
    </w:p>
    <w:p w:rsidR="00652CF2" w:rsidRDefault="00652CF2">
      <w:pPr>
        <w:pStyle w:val="Textoindependiente"/>
        <w:rPr>
          <w:sz w:val="20"/>
        </w:rPr>
      </w:pPr>
    </w:p>
    <w:p w:rsidR="00652CF2" w:rsidRDefault="00652CF2">
      <w:pPr>
        <w:pStyle w:val="Textoindependiente"/>
        <w:rPr>
          <w:sz w:val="20"/>
        </w:rPr>
      </w:pPr>
    </w:p>
    <w:p w:rsidR="00652CF2" w:rsidRDefault="00652CF2">
      <w:pPr>
        <w:pStyle w:val="Textoindependiente"/>
        <w:rPr>
          <w:sz w:val="20"/>
        </w:rPr>
      </w:pPr>
    </w:p>
    <w:p w:rsidR="00652CF2" w:rsidRDefault="00652CF2">
      <w:pPr>
        <w:pStyle w:val="Textoindependiente"/>
        <w:rPr>
          <w:sz w:val="20"/>
        </w:rPr>
      </w:pPr>
    </w:p>
    <w:p w:rsidR="00652CF2" w:rsidRDefault="00652CF2">
      <w:pPr>
        <w:pStyle w:val="Textoindependiente"/>
        <w:rPr>
          <w:sz w:val="20"/>
        </w:rPr>
      </w:pPr>
    </w:p>
    <w:p w:rsidR="00652CF2" w:rsidRDefault="00652CF2">
      <w:pPr>
        <w:pStyle w:val="Textoindependiente"/>
        <w:rPr>
          <w:sz w:val="20"/>
        </w:rPr>
      </w:pPr>
    </w:p>
    <w:p w:rsidR="00652CF2" w:rsidRDefault="00652CF2">
      <w:pPr>
        <w:pStyle w:val="Textoindependiente"/>
        <w:rPr>
          <w:sz w:val="20"/>
        </w:rPr>
      </w:pPr>
    </w:p>
    <w:p w:rsidR="00652CF2" w:rsidRDefault="00652CF2">
      <w:pPr>
        <w:pStyle w:val="Textoindependiente"/>
        <w:rPr>
          <w:sz w:val="20"/>
        </w:rPr>
      </w:pPr>
    </w:p>
    <w:p w:rsidR="00652CF2" w:rsidRDefault="00652CF2">
      <w:pPr>
        <w:pStyle w:val="Textoindependiente"/>
        <w:rPr>
          <w:sz w:val="20"/>
        </w:rPr>
      </w:pPr>
    </w:p>
    <w:p w:rsidR="00652CF2" w:rsidRDefault="00331782">
      <w:pPr>
        <w:pStyle w:val="Textoindependiente"/>
        <w:spacing w:before="4"/>
        <w:rPr>
          <w:sz w:val="27"/>
        </w:rPr>
      </w:pPr>
      <w:r>
        <w:pict>
          <v:shape id="docshape1" o:spid="_x0000_s1026" style="position:absolute;margin-left:1in;margin-top:16.95pt;width:2in;height:.1pt;z-index:-251658752;mso-wrap-distance-left:0;mso-wrap-distance-right:0;mso-position-horizontal-relative:page" coordorigin="1440,339" coordsize="2880,0" path="m1440,339r2880,e" filled="f">
            <v:path arrowok="t"/>
            <w10:wrap type="topAndBottom" anchorx="page"/>
          </v:shape>
        </w:pict>
      </w:r>
    </w:p>
    <w:p w:rsidR="00652CF2" w:rsidRDefault="00331782">
      <w:pPr>
        <w:spacing w:before="108"/>
        <w:ind w:left="100"/>
        <w:jc w:val="both"/>
        <w:rPr>
          <w:rFonts w:ascii="Arial"/>
          <w:sz w:val="20"/>
        </w:rPr>
      </w:pPr>
      <w:r>
        <w:rPr>
          <w:rFonts w:ascii="Arial"/>
          <w:sz w:val="20"/>
          <w:vertAlign w:val="superscript"/>
        </w:rPr>
        <w:t>1</w:t>
      </w:r>
      <w:r>
        <w:rPr>
          <w:rFonts w:ascii="Arial"/>
          <w:spacing w:val="-7"/>
          <w:sz w:val="20"/>
        </w:rPr>
        <w:t xml:space="preserve"> </w:t>
      </w:r>
      <w:r>
        <w:rPr>
          <w:rFonts w:ascii="Arial"/>
          <w:spacing w:val="-2"/>
          <w:sz w:val="20"/>
        </w:rPr>
        <w:t>https://</w:t>
      </w:r>
      <w:hyperlink r:id="rId6">
        <w:r>
          <w:rPr>
            <w:rFonts w:ascii="Arial"/>
            <w:spacing w:val="-2"/>
            <w:sz w:val="20"/>
          </w:rPr>
          <w:t>www.bienesnacionales.cl/?page_id=32965</w:t>
        </w:r>
      </w:hyperlink>
    </w:p>
    <w:p w:rsidR="00652CF2" w:rsidRDefault="00652CF2">
      <w:pPr>
        <w:jc w:val="both"/>
        <w:rPr>
          <w:rFonts w:ascii="Arial"/>
          <w:sz w:val="20"/>
        </w:rPr>
        <w:sectPr w:rsidR="00652CF2">
          <w:type w:val="continuous"/>
          <w:pgSz w:w="11920" w:h="16840"/>
          <w:pgMar w:top="1460" w:right="1340" w:bottom="280" w:left="1340" w:header="720" w:footer="720" w:gutter="0"/>
          <w:cols w:space="720"/>
        </w:sectPr>
      </w:pPr>
    </w:p>
    <w:p w:rsidR="00652CF2" w:rsidRDefault="00331782">
      <w:pPr>
        <w:pStyle w:val="Ttulo1"/>
        <w:numPr>
          <w:ilvl w:val="0"/>
          <w:numId w:val="2"/>
        </w:numPr>
        <w:tabs>
          <w:tab w:val="left" w:pos="4226"/>
          <w:tab w:val="left" w:pos="4227"/>
        </w:tabs>
        <w:spacing w:before="71"/>
        <w:jc w:val="left"/>
      </w:pPr>
      <w:r>
        <w:rPr>
          <w:spacing w:val="-2"/>
        </w:rPr>
        <w:lastRenderedPageBreak/>
        <w:t>IDEA</w:t>
      </w:r>
      <w:r>
        <w:rPr>
          <w:spacing w:val="-8"/>
        </w:rPr>
        <w:t xml:space="preserve"> </w:t>
      </w:r>
      <w:r>
        <w:rPr>
          <w:spacing w:val="-2"/>
        </w:rPr>
        <w:t>MATRIZ</w:t>
      </w:r>
    </w:p>
    <w:p w:rsidR="00652CF2" w:rsidRDefault="00652CF2">
      <w:pPr>
        <w:pStyle w:val="Textoindependiente"/>
        <w:rPr>
          <w:b/>
          <w:sz w:val="24"/>
        </w:rPr>
      </w:pPr>
    </w:p>
    <w:p w:rsidR="00652CF2" w:rsidRDefault="00652CF2">
      <w:pPr>
        <w:pStyle w:val="Textoindependiente"/>
        <w:spacing w:before="10"/>
        <w:rPr>
          <w:b/>
          <w:sz w:val="29"/>
        </w:rPr>
      </w:pPr>
    </w:p>
    <w:p w:rsidR="00652CF2" w:rsidRDefault="00331782">
      <w:pPr>
        <w:pStyle w:val="Textoindependiente"/>
        <w:spacing w:line="276" w:lineRule="auto"/>
        <w:ind w:left="100" w:right="112"/>
        <w:jc w:val="both"/>
      </w:pPr>
      <w:r>
        <w:t>El objetivo de esta ley aumentar las sanciones para quienes ejecuten ventas de “loteos irregulares” y sancionar</w:t>
      </w:r>
      <w:r>
        <w:rPr>
          <w:spacing w:val="26"/>
        </w:rPr>
        <w:t xml:space="preserve"> </w:t>
      </w:r>
      <w:r>
        <w:t>a</w:t>
      </w:r>
      <w:r>
        <w:rPr>
          <w:spacing w:val="26"/>
        </w:rPr>
        <w:t xml:space="preserve"> </w:t>
      </w:r>
      <w:r>
        <w:t>los</w:t>
      </w:r>
      <w:r>
        <w:rPr>
          <w:spacing w:val="26"/>
        </w:rPr>
        <w:t xml:space="preserve"> </w:t>
      </w:r>
      <w:r>
        <w:t>notarios públicos que autoricen una escritura pública que incumpla las disposiciones de la LGUC, con sanción de suspensión hasta inhabilidad en el cargo, en miras a impedir que se perpetúe el negocio de algunos de venta de loteos irregulares, estafando y a</w:t>
      </w:r>
      <w:r>
        <w:t>provechándose de la necesidad y sueño de la casa propia de las chilenas y chilenos.</w:t>
      </w:r>
    </w:p>
    <w:p w:rsidR="00652CF2" w:rsidRDefault="00652CF2">
      <w:pPr>
        <w:pStyle w:val="Textoindependiente"/>
        <w:spacing w:before="3"/>
        <w:rPr>
          <w:sz w:val="25"/>
        </w:rPr>
      </w:pPr>
    </w:p>
    <w:p w:rsidR="00652CF2" w:rsidRDefault="00331782">
      <w:pPr>
        <w:pStyle w:val="Textoindependiente"/>
        <w:spacing w:line="276" w:lineRule="auto"/>
        <w:ind w:left="100" w:right="115"/>
        <w:jc w:val="both"/>
      </w:pPr>
      <w:r>
        <w:t>Además nacerá una acción indemnizatoria que podrá interponer la víctima</w:t>
      </w:r>
      <w:r>
        <w:rPr>
          <w:spacing w:val="-3"/>
        </w:rPr>
        <w:t xml:space="preserve"> </w:t>
      </w:r>
      <w:r>
        <w:t>en</w:t>
      </w:r>
      <w:r>
        <w:rPr>
          <w:spacing w:val="-3"/>
        </w:rPr>
        <w:t xml:space="preserve"> </w:t>
      </w:r>
      <w:r>
        <w:t>contra</w:t>
      </w:r>
      <w:r>
        <w:rPr>
          <w:spacing w:val="-3"/>
        </w:rPr>
        <w:t xml:space="preserve"> </w:t>
      </w:r>
      <w:r>
        <w:t>del</w:t>
      </w:r>
      <w:r>
        <w:rPr>
          <w:spacing w:val="-3"/>
        </w:rPr>
        <w:t xml:space="preserve"> </w:t>
      </w:r>
      <w:r>
        <w:t>Notario</w:t>
      </w:r>
      <w:r>
        <w:rPr>
          <w:spacing w:val="-3"/>
        </w:rPr>
        <w:t xml:space="preserve"> </w:t>
      </w:r>
      <w:r>
        <w:t>para perseguir la responsabilidad civil. El notario es solidariamente respons</w:t>
      </w:r>
      <w:r>
        <w:t>able de los daños y perjuicios que pudieran surgir en conjunto con las personas señaladas en el artículo 138 bis de la LGUC.</w:t>
      </w:r>
    </w:p>
    <w:p w:rsidR="00652CF2" w:rsidRDefault="00652CF2">
      <w:pPr>
        <w:pStyle w:val="Textoindependiente"/>
        <w:rPr>
          <w:sz w:val="24"/>
        </w:rPr>
      </w:pPr>
    </w:p>
    <w:p w:rsidR="00652CF2" w:rsidRDefault="00652CF2">
      <w:pPr>
        <w:pStyle w:val="Textoindependiente"/>
        <w:spacing w:before="7"/>
        <w:rPr>
          <w:sz w:val="26"/>
        </w:rPr>
      </w:pPr>
    </w:p>
    <w:p w:rsidR="00652CF2" w:rsidRDefault="00331782">
      <w:pPr>
        <w:pStyle w:val="Ttulo1"/>
        <w:numPr>
          <w:ilvl w:val="0"/>
          <w:numId w:val="2"/>
        </w:numPr>
        <w:tabs>
          <w:tab w:val="left" w:pos="3918"/>
          <w:tab w:val="left" w:pos="3919"/>
        </w:tabs>
        <w:ind w:left="3918" w:hanging="587"/>
        <w:jc w:val="left"/>
      </w:pPr>
      <w:r>
        <w:t>PROYECTO</w:t>
      </w:r>
      <w:r>
        <w:rPr>
          <w:spacing w:val="-7"/>
        </w:rPr>
        <w:t xml:space="preserve"> </w:t>
      </w:r>
      <w:r>
        <w:t>DE</w:t>
      </w:r>
      <w:r>
        <w:rPr>
          <w:spacing w:val="-7"/>
        </w:rPr>
        <w:t xml:space="preserve"> </w:t>
      </w:r>
      <w:r>
        <w:rPr>
          <w:spacing w:val="-5"/>
        </w:rPr>
        <w:t>LEY</w:t>
      </w:r>
    </w:p>
    <w:p w:rsidR="00652CF2" w:rsidRDefault="00652CF2">
      <w:pPr>
        <w:pStyle w:val="Textoindependiente"/>
        <w:rPr>
          <w:b/>
          <w:sz w:val="24"/>
        </w:rPr>
      </w:pPr>
    </w:p>
    <w:p w:rsidR="00652CF2" w:rsidRDefault="00652CF2">
      <w:pPr>
        <w:pStyle w:val="Textoindependiente"/>
        <w:spacing w:before="10"/>
        <w:rPr>
          <w:b/>
          <w:sz w:val="29"/>
        </w:rPr>
      </w:pPr>
    </w:p>
    <w:p w:rsidR="00652CF2" w:rsidRDefault="00331782">
      <w:pPr>
        <w:pStyle w:val="Ttulo2"/>
        <w:spacing w:before="1"/>
      </w:pPr>
      <w:r>
        <w:t>Modifíquese</w:t>
      </w:r>
      <w:r>
        <w:rPr>
          <w:spacing w:val="-6"/>
        </w:rPr>
        <w:t xml:space="preserve"> </w:t>
      </w:r>
      <w:r>
        <w:t>el</w:t>
      </w:r>
      <w:r>
        <w:rPr>
          <w:spacing w:val="-4"/>
        </w:rPr>
        <w:t xml:space="preserve"> </w:t>
      </w:r>
      <w:r>
        <w:t>art</w:t>
      </w:r>
      <w:r>
        <w:rPr>
          <w:spacing w:val="-4"/>
        </w:rPr>
        <w:t xml:space="preserve"> </w:t>
      </w:r>
      <w:r>
        <w:t>138</w:t>
      </w:r>
      <w:r>
        <w:rPr>
          <w:spacing w:val="-4"/>
        </w:rPr>
        <w:t xml:space="preserve"> </w:t>
      </w:r>
      <w:r>
        <w:t>de</w:t>
      </w:r>
      <w:r>
        <w:rPr>
          <w:spacing w:val="-4"/>
        </w:rPr>
        <w:t xml:space="preserve"> </w:t>
      </w:r>
      <w:r>
        <w:t>la</w:t>
      </w:r>
      <w:r>
        <w:rPr>
          <w:spacing w:val="-4"/>
        </w:rPr>
        <w:t xml:space="preserve"> </w:t>
      </w:r>
      <w:r>
        <w:t>LGUC</w:t>
      </w:r>
      <w:r>
        <w:rPr>
          <w:spacing w:val="-4"/>
        </w:rPr>
        <w:t xml:space="preserve"> </w:t>
      </w:r>
      <w:r>
        <w:t>en</w:t>
      </w:r>
      <w:r>
        <w:rPr>
          <w:spacing w:val="-4"/>
        </w:rPr>
        <w:t xml:space="preserve"> </w:t>
      </w:r>
      <w:r>
        <w:t>el</w:t>
      </w:r>
      <w:r>
        <w:rPr>
          <w:spacing w:val="-4"/>
        </w:rPr>
        <w:t xml:space="preserve"> </w:t>
      </w:r>
      <w:r>
        <w:t>siguiente</w:t>
      </w:r>
      <w:r>
        <w:rPr>
          <w:spacing w:val="-4"/>
        </w:rPr>
        <w:t xml:space="preserve"> </w:t>
      </w:r>
      <w:r>
        <w:rPr>
          <w:spacing w:val="-2"/>
        </w:rPr>
        <w:t>tenor:</w:t>
      </w:r>
    </w:p>
    <w:p w:rsidR="00652CF2" w:rsidRDefault="00652CF2">
      <w:pPr>
        <w:pStyle w:val="Textoindependiente"/>
        <w:spacing w:before="6"/>
        <w:rPr>
          <w:b/>
          <w:sz w:val="28"/>
        </w:rPr>
      </w:pPr>
    </w:p>
    <w:p w:rsidR="00652CF2" w:rsidRDefault="00331782">
      <w:pPr>
        <w:pStyle w:val="Textoindependiente"/>
        <w:spacing w:before="1" w:line="276" w:lineRule="auto"/>
        <w:ind w:left="100" w:right="124"/>
        <w:jc w:val="both"/>
      </w:pPr>
      <w:r>
        <w:t>1.- Agréguese a continuación de “presidio menor”: “La que deberá ser al menos un año efectivo de cárcel sin poder ser remitida”.</w:t>
      </w:r>
    </w:p>
    <w:p w:rsidR="00652CF2" w:rsidRDefault="00652CF2">
      <w:pPr>
        <w:pStyle w:val="Textoindependiente"/>
        <w:spacing w:before="3"/>
        <w:rPr>
          <w:sz w:val="25"/>
        </w:rPr>
      </w:pPr>
    </w:p>
    <w:p w:rsidR="00652CF2" w:rsidRDefault="00331782">
      <w:pPr>
        <w:pStyle w:val="Prrafodelista"/>
        <w:numPr>
          <w:ilvl w:val="0"/>
          <w:numId w:val="1"/>
        </w:numPr>
        <w:tabs>
          <w:tab w:val="left" w:pos="380"/>
        </w:tabs>
        <w:spacing w:line="276" w:lineRule="auto"/>
        <w:ind w:right="113" w:firstLine="0"/>
        <w:jc w:val="both"/>
      </w:pPr>
      <w:r>
        <w:t>Agréguese en la parte final del artículo: “Habiéndose producido estos hechos, quienes tengan legitimación activa podrán inicia</w:t>
      </w:r>
      <w:r>
        <w:t>r procedimiento penal</w:t>
      </w:r>
      <w:r>
        <w:rPr>
          <w:spacing w:val="-4"/>
        </w:rPr>
        <w:t xml:space="preserve"> </w:t>
      </w:r>
      <w:r>
        <w:t>y</w:t>
      </w:r>
      <w:r>
        <w:rPr>
          <w:spacing w:val="-4"/>
        </w:rPr>
        <w:t xml:space="preserve"> </w:t>
      </w:r>
      <w:r>
        <w:t>podrá</w:t>
      </w:r>
      <w:r>
        <w:rPr>
          <w:spacing w:val="-4"/>
        </w:rPr>
        <w:t xml:space="preserve"> </w:t>
      </w:r>
      <w:r>
        <w:t>perseguirse</w:t>
      </w:r>
      <w:r>
        <w:rPr>
          <w:spacing w:val="-4"/>
        </w:rPr>
        <w:t xml:space="preserve"> </w:t>
      </w:r>
      <w:r>
        <w:t>la</w:t>
      </w:r>
      <w:r>
        <w:rPr>
          <w:spacing w:val="-4"/>
        </w:rPr>
        <w:t xml:space="preserve"> </w:t>
      </w:r>
      <w:r>
        <w:t>responsabilidad</w:t>
      </w:r>
      <w:r>
        <w:rPr>
          <w:spacing w:val="-4"/>
        </w:rPr>
        <w:t xml:space="preserve"> </w:t>
      </w:r>
      <w:r>
        <w:t>civil</w:t>
      </w:r>
      <w:r>
        <w:rPr>
          <w:spacing w:val="-4"/>
        </w:rPr>
        <w:t xml:space="preserve"> </w:t>
      </w:r>
      <w:r>
        <w:t>de acuerdo a las reglas generales de las acciones civiles indemnizatorias y compensatorias”.</w:t>
      </w:r>
    </w:p>
    <w:p w:rsidR="00652CF2" w:rsidRDefault="00652CF2">
      <w:pPr>
        <w:pStyle w:val="Textoindependiente"/>
        <w:spacing w:before="3"/>
        <w:rPr>
          <w:sz w:val="25"/>
        </w:rPr>
      </w:pPr>
    </w:p>
    <w:p w:rsidR="00652CF2" w:rsidRDefault="00331782">
      <w:pPr>
        <w:pStyle w:val="Ttulo2"/>
      </w:pPr>
      <w:r>
        <w:t>Modifíquese</w:t>
      </w:r>
      <w:r>
        <w:rPr>
          <w:spacing w:val="-8"/>
        </w:rPr>
        <w:t xml:space="preserve"> </w:t>
      </w:r>
      <w:r>
        <w:t>el</w:t>
      </w:r>
      <w:r>
        <w:rPr>
          <w:spacing w:val="-5"/>
        </w:rPr>
        <w:t xml:space="preserve"> </w:t>
      </w:r>
      <w:r>
        <w:t>COT</w:t>
      </w:r>
      <w:r>
        <w:rPr>
          <w:spacing w:val="-8"/>
        </w:rPr>
        <w:t xml:space="preserve"> </w:t>
      </w:r>
      <w:r>
        <w:t>artículo</w:t>
      </w:r>
      <w:r>
        <w:rPr>
          <w:spacing w:val="-5"/>
        </w:rPr>
        <w:t xml:space="preserve"> </w:t>
      </w:r>
      <w:r>
        <w:t>440</w:t>
      </w:r>
      <w:r>
        <w:rPr>
          <w:spacing w:val="-5"/>
        </w:rPr>
        <w:t xml:space="preserve"> </w:t>
      </w:r>
      <w:r>
        <w:t>en</w:t>
      </w:r>
      <w:r>
        <w:rPr>
          <w:spacing w:val="-5"/>
        </w:rPr>
        <w:t xml:space="preserve"> </w:t>
      </w:r>
      <w:r>
        <w:t>el</w:t>
      </w:r>
      <w:r>
        <w:rPr>
          <w:spacing w:val="-5"/>
        </w:rPr>
        <w:t xml:space="preserve"> </w:t>
      </w:r>
      <w:r>
        <w:t>siguiente</w:t>
      </w:r>
      <w:r>
        <w:rPr>
          <w:spacing w:val="-5"/>
        </w:rPr>
        <w:t xml:space="preserve"> </w:t>
      </w:r>
      <w:r>
        <w:rPr>
          <w:spacing w:val="-2"/>
        </w:rPr>
        <w:t>tenor:</w:t>
      </w:r>
    </w:p>
    <w:p w:rsidR="00652CF2" w:rsidRDefault="00652CF2">
      <w:pPr>
        <w:pStyle w:val="Textoindependiente"/>
        <w:spacing w:before="7"/>
        <w:rPr>
          <w:b/>
          <w:sz w:val="28"/>
        </w:rPr>
      </w:pPr>
    </w:p>
    <w:p w:rsidR="00652CF2" w:rsidRDefault="00331782">
      <w:pPr>
        <w:pStyle w:val="Prrafodelista"/>
        <w:numPr>
          <w:ilvl w:val="0"/>
          <w:numId w:val="1"/>
        </w:numPr>
        <w:tabs>
          <w:tab w:val="left" w:pos="335"/>
        </w:tabs>
        <w:spacing w:line="276" w:lineRule="auto"/>
        <w:ind w:right="114" w:firstLine="0"/>
        <w:jc w:val="both"/>
      </w:pPr>
      <w:r>
        <w:t>Agréguese la</w:t>
      </w:r>
      <w:r>
        <w:rPr>
          <w:spacing w:val="-4"/>
        </w:rPr>
        <w:t xml:space="preserve"> </w:t>
      </w:r>
      <w:r>
        <w:t>letra</w:t>
      </w:r>
      <w:r>
        <w:rPr>
          <w:spacing w:val="-4"/>
        </w:rPr>
        <w:t xml:space="preserve"> </w:t>
      </w:r>
      <w:r>
        <w:t>“f)”</w:t>
      </w:r>
      <w:r>
        <w:rPr>
          <w:spacing w:val="-4"/>
        </w:rPr>
        <w:t xml:space="preserve"> </w:t>
      </w:r>
      <w:r>
        <w:t>a</w:t>
      </w:r>
      <w:r>
        <w:rPr>
          <w:spacing w:val="-4"/>
        </w:rPr>
        <w:t xml:space="preserve"> </w:t>
      </w:r>
      <w:r>
        <w:t>las</w:t>
      </w:r>
      <w:r>
        <w:rPr>
          <w:spacing w:val="-4"/>
        </w:rPr>
        <w:t xml:space="preserve"> </w:t>
      </w:r>
      <w:r>
        <w:t>inhabilidades</w:t>
      </w:r>
      <w:r>
        <w:rPr>
          <w:spacing w:val="-4"/>
        </w:rPr>
        <w:t xml:space="preserve"> </w:t>
      </w:r>
      <w:r>
        <w:t>sobrevinientes</w:t>
      </w:r>
      <w:r>
        <w:rPr>
          <w:spacing w:val="-4"/>
        </w:rPr>
        <w:t xml:space="preserve"> </w:t>
      </w:r>
      <w:r>
        <w:t>al</w:t>
      </w:r>
      <w:r>
        <w:rPr>
          <w:spacing w:val="-4"/>
        </w:rPr>
        <w:t xml:space="preserve"> </w:t>
      </w:r>
      <w:r>
        <w:t>cargo</w:t>
      </w:r>
      <w:r>
        <w:rPr>
          <w:spacing w:val="-4"/>
        </w:rPr>
        <w:t xml:space="preserve"> </w:t>
      </w:r>
      <w:r>
        <w:t>de</w:t>
      </w:r>
      <w:r>
        <w:rPr>
          <w:spacing w:val="-4"/>
        </w:rPr>
        <w:t xml:space="preserve"> </w:t>
      </w:r>
      <w:r>
        <w:t>notario</w:t>
      </w:r>
      <w:r>
        <w:rPr>
          <w:spacing w:val="-4"/>
        </w:rPr>
        <w:t xml:space="preserve"> </w:t>
      </w:r>
      <w:r>
        <w:t>público,</w:t>
      </w:r>
      <w:r>
        <w:rPr>
          <w:spacing w:val="-4"/>
        </w:rPr>
        <w:t xml:space="preserve"> </w:t>
      </w:r>
      <w:r>
        <w:t>y</w:t>
      </w:r>
      <w:r>
        <w:rPr>
          <w:spacing w:val="-4"/>
        </w:rPr>
        <w:t xml:space="preserve"> </w:t>
      </w:r>
      <w:r>
        <w:t>señálese:</w:t>
      </w:r>
      <w:r>
        <w:rPr>
          <w:spacing w:val="-4"/>
        </w:rPr>
        <w:t xml:space="preserve"> </w:t>
      </w:r>
      <w:r>
        <w:t>“f) Al que autorice una escritura pública que incumpla las disposiciones de la LGUC. En caso de producirse daños de todo tipo, nacerá una acción indemnizatoria que podrá interponer la ví</w:t>
      </w:r>
      <w:r>
        <w:t>ctima en contra del titular para perseguir la responsabilidad civil. El notario es solidariamente responsable de los</w:t>
      </w:r>
      <w:r>
        <w:rPr>
          <w:spacing w:val="26"/>
        </w:rPr>
        <w:t xml:space="preserve"> </w:t>
      </w:r>
      <w:r>
        <w:t>daños</w:t>
      </w:r>
      <w:r>
        <w:rPr>
          <w:spacing w:val="26"/>
        </w:rPr>
        <w:t xml:space="preserve"> </w:t>
      </w:r>
      <w:r>
        <w:t>y</w:t>
      </w:r>
      <w:r>
        <w:rPr>
          <w:spacing w:val="26"/>
        </w:rPr>
        <w:t xml:space="preserve"> </w:t>
      </w:r>
      <w:r>
        <w:t>perjuicios que pudieran surgir en conjunto con las personas señaladas en el artículo 138 bis de la LGUC”.</w:t>
      </w:r>
    </w:p>
    <w:p w:rsidR="00652CF2" w:rsidRDefault="00652CF2">
      <w:pPr>
        <w:pStyle w:val="Textoindependiente"/>
        <w:rPr>
          <w:sz w:val="24"/>
        </w:rPr>
      </w:pPr>
    </w:p>
    <w:p w:rsidR="00652CF2" w:rsidRDefault="00652CF2">
      <w:pPr>
        <w:pStyle w:val="Textoindependiente"/>
        <w:rPr>
          <w:sz w:val="24"/>
        </w:rPr>
      </w:pPr>
    </w:p>
    <w:p w:rsidR="00652CF2" w:rsidRDefault="00652CF2">
      <w:pPr>
        <w:pStyle w:val="Textoindependiente"/>
        <w:rPr>
          <w:sz w:val="24"/>
        </w:rPr>
      </w:pPr>
    </w:p>
    <w:p w:rsidR="00652CF2" w:rsidRDefault="00652CF2">
      <w:pPr>
        <w:pStyle w:val="Textoindependiente"/>
        <w:spacing w:before="2"/>
        <w:rPr>
          <w:sz w:val="29"/>
        </w:rPr>
      </w:pPr>
    </w:p>
    <w:p w:rsidR="00652CF2" w:rsidRDefault="00331782">
      <w:pPr>
        <w:pStyle w:val="Textoindependiente"/>
        <w:spacing w:before="1" w:line="276" w:lineRule="auto"/>
        <w:ind w:left="3999" w:right="2783" w:hanging="1247"/>
      </w:pPr>
      <w:r>
        <w:t>H.</w:t>
      </w:r>
      <w:r>
        <w:rPr>
          <w:spacing w:val="-14"/>
        </w:rPr>
        <w:t xml:space="preserve"> </w:t>
      </w:r>
      <w:r>
        <w:t>DIPUTADA</w:t>
      </w:r>
      <w:r>
        <w:rPr>
          <w:spacing w:val="-14"/>
        </w:rPr>
        <w:t xml:space="preserve"> </w:t>
      </w:r>
      <w:r>
        <w:t>CAMILA</w:t>
      </w:r>
      <w:r>
        <w:rPr>
          <w:spacing w:val="-14"/>
        </w:rPr>
        <w:t xml:space="preserve"> </w:t>
      </w:r>
      <w:r>
        <w:t>MU</w:t>
      </w:r>
      <w:r>
        <w:t>SANTE</w:t>
      </w:r>
      <w:r>
        <w:rPr>
          <w:spacing w:val="-13"/>
        </w:rPr>
        <w:t xml:space="preserve"> </w:t>
      </w:r>
      <w:r>
        <w:t>M. ENERO 2023</w:t>
      </w:r>
    </w:p>
    <w:sectPr w:rsidR="00652CF2">
      <w:pgSz w:w="11920" w:h="16840"/>
      <w:pgMar w:top="16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574B"/>
    <w:multiLevelType w:val="hybridMultilevel"/>
    <w:tmpl w:val="62EECDD4"/>
    <w:lvl w:ilvl="0" w:tplc="C2B074B4">
      <w:start w:val="1"/>
      <w:numFmt w:val="upperRoman"/>
      <w:lvlText w:val="%1."/>
      <w:lvlJc w:val="left"/>
      <w:pPr>
        <w:ind w:left="4226" w:hanging="501"/>
        <w:jc w:val="right"/>
      </w:pPr>
      <w:rPr>
        <w:rFonts w:ascii="Times New Roman" w:eastAsia="Times New Roman" w:hAnsi="Times New Roman" w:cs="Times New Roman" w:hint="default"/>
        <w:b/>
        <w:bCs/>
        <w:i w:val="0"/>
        <w:iCs w:val="0"/>
        <w:spacing w:val="-1"/>
        <w:w w:val="100"/>
        <w:sz w:val="22"/>
        <w:szCs w:val="22"/>
        <w:lang w:val="es-ES" w:eastAsia="en-US" w:bidi="ar-SA"/>
      </w:rPr>
    </w:lvl>
    <w:lvl w:ilvl="1" w:tplc="B46ABE6A">
      <w:numFmt w:val="bullet"/>
      <w:lvlText w:val="•"/>
      <w:lvlJc w:val="left"/>
      <w:pPr>
        <w:ind w:left="4722" w:hanging="501"/>
      </w:pPr>
      <w:rPr>
        <w:rFonts w:hint="default"/>
        <w:lang w:val="es-ES" w:eastAsia="en-US" w:bidi="ar-SA"/>
      </w:rPr>
    </w:lvl>
    <w:lvl w:ilvl="2" w:tplc="8CAAC1D4">
      <w:numFmt w:val="bullet"/>
      <w:lvlText w:val="•"/>
      <w:lvlJc w:val="left"/>
      <w:pPr>
        <w:ind w:left="5224" w:hanging="501"/>
      </w:pPr>
      <w:rPr>
        <w:rFonts w:hint="default"/>
        <w:lang w:val="es-ES" w:eastAsia="en-US" w:bidi="ar-SA"/>
      </w:rPr>
    </w:lvl>
    <w:lvl w:ilvl="3" w:tplc="68E0DBD6">
      <w:numFmt w:val="bullet"/>
      <w:lvlText w:val="•"/>
      <w:lvlJc w:val="left"/>
      <w:pPr>
        <w:ind w:left="5726" w:hanging="501"/>
      </w:pPr>
      <w:rPr>
        <w:rFonts w:hint="default"/>
        <w:lang w:val="es-ES" w:eastAsia="en-US" w:bidi="ar-SA"/>
      </w:rPr>
    </w:lvl>
    <w:lvl w:ilvl="4" w:tplc="5F827092">
      <w:numFmt w:val="bullet"/>
      <w:lvlText w:val="•"/>
      <w:lvlJc w:val="left"/>
      <w:pPr>
        <w:ind w:left="6228" w:hanging="501"/>
      </w:pPr>
      <w:rPr>
        <w:rFonts w:hint="default"/>
        <w:lang w:val="es-ES" w:eastAsia="en-US" w:bidi="ar-SA"/>
      </w:rPr>
    </w:lvl>
    <w:lvl w:ilvl="5" w:tplc="FAAE6C22">
      <w:numFmt w:val="bullet"/>
      <w:lvlText w:val="•"/>
      <w:lvlJc w:val="left"/>
      <w:pPr>
        <w:ind w:left="6730" w:hanging="501"/>
      </w:pPr>
      <w:rPr>
        <w:rFonts w:hint="default"/>
        <w:lang w:val="es-ES" w:eastAsia="en-US" w:bidi="ar-SA"/>
      </w:rPr>
    </w:lvl>
    <w:lvl w:ilvl="6" w:tplc="C62E7038">
      <w:numFmt w:val="bullet"/>
      <w:lvlText w:val="•"/>
      <w:lvlJc w:val="left"/>
      <w:pPr>
        <w:ind w:left="7232" w:hanging="501"/>
      </w:pPr>
      <w:rPr>
        <w:rFonts w:hint="default"/>
        <w:lang w:val="es-ES" w:eastAsia="en-US" w:bidi="ar-SA"/>
      </w:rPr>
    </w:lvl>
    <w:lvl w:ilvl="7" w:tplc="9B2EC1DA">
      <w:numFmt w:val="bullet"/>
      <w:lvlText w:val="•"/>
      <w:lvlJc w:val="left"/>
      <w:pPr>
        <w:ind w:left="7734" w:hanging="501"/>
      </w:pPr>
      <w:rPr>
        <w:rFonts w:hint="default"/>
        <w:lang w:val="es-ES" w:eastAsia="en-US" w:bidi="ar-SA"/>
      </w:rPr>
    </w:lvl>
    <w:lvl w:ilvl="8" w:tplc="46EC5734">
      <w:numFmt w:val="bullet"/>
      <w:lvlText w:val="•"/>
      <w:lvlJc w:val="left"/>
      <w:pPr>
        <w:ind w:left="8236" w:hanging="501"/>
      </w:pPr>
      <w:rPr>
        <w:rFonts w:hint="default"/>
        <w:lang w:val="es-ES" w:eastAsia="en-US" w:bidi="ar-SA"/>
      </w:rPr>
    </w:lvl>
  </w:abstractNum>
  <w:abstractNum w:abstractNumId="1" w15:restartNumberingAfterBreak="0">
    <w:nsid w:val="494A63C5"/>
    <w:multiLevelType w:val="hybridMultilevel"/>
    <w:tmpl w:val="76E24A90"/>
    <w:lvl w:ilvl="0" w:tplc="E7A40CC8">
      <w:start w:val="2"/>
      <w:numFmt w:val="decimal"/>
      <w:lvlText w:val="%1."/>
      <w:lvlJc w:val="left"/>
      <w:pPr>
        <w:ind w:left="100" w:hanging="280"/>
        <w:jc w:val="left"/>
      </w:pPr>
      <w:rPr>
        <w:rFonts w:ascii="Times New Roman" w:eastAsia="Times New Roman" w:hAnsi="Times New Roman" w:cs="Times New Roman" w:hint="default"/>
        <w:b w:val="0"/>
        <w:bCs w:val="0"/>
        <w:i w:val="0"/>
        <w:iCs w:val="0"/>
        <w:spacing w:val="-1"/>
        <w:w w:val="100"/>
        <w:sz w:val="22"/>
        <w:szCs w:val="22"/>
        <w:lang w:val="es-ES" w:eastAsia="en-US" w:bidi="ar-SA"/>
      </w:rPr>
    </w:lvl>
    <w:lvl w:ilvl="1" w:tplc="CCC2E756">
      <w:numFmt w:val="bullet"/>
      <w:lvlText w:val="•"/>
      <w:lvlJc w:val="left"/>
      <w:pPr>
        <w:ind w:left="1014" w:hanging="280"/>
      </w:pPr>
      <w:rPr>
        <w:rFonts w:hint="default"/>
        <w:lang w:val="es-ES" w:eastAsia="en-US" w:bidi="ar-SA"/>
      </w:rPr>
    </w:lvl>
    <w:lvl w:ilvl="2" w:tplc="4E36F786">
      <w:numFmt w:val="bullet"/>
      <w:lvlText w:val="•"/>
      <w:lvlJc w:val="left"/>
      <w:pPr>
        <w:ind w:left="1928" w:hanging="280"/>
      </w:pPr>
      <w:rPr>
        <w:rFonts w:hint="default"/>
        <w:lang w:val="es-ES" w:eastAsia="en-US" w:bidi="ar-SA"/>
      </w:rPr>
    </w:lvl>
    <w:lvl w:ilvl="3" w:tplc="87983D52">
      <w:numFmt w:val="bullet"/>
      <w:lvlText w:val="•"/>
      <w:lvlJc w:val="left"/>
      <w:pPr>
        <w:ind w:left="2842" w:hanging="280"/>
      </w:pPr>
      <w:rPr>
        <w:rFonts w:hint="default"/>
        <w:lang w:val="es-ES" w:eastAsia="en-US" w:bidi="ar-SA"/>
      </w:rPr>
    </w:lvl>
    <w:lvl w:ilvl="4" w:tplc="DB504E44">
      <w:numFmt w:val="bullet"/>
      <w:lvlText w:val="•"/>
      <w:lvlJc w:val="left"/>
      <w:pPr>
        <w:ind w:left="3756" w:hanging="280"/>
      </w:pPr>
      <w:rPr>
        <w:rFonts w:hint="default"/>
        <w:lang w:val="es-ES" w:eastAsia="en-US" w:bidi="ar-SA"/>
      </w:rPr>
    </w:lvl>
    <w:lvl w:ilvl="5" w:tplc="0A78144A">
      <w:numFmt w:val="bullet"/>
      <w:lvlText w:val="•"/>
      <w:lvlJc w:val="left"/>
      <w:pPr>
        <w:ind w:left="4670" w:hanging="280"/>
      </w:pPr>
      <w:rPr>
        <w:rFonts w:hint="default"/>
        <w:lang w:val="es-ES" w:eastAsia="en-US" w:bidi="ar-SA"/>
      </w:rPr>
    </w:lvl>
    <w:lvl w:ilvl="6" w:tplc="CD9C63C2">
      <w:numFmt w:val="bullet"/>
      <w:lvlText w:val="•"/>
      <w:lvlJc w:val="left"/>
      <w:pPr>
        <w:ind w:left="5584" w:hanging="280"/>
      </w:pPr>
      <w:rPr>
        <w:rFonts w:hint="default"/>
        <w:lang w:val="es-ES" w:eastAsia="en-US" w:bidi="ar-SA"/>
      </w:rPr>
    </w:lvl>
    <w:lvl w:ilvl="7" w:tplc="65EEB232">
      <w:numFmt w:val="bullet"/>
      <w:lvlText w:val="•"/>
      <w:lvlJc w:val="left"/>
      <w:pPr>
        <w:ind w:left="6498" w:hanging="280"/>
      </w:pPr>
      <w:rPr>
        <w:rFonts w:hint="default"/>
        <w:lang w:val="es-ES" w:eastAsia="en-US" w:bidi="ar-SA"/>
      </w:rPr>
    </w:lvl>
    <w:lvl w:ilvl="8" w:tplc="BBAE7DA8">
      <w:numFmt w:val="bullet"/>
      <w:lvlText w:val="•"/>
      <w:lvlJc w:val="left"/>
      <w:pPr>
        <w:ind w:left="7412" w:hanging="28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52CF2"/>
    <w:rsid w:val="00331782"/>
    <w:rsid w:val="00652C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2AB89E6-6B14-4A49-9712-F6720F18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0" w:hanging="587"/>
      <w:outlineLvl w:val="0"/>
    </w:pPr>
    <w:rPr>
      <w:b/>
      <w:bCs/>
    </w:rPr>
  </w:style>
  <w:style w:type="paragraph" w:styleId="Ttulo2">
    <w:name w:val="heading 2"/>
    <w:basedOn w:val="Normal"/>
    <w:uiPriority w:val="9"/>
    <w:unhideWhenUsed/>
    <w:qFormat/>
    <w:pPr>
      <w:ind w:left="100"/>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enesnacionales.cl/?page_id=3296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3079</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loteos brujos</dc:title>
  <dc:creator>Guillermo Diaz Vallejos</dc:creator>
  <cp:lastModifiedBy>Guillermo Diaz Vallejos</cp:lastModifiedBy>
  <cp:revision>1</cp:revision>
  <dcterms:created xsi:type="dcterms:W3CDTF">2023-03-13T12:38:00Z</dcterms:created>
  <dcterms:modified xsi:type="dcterms:W3CDTF">2023-04-11T16:03:00Z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m113 Google Docs Renderer</vt:lpwstr>
  </property>
</Properties>
</file>