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E65" w:rsidRDefault="00280F04">
      <w:pPr>
        <w:pStyle w:val="Textoindependiente"/>
        <w:ind w:left="3704"/>
        <w:rPr>
          <w:sz w:val="20"/>
        </w:rPr>
      </w:pPr>
      <w:r>
        <w:rPr>
          <w:noProof/>
          <w:sz w:val="20"/>
        </w:rPr>
        <w:drawing>
          <wp:inline distT="0" distB="0" distL="0" distR="0">
            <wp:extent cx="1039368" cy="1039368"/>
            <wp:effectExtent l="0" t="0" r="0" b="0"/>
            <wp:docPr id="1" name="image1.jpeg" descr="Descripción: Descripción: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39368" cy="1039368"/>
                    </a:xfrm>
                    <a:prstGeom prst="rect">
                      <a:avLst/>
                    </a:prstGeom>
                  </pic:spPr>
                </pic:pic>
              </a:graphicData>
            </a:graphic>
          </wp:inline>
        </w:drawing>
      </w: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spacing w:before="7"/>
        <w:rPr>
          <w:sz w:val="16"/>
        </w:rPr>
      </w:pPr>
    </w:p>
    <w:p w:rsidR="00D62E65" w:rsidRDefault="00280F04">
      <w:pPr>
        <w:spacing w:before="92" w:line="360" w:lineRule="auto"/>
        <w:ind w:left="102" w:right="116"/>
        <w:jc w:val="both"/>
        <w:rPr>
          <w:b/>
        </w:rPr>
      </w:pPr>
      <w:r>
        <w:rPr>
          <w:b/>
        </w:rPr>
        <w:t>PROYECTO DE LEY QUE BUSCA FORTALECER LA PROTECCIÓN DE LA RESERVA DE TESTIGOS EN LA LEY DE SEGURIDAD DEL ESTADO, LEY ANTITERRORISTA Y EN</w:t>
      </w:r>
      <w:r>
        <w:rPr>
          <w:b/>
          <w:spacing w:val="-6"/>
        </w:rPr>
        <w:t xml:space="preserve"> </w:t>
      </w:r>
      <w:r>
        <w:rPr>
          <w:b/>
        </w:rPr>
        <w:t>EL</w:t>
      </w:r>
      <w:r>
        <w:rPr>
          <w:b/>
          <w:spacing w:val="-6"/>
        </w:rPr>
        <w:t xml:space="preserve"> </w:t>
      </w:r>
      <w:r>
        <w:rPr>
          <w:b/>
        </w:rPr>
        <w:t>CÓDIGO</w:t>
      </w:r>
      <w:r>
        <w:rPr>
          <w:b/>
          <w:spacing w:val="-6"/>
        </w:rPr>
        <w:t xml:space="preserve"> </w:t>
      </w:r>
      <w:r>
        <w:rPr>
          <w:b/>
        </w:rPr>
        <w:t>PROCESAL</w:t>
      </w:r>
      <w:r>
        <w:rPr>
          <w:b/>
          <w:spacing w:val="-6"/>
        </w:rPr>
        <w:t xml:space="preserve"> </w:t>
      </w:r>
      <w:r>
        <w:rPr>
          <w:b/>
        </w:rPr>
        <w:t>PENAL,</w:t>
      </w:r>
      <w:r>
        <w:rPr>
          <w:b/>
          <w:spacing w:val="-5"/>
        </w:rPr>
        <w:t xml:space="preserve"> </w:t>
      </w:r>
      <w:r>
        <w:rPr>
          <w:b/>
        </w:rPr>
        <w:t>A</w:t>
      </w:r>
      <w:r>
        <w:rPr>
          <w:b/>
          <w:spacing w:val="-8"/>
        </w:rPr>
        <w:t xml:space="preserve"> </w:t>
      </w:r>
      <w:r>
        <w:rPr>
          <w:b/>
        </w:rPr>
        <w:t>FIN</w:t>
      </w:r>
      <w:r>
        <w:rPr>
          <w:b/>
          <w:spacing w:val="-5"/>
        </w:rPr>
        <w:t xml:space="preserve"> </w:t>
      </w:r>
      <w:r>
        <w:rPr>
          <w:b/>
        </w:rPr>
        <w:t>DE</w:t>
      </w:r>
      <w:r>
        <w:rPr>
          <w:b/>
          <w:spacing w:val="-8"/>
        </w:rPr>
        <w:t xml:space="preserve"> </w:t>
      </w:r>
      <w:r>
        <w:rPr>
          <w:b/>
        </w:rPr>
        <w:t>PRIVAR</w:t>
      </w:r>
      <w:r>
        <w:rPr>
          <w:b/>
          <w:spacing w:val="-6"/>
        </w:rPr>
        <w:t xml:space="preserve"> </w:t>
      </w:r>
      <w:r>
        <w:rPr>
          <w:b/>
        </w:rPr>
        <w:t>A</w:t>
      </w:r>
      <w:r>
        <w:rPr>
          <w:b/>
          <w:spacing w:val="-6"/>
        </w:rPr>
        <w:t xml:space="preserve"> </w:t>
      </w:r>
      <w:r>
        <w:rPr>
          <w:b/>
        </w:rPr>
        <w:t>LOS</w:t>
      </w:r>
      <w:r>
        <w:rPr>
          <w:b/>
          <w:spacing w:val="-8"/>
        </w:rPr>
        <w:t xml:space="preserve"> </w:t>
      </w:r>
      <w:r>
        <w:rPr>
          <w:b/>
        </w:rPr>
        <w:t>JUECES</w:t>
      </w:r>
      <w:r>
        <w:rPr>
          <w:b/>
          <w:spacing w:val="-5"/>
        </w:rPr>
        <w:t xml:space="preserve"> </w:t>
      </w:r>
      <w:r>
        <w:rPr>
          <w:b/>
        </w:rPr>
        <w:t>DE</w:t>
      </w:r>
      <w:r>
        <w:rPr>
          <w:b/>
          <w:spacing w:val="-6"/>
        </w:rPr>
        <w:t xml:space="preserve"> </w:t>
      </w:r>
      <w:r>
        <w:rPr>
          <w:b/>
        </w:rPr>
        <w:t>GARANTÍA DE LA POTESTAD PARA DETERMINAR POR SÍ SOLOS EL LEVANT</w:t>
      </w:r>
      <w:r>
        <w:rPr>
          <w:b/>
        </w:rPr>
        <w:t>AMIENTO DE ESTA MEDIDA DE PROTECCIÓN.</w:t>
      </w:r>
    </w:p>
    <w:p w:rsidR="00D62E65" w:rsidRDefault="00D62E65">
      <w:pPr>
        <w:pStyle w:val="Textoindependiente"/>
        <w:spacing w:before="2"/>
        <w:rPr>
          <w:b/>
          <w:sz w:val="30"/>
        </w:rPr>
      </w:pPr>
    </w:p>
    <w:p w:rsidR="00D62E65" w:rsidRDefault="00280F04">
      <w:pPr>
        <w:pStyle w:val="Prrafodelista"/>
        <w:numPr>
          <w:ilvl w:val="0"/>
          <w:numId w:val="1"/>
        </w:numPr>
        <w:tabs>
          <w:tab w:val="left" w:pos="1181"/>
          <w:tab w:val="left" w:pos="1182"/>
        </w:tabs>
        <w:ind w:hanging="721"/>
        <w:rPr>
          <w:b/>
        </w:rPr>
      </w:pPr>
      <w:r>
        <w:rPr>
          <w:b/>
        </w:rPr>
        <w:t>Ideas</w:t>
      </w:r>
      <w:r>
        <w:rPr>
          <w:b/>
          <w:spacing w:val="-1"/>
        </w:rPr>
        <w:t xml:space="preserve"> </w:t>
      </w:r>
      <w:r>
        <w:rPr>
          <w:b/>
          <w:spacing w:val="-2"/>
        </w:rPr>
        <w:t>Generales</w:t>
      </w:r>
    </w:p>
    <w:p w:rsidR="00D62E65" w:rsidRDefault="00D62E65">
      <w:pPr>
        <w:pStyle w:val="Textoindependiente"/>
        <w:rPr>
          <w:b/>
          <w:sz w:val="24"/>
        </w:rPr>
      </w:pPr>
    </w:p>
    <w:p w:rsidR="00D62E65" w:rsidRDefault="00D62E65">
      <w:pPr>
        <w:pStyle w:val="Textoindependiente"/>
        <w:spacing w:before="6"/>
        <w:rPr>
          <w:b/>
          <w:sz w:val="29"/>
        </w:rPr>
      </w:pPr>
    </w:p>
    <w:p w:rsidR="00D62E65" w:rsidRDefault="00280F04">
      <w:pPr>
        <w:pStyle w:val="Prrafodelista"/>
        <w:numPr>
          <w:ilvl w:val="1"/>
          <w:numId w:val="1"/>
        </w:numPr>
        <w:tabs>
          <w:tab w:val="left" w:pos="822"/>
        </w:tabs>
        <w:ind w:hanging="361"/>
        <w:rPr>
          <w:b/>
        </w:rPr>
      </w:pPr>
      <w:r>
        <w:rPr>
          <w:b/>
        </w:rPr>
        <w:t>Antecedentes</w:t>
      </w:r>
      <w:r>
        <w:rPr>
          <w:b/>
          <w:spacing w:val="-7"/>
        </w:rPr>
        <w:t xml:space="preserve"> </w:t>
      </w:r>
      <w:r>
        <w:rPr>
          <w:b/>
          <w:spacing w:val="-2"/>
        </w:rPr>
        <w:t>generales</w:t>
      </w:r>
    </w:p>
    <w:p w:rsidR="00D62E65" w:rsidRDefault="00D62E65">
      <w:pPr>
        <w:pStyle w:val="Textoindependiente"/>
        <w:rPr>
          <w:b/>
          <w:sz w:val="24"/>
        </w:rPr>
      </w:pPr>
    </w:p>
    <w:p w:rsidR="00D62E65" w:rsidRDefault="00280F04">
      <w:pPr>
        <w:pStyle w:val="Textoindependiente"/>
        <w:spacing w:before="172" w:line="259" w:lineRule="auto"/>
        <w:ind w:left="102" w:right="115"/>
        <w:jc w:val="both"/>
      </w:pPr>
      <w:r>
        <w:t>Nos</w:t>
      </w:r>
      <w:r>
        <w:rPr>
          <w:spacing w:val="-5"/>
        </w:rPr>
        <w:t xml:space="preserve"> </w:t>
      </w:r>
      <w:r>
        <w:t>enfrentamos</w:t>
      </w:r>
      <w:r>
        <w:rPr>
          <w:spacing w:val="-5"/>
        </w:rPr>
        <w:t xml:space="preserve"> </w:t>
      </w:r>
      <w:r>
        <w:t>a</w:t>
      </w:r>
      <w:r>
        <w:rPr>
          <w:spacing w:val="-5"/>
        </w:rPr>
        <w:t xml:space="preserve"> </w:t>
      </w:r>
      <w:r>
        <w:t>una</w:t>
      </w:r>
      <w:r>
        <w:rPr>
          <w:spacing w:val="-7"/>
        </w:rPr>
        <w:t xml:space="preserve"> </w:t>
      </w:r>
      <w:r>
        <w:t>crisis</w:t>
      </w:r>
      <w:r>
        <w:rPr>
          <w:spacing w:val="-5"/>
        </w:rPr>
        <w:t xml:space="preserve"> </w:t>
      </w:r>
      <w:r>
        <w:t>de</w:t>
      </w:r>
      <w:r>
        <w:rPr>
          <w:spacing w:val="-5"/>
        </w:rPr>
        <w:t xml:space="preserve"> </w:t>
      </w:r>
      <w:r>
        <w:t>seguridad</w:t>
      </w:r>
      <w:r>
        <w:rPr>
          <w:spacing w:val="-5"/>
        </w:rPr>
        <w:t xml:space="preserve"> </w:t>
      </w:r>
      <w:r>
        <w:t>que</w:t>
      </w:r>
      <w:r>
        <w:rPr>
          <w:spacing w:val="-7"/>
        </w:rPr>
        <w:t xml:space="preserve"> </w:t>
      </w:r>
      <w:r>
        <w:t>no</w:t>
      </w:r>
      <w:r>
        <w:rPr>
          <w:spacing w:val="-4"/>
        </w:rPr>
        <w:t xml:space="preserve"> </w:t>
      </w:r>
      <w:r>
        <w:t>da</w:t>
      </w:r>
      <w:r>
        <w:rPr>
          <w:spacing w:val="-7"/>
        </w:rPr>
        <w:t xml:space="preserve"> </w:t>
      </w:r>
      <w:r>
        <w:t>tregua.</w:t>
      </w:r>
      <w:r>
        <w:rPr>
          <w:spacing w:val="-5"/>
        </w:rPr>
        <w:t xml:space="preserve"> </w:t>
      </w:r>
      <w:r>
        <w:t>El</w:t>
      </w:r>
      <w:r>
        <w:rPr>
          <w:spacing w:val="-5"/>
        </w:rPr>
        <w:t xml:space="preserve"> </w:t>
      </w:r>
      <w:r>
        <w:t>crecimiento</w:t>
      </w:r>
      <w:r>
        <w:rPr>
          <w:spacing w:val="-5"/>
        </w:rPr>
        <w:t xml:space="preserve"> </w:t>
      </w:r>
      <w:r>
        <w:t>explosivo</w:t>
      </w:r>
      <w:r>
        <w:rPr>
          <w:spacing w:val="-4"/>
        </w:rPr>
        <w:t xml:space="preserve"> </w:t>
      </w:r>
      <w:r>
        <w:t>en</w:t>
      </w:r>
      <w:r>
        <w:rPr>
          <w:spacing w:val="-5"/>
        </w:rPr>
        <w:t xml:space="preserve"> </w:t>
      </w:r>
      <w:r>
        <w:t>la</w:t>
      </w:r>
      <w:r>
        <w:rPr>
          <w:spacing w:val="-5"/>
        </w:rPr>
        <w:t xml:space="preserve"> </w:t>
      </w:r>
      <w:r>
        <w:t>comisión de delitos violentos mantiene atemorizada a toda nuestra población. Al aumento del homicidio en más de un 55%</w:t>
      </w:r>
      <w:r>
        <w:rPr>
          <w:vertAlign w:val="superscript"/>
        </w:rPr>
        <w:t>1</w:t>
      </w:r>
      <w:r>
        <w:t xml:space="preserve">, se le añade el aumento en los delitos de secuestro, trata de personas con fines de explotación sexual, tráfico de drogas y contrabando </w:t>
      </w:r>
      <w:r>
        <w:t>de armas.</w:t>
      </w:r>
    </w:p>
    <w:p w:rsidR="00D62E65" w:rsidRDefault="00280F04">
      <w:pPr>
        <w:pStyle w:val="Textoindependiente"/>
        <w:spacing w:before="158" w:line="256" w:lineRule="auto"/>
        <w:ind w:left="102" w:right="115"/>
        <w:jc w:val="both"/>
      </w:pPr>
      <w:r>
        <w:rPr>
          <w:spacing w:val="-2"/>
        </w:rPr>
        <w:t>Como</w:t>
      </w:r>
      <w:r>
        <w:rPr>
          <w:spacing w:val="-7"/>
        </w:rPr>
        <w:t xml:space="preserve"> </w:t>
      </w:r>
      <w:r>
        <w:rPr>
          <w:spacing w:val="-2"/>
        </w:rPr>
        <w:t>si</w:t>
      </w:r>
      <w:r>
        <w:rPr>
          <w:spacing w:val="-4"/>
        </w:rPr>
        <w:t xml:space="preserve"> </w:t>
      </w:r>
      <w:r>
        <w:rPr>
          <w:spacing w:val="-2"/>
        </w:rPr>
        <w:t>el</w:t>
      </w:r>
      <w:r>
        <w:rPr>
          <w:spacing w:val="-4"/>
        </w:rPr>
        <w:t xml:space="preserve"> </w:t>
      </w:r>
      <w:r>
        <w:rPr>
          <w:spacing w:val="-2"/>
        </w:rPr>
        <w:t>panorama</w:t>
      </w:r>
      <w:r>
        <w:rPr>
          <w:spacing w:val="-5"/>
        </w:rPr>
        <w:t xml:space="preserve"> </w:t>
      </w:r>
      <w:r>
        <w:rPr>
          <w:spacing w:val="-2"/>
        </w:rPr>
        <w:t>nacional</w:t>
      </w:r>
      <w:r>
        <w:rPr>
          <w:spacing w:val="-3"/>
        </w:rPr>
        <w:t xml:space="preserve"> </w:t>
      </w:r>
      <w:r>
        <w:rPr>
          <w:spacing w:val="-2"/>
        </w:rPr>
        <w:t>no</w:t>
      </w:r>
      <w:r>
        <w:rPr>
          <w:spacing w:val="-7"/>
        </w:rPr>
        <w:t xml:space="preserve"> </w:t>
      </w:r>
      <w:r>
        <w:rPr>
          <w:spacing w:val="-2"/>
        </w:rPr>
        <w:t>fuera</w:t>
      </w:r>
      <w:r>
        <w:rPr>
          <w:spacing w:val="-5"/>
        </w:rPr>
        <w:t xml:space="preserve"> </w:t>
      </w:r>
      <w:r>
        <w:rPr>
          <w:spacing w:val="-2"/>
        </w:rPr>
        <w:t>suficientemente</w:t>
      </w:r>
      <w:r>
        <w:rPr>
          <w:spacing w:val="-4"/>
        </w:rPr>
        <w:t xml:space="preserve"> </w:t>
      </w:r>
      <w:r>
        <w:rPr>
          <w:spacing w:val="-2"/>
        </w:rPr>
        <w:t>complejo,</w:t>
      </w:r>
      <w:r>
        <w:rPr>
          <w:spacing w:val="-7"/>
        </w:rPr>
        <w:t xml:space="preserve"> </w:t>
      </w:r>
      <w:r>
        <w:rPr>
          <w:spacing w:val="-2"/>
        </w:rPr>
        <w:t>dentro</w:t>
      </w:r>
      <w:r>
        <w:rPr>
          <w:spacing w:val="-7"/>
        </w:rPr>
        <w:t xml:space="preserve"> </w:t>
      </w:r>
      <w:r>
        <w:rPr>
          <w:spacing w:val="-2"/>
        </w:rPr>
        <w:t>de</w:t>
      </w:r>
      <w:r>
        <w:rPr>
          <w:spacing w:val="-5"/>
        </w:rPr>
        <w:t xml:space="preserve"> </w:t>
      </w:r>
      <w:r>
        <w:rPr>
          <w:spacing w:val="-2"/>
        </w:rPr>
        <w:t>la</w:t>
      </w:r>
      <w:r>
        <w:rPr>
          <w:spacing w:val="-5"/>
        </w:rPr>
        <w:t xml:space="preserve"> </w:t>
      </w:r>
      <w:r>
        <w:rPr>
          <w:spacing w:val="-2"/>
        </w:rPr>
        <w:t>amplia</w:t>
      </w:r>
      <w:r>
        <w:rPr>
          <w:spacing w:val="-5"/>
        </w:rPr>
        <w:t xml:space="preserve"> </w:t>
      </w:r>
      <w:r>
        <w:rPr>
          <w:spacing w:val="-2"/>
        </w:rPr>
        <w:t>gama</w:t>
      </w:r>
      <w:r>
        <w:rPr>
          <w:spacing w:val="-5"/>
        </w:rPr>
        <w:t xml:space="preserve"> </w:t>
      </w:r>
      <w:r>
        <w:rPr>
          <w:spacing w:val="-2"/>
        </w:rPr>
        <w:t>de</w:t>
      </w:r>
      <w:r>
        <w:rPr>
          <w:spacing w:val="-5"/>
        </w:rPr>
        <w:t xml:space="preserve"> </w:t>
      </w:r>
      <w:r>
        <w:rPr>
          <w:spacing w:val="-2"/>
        </w:rPr>
        <w:t xml:space="preserve">hechos </w:t>
      </w:r>
      <w:r>
        <w:t>ilícitos que azotan a nuestro país, nos encontramos con la crisis de violencia en la Macrozona Sur.</w:t>
      </w:r>
    </w:p>
    <w:p w:rsidR="00D62E65" w:rsidRDefault="00280F04">
      <w:pPr>
        <w:spacing w:before="167" w:line="256" w:lineRule="auto"/>
        <w:ind w:left="102" w:right="118"/>
        <w:jc w:val="both"/>
        <w:rPr>
          <w:i/>
        </w:rPr>
      </w:pPr>
      <w:r>
        <w:t>Así</w:t>
      </w:r>
      <w:r>
        <w:rPr>
          <w:spacing w:val="-6"/>
        </w:rPr>
        <w:t xml:space="preserve"> </w:t>
      </w:r>
      <w:r>
        <w:t>las</w:t>
      </w:r>
      <w:r>
        <w:rPr>
          <w:spacing w:val="-6"/>
        </w:rPr>
        <w:t xml:space="preserve"> </w:t>
      </w:r>
      <w:r>
        <w:t>cosas,</w:t>
      </w:r>
      <w:r>
        <w:rPr>
          <w:spacing w:val="-6"/>
        </w:rPr>
        <w:t xml:space="preserve"> </w:t>
      </w:r>
      <w:r>
        <w:rPr>
          <w:i/>
        </w:rPr>
        <w:t>“con</w:t>
      </w:r>
      <w:r>
        <w:rPr>
          <w:i/>
          <w:spacing w:val="-7"/>
        </w:rPr>
        <w:t xml:space="preserve"> </w:t>
      </w:r>
      <w:r>
        <w:rPr>
          <w:i/>
        </w:rPr>
        <w:t>un</w:t>
      </w:r>
      <w:r>
        <w:rPr>
          <w:i/>
          <w:spacing w:val="-7"/>
        </w:rPr>
        <w:t xml:space="preserve"> </w:t>
      </w:r>
      <w:r>
        <w:rPr>
          <w:i/>
        </w:rPr>
        <w:t>promedio</w:t>
      </w:r>
      <w:r>
        <w:rPr>
          <w:i/>
          <w:spacing w:val="-7"/>
        </w:rPr>
        <w:t xml:space="preserve"> </w:t>
      </w:r>
      <w:r>
        <w:rPr>
          <w:i/>
        </w:rPr>
        <w:t>de</w:t>
      </w:r>
      <w:r>
        <w:rPr>
          <w:i/>
          <w:spacing w:val="-9"/>
        </w:rPr>
        <w:t xml:space="preserve"> </w:t>
      </w:r>
      <w:r>
        <w:rPr>
          <w:i/>
        </w:rPr>
        <w:t>nueve</w:t>
      </w:r>
      <w:r>
        <w:rPr>
          <w:i/>
          <w:spacing w:val="-7"/>
        </w:rPr>
        <w:t xml:space="preserve"> </w:t>
      </w:r>
      <w:r>
        <w:rPr>
          <w:i/>
        </w:rPr>
        <w:t>ataque</w:t>
      </w:r>
      <w:r>
        <w:rPr>
          <w:i/>
        </w:rPr>
        <w:t>s</w:t>
      </w:r>
      <w:r>
        <w:rPr>
          <w:i/>
          <w:spacing w:val="-6"/>
        </w:rPr>
        <w:t xml:space="preserve"> </w:t>
      </w:r>
      <w:r>
        <w:rPr>
          <w:i/>
        </w:rPr>
        <w:t>cada</w:t>
      </w:r>
      <w:r>
        <w:rPr>
          <w:i/>
          <w:spacing w:val="-7"/>
        </w:rPr>
        <w:t xml:space="preserve"> </w:t>
      </w:r>
      <w:r>
        <w:rPr>
          <w:i/>
        </w:rPr>
        <w:t>30</w:t>
      </w:r>
      <w:r>
        <w:rPr>
          <w:i/>
          <w:spacing w:val="-7"/>
        </w:rPr>
        <w:t xml:space="preserve"> </w:t>
      </w:r>
      <w:r>
        <w:rPr>
          <w:i/>
        </w:rPr>
        <w:t>días</w:t>
      </w:r>
      <w:r>
        <w:rPr>
          <w:i/>
          <w:spacing w:val="-6"/>
        </w:rPr>
        <w:t xml:space="preserve"> </w:t>
      </w:r>
      <w:r>
        <w:rPr>
          <w:i/>
        </w:rPr>
        <w:t>en</w:t>
      </w:r>
      <w:r>
        <w:rPr>
          <w:i/>
          <w:spacing w:val="-9"/>
        </w:rPr>
        <w:t xml:space="preserve"> </w:t>
      </w:r>
      <w:r>
        <w:rPr>
          <w:i/>
        </w:rPr>
        <w:t>los</w:t>
      </w:r>
      <w:r>
        <w:rPr>
          <w:i/>
          <w:spacing w:val="-9"/>
        </w:rPr>
        <w:t xml:space="preserve"> </w:t>
      </w:r>
      <w:r>
        <w:rPr>
          <w:i/>
        </w:rPr>
        <w:t>últimos</w:t>
      </w:r>
      <w:r>
        <w:rPr>
          <w:i/>
          <w:spacing w:val="-9"/>
        </w:rPr>
        <w:t xml:space="preserve"> </w:t>
      </w:r>
      <w:r>
        <w:rPr>
          <w:i/>
        </w:rPr>
        <w:t>cinco</w:t>
      </w:r>
      <w:r>
        <w:rPr>
          <w:i/>
          <w:spacing w:val="-7"/>
        </w:rPr>
        <w:t xml:space="preserve"> </w:t>
      </w:r>
      <w:r>
        <w:rPr>
          <w:i/>
        </w:rPr>
        <w:t>años,</w:t>
      </w:r>
      <w:r>
        <w:rPr>
          <w:i/>
          <w:spacing w:val="-7"/>
        </w:rPr>
        <w:t xml:space="preserve"> </w:t>
      </w:r>
      <w:r>
        <w:rPr>
          <w:i/>
        </w:rPr>
        <w:t>los</w:t>
      </w:r>
      <w:r>
        <w:rPr>
          <w:i/>
          <w:spacing w:val="-6"/>
        </w:rPr>
        <w:t xml:space="preserve"> </w:t>
      </w:r>
      <w:r>
        <w:rPr>
          <w:i/>
        </w:rPr>
        <w:t>hechos</w:t>
      </w:r>
      <w:r>
        <w:rPr>
          <w:i/>
        </w:rPr>
        <w:t xml:space="preserve"> de violencia en la zona roja del conflicto mapuche que afecta a las regiones del Biobío y La Araucanía se ha transformado en un tema complejo para el gobierno, las fiscalías y las policías”</w:t>
      </w:r>
      <w:r>
        <w:rPr>
          <w:i/>
          <w:vertAlign w:val="superscript"/>
        </w:rPr>
        <w:t>2</w:t>
      </w:r>
      <w:r>
        <w:rPr>
          <w:i/>
        </w:rPr>
        <w:t>.</w:t>
      </w:r>
    </w:p>
    <w:p w:rsidR="00D62E65" w:rsidRDefault="00280F04">
      <w:pPr>
        <w:spacing w:before="167" w:line="259" w:lineRule="auto"/>
        <w:ind w:left="102" w:right="116"/>
        <w:jc w:val="both"/>
        <w:rPr>
          <w:i/>
        </w:rPr>
      </w:pPr>
      <w:r>
        <w:t>En particular, nadie ha quedado indiferente con los atentados perpetrados por miembros de organizaciones criminales y terroristas, tal como es el caso de la Coordinadora Arauco Malleco (CAM), cuyo líder, Héctor Llaitúl se encuentra actualmente en prisión p</w:t>
      </w:r>
      <w:r>
        <w:t xml:space="preserve">reventiva, </w:t>
      </w:r>
      <w:r>
        <w:rPr>
          <w:i/>
        </w:rPr>
        <w:t>“acusado como autor</w:t>
      </w:r>
      <w:r>
        <w:rPr>
          <w:i/>
          <w:spacing w:val="-2"/>
        </w:rPr>
        <w:t xml:space="preserve"> </w:t>
      </w:r>
      <w:r>
        <w:rPr>
          <w:i/>
        </w:rPr>
        <w:t>de</w:t>
      </w:r>
      <w:r>
        <w:rPr>
          <w:i/>
          <w:spacing w:val="-2"/>
        </w:rPr>
        <w:t xml:space="preserve"> </w:t>
      </w:r>
      <w:r>
        <w:rPr>
          <w:i/>
        </w:rPr>
        <w:t>delitos</w:t>
      </w:r>
      <w:r>
        <w:rPr>
          <w:i/>
          <w:spacing w:val="-2"/>
        </w:rPr>
        <w:t xml:space="preserve"> </w:t>
      </w:r>
      <w:r>
        <w:rPr>
          <w:i/>
        </w:rPr>
        <w:t>contemplados en</w:t>
      </w:r>
      <w:r>
        <w:rPr>
          <w:i/>
          <w:spacing w:val="-2"/>
        </w:rPr>
        <w:t xml:space="preserve"> </w:t>
      </w:r>
      <w:r>
        <w:rPr>
          <w:i/>
        </w:rPr>
        <w:t>la</w:t>
      </w:r>
      <w:r>
        <w:rPr>
          <w:i/>
          <w:spacing w:val="-3"/>
        </w:rPr>
        <w:t xml:space="preserve"> </w:t>
      </w:r>
      <w:r>
        <w:rPr>
          <w:i/>
        </w:rPr>
        <w:t>ley seguridad</w:t>
      </w:r>
      <w:r>
        <w:rPr>
          <w:i/>
          <w:spacing w:val="-3"/>
        </w:rPr>
        <w:t xml:space="preserve"> </w:t>
      </w:r>
      <w:r>
        <w:rPr>
          <w:i/>
        </w:rPr>
        <w:t>del</w:t>
      </w:r>
      <w:r>
        <w:rPr>
          <w:i/>
          <w:spacing w:val="-1"/>
        </w:rPr>
        <w:t xml:space="preserve"> </w:t>
      </w:r>
      <w:r>
        <w:rPr>
          <w:i/>
        </w:rPr>
        <w:t>Estado,</w:t>
      </w:r>
      <w:r>
        <w:rPr>
          <w:i/>
          <w:spacing w:val="-3"/>
        </w:rPr>
        <w:t xml:space="preserve"> </w:t>
      </w:r>
      <w:r>
        <w:rPr>
          <w:i/>
        </w:rPr>
        <w:t>usurpación</w:t>
      </w:r>
      <w:r>
        <w:rPr>
          <w:i/>
          <w:spacing w:val="-2"/>
        </w:rPr>
        <w:t xml:space="preserve"> </w:t>
      </w:r>
      <w:r>
        <w:rPr>
          <w:i/>
        </w:rPr>
        <w:t>violenta de predios,</w:t>
      </w:r>
      <w:r>
        <w:rPr>
          <w:i/>
          <w:spacing w:val="-2"/>
        </w:rPr>
        <w:t xml:space="preserve"> </w:t>
      </w:r>
      <w:r>
        <w:rPr>
          <w:i/>
        </w:rPr>
        <w:t>hurto de madera y atentado contra la autoridad”</w:t>
      </w:r>
      <w:r>
        <w:rPr>
          <w:i/>
          <w:vertAlign w:val="superscript"/>
        </w:rPr>
        <w:t>3</w:t>
      </w:r>
      <w:r>
        <w:rPr>
          <w:i/>
        </w:rPr>
        <w:t>.</w:t>
      </w:r>
    </w:p>
    <w:p w:rsidR="00D62E65" w:rsidRDefault="00D62E65">
      <w:pPr>
        <w:pStyle w:val="Textoindependiente"/>
        <w:rPr>
          <w:i/>
          <w:sz w:val="20"/>
        </w:rPr>
      </w:pPr>
    </w:p>
    <w:p w:rsidR="00D62E65" w:rsidRDefault="00280F04">
      <w:pPr>
        <w:pStyle w:val="Textoindependiente"/>
        <w:spacing w:before="7"/>
        <w:rPr>
          <w:i/>
          <w:sz w:val="29"/>
        </w:rPr>
      </w:pPr>
      <w:r>
        <w:pict>
          <v:rect id="docshape1" o:spid="_x0000_s1027" style="position:absolute;margin-left:85.1pt;margin-top:18.25pt;width:2in;height:.7pt;z-index:-15728640;mso-wrap-distance-left:0;mso-wrap-distance-right:0;mso-position-horizontal-relative:page" fillcolor="black" stroked="f">
            <w10:wrap type="topAndBottom" anchorx="page"/>
          </v:rect>
        </w:pict>
      </w:r>
    </w:p>
    <w:p w:rsidR="00D62E65" w:rsidRDefault="00280F04">
      <w:pPr>
        <w:spacing w:before="102"/>
        <w:ind w:left="102" w:right="364"/>
        <w:rPr>
          <w:rFonts w:ascii="Calibri" w:hAnsi="Calibri"/>
          <w:sz w:val="20"/>
        </w:rPr>
      </w:pPr>
      <w:r>
        <w:rPr>
          <w:rFonts w:ascii="Calibri" w:hAnsi="Calibri"/>
          <w:sz w:val="20"/>
          <w:vertAlign w:val="superscript"/>
        </w:rPr>
        <w:t>1</w:t>
      </w:r>
      <w:r>
        <w:rPr>
          <w:rFonts w:ascii="Calibri" w:hAnsi="Calibri"/>
          <w:sz w:val="20"/>
        </w:rPr>
        <w:t xml:space="preserve"> Carolina González. Emol. (Abril 2023). Disponible en: </w:t>
      </w:r>
      <w:hyperlink r:id="rId6">
        <w:r>
          <w:rPr>
            <w:rFonts w:ascii="Calibri" w:hAnsi="Calibri"/>
            <w:color w:val="0462C1"/>
            <w:spacing w:val="-2"/>
            <w:sz w:val="20"/>
            <w:u w:val="single" w:color="0462C1"/>
          </w:rPr>
          <w:t>https://www.emol.com/noticias/Nacional/2022/09/13/1072759/alza-homicidios-comparacion-2021.html</w:t>
        </w:r>
      </w:hyperlink>
      <w:r>
        <w:rPr>
          <w:rFonts w:ascii="Calibri" w:hAnsi="Calibri"/>
          <w:color w:val="0462C1"/>
          <w:spacing w:val="40"/>
          <w:sz w:val="20"/>
        </w:rPr>
        <w:t xml:space="preserve">  </w:t>
      </w:r>
      <w:r>
        <w:rPr>
          <w:rFonts w:ascii="Calibri" w:hAnsi="Calibri"/>
          <w:sz w:val="20"/>
          <w:vertAlign w:val="superscript"/>
        </w:rPr>
        <w:t>2</w:t>
      </w:r>
      <w:r>
        <w:rPr>
          <w:rFonts w:ascii="Calibri" w:hAnsi="Calibri"/>
          <w:sz w:val="20"/>
        </w:rPr>
        <w:t xml:space="preserve"> Sebastián Labrín y Felipe Díaz. La Tercera. (Abril 2023) Disponible en: </w:t>
      </w:r>
      <w:hyperlink r:id="rId7">
        <w:r>
          <w:rPr>
            <w:rFonts w:ascii="Calibri" w:hAnsi="Calibri"/>
            <w:color w:val="0462C1"/>
            <w:spacing w:val="-2"/>
            <w:sz w:val="20"/>
            <w:u w:val="single" w:color="0462C1"/>
          </w:rPr>
          <w:t>https://interactivo.latercera.com/mapa-de-violencia-en-macrozona-sur/</w:t>
        </w:r>
      </w:hyperlink>
    </w:p>
    <w:p w:rsidR="00D62E65" w:rsidRDefault="00280F04">
      <w:pPr>
        <w:ind w:left="102" w:right="627"/>
        <w:rPr>
          <w:rFonts w:ascii="Calibri"/>
          <w:sz w:val="20"/>
        </w:rPr>
      </w:pPr>
      <w:r>
        <w:rPr>
          <w:rFonts w:ascii="Calibri"/>
          <w:sz w:val="20"/>
          <w:vertAlign w:val="superscript"/>
        </w:rPr>
        <w:t>3</w:t>
      </w:r>
      <w:r>
        <w:rPr>
          <w:rFonts w:ascii="Calibri"/>
          <w:spacing w:val="-7"/>
          <w:sz w:val="20"/>
        </w:rPr>
        <w:t xml:space="preserve"> </w:t>
      </w:r>
      <w:r>
        <w:rPr>
          <w:rFonts w:ascii="Calibri"/>
          <w:sz w:val="20"/>
        </w:rPr>
        <w:t>En</w:t>
      </w:r>
      <w:r>
        <w:rPr>
          <w:rFonts w:ascii="Calibri"/>
          <w:spacing w:val="-6"/>
          <w:sz w:val="20"/>
        </w:rPr>
        <w:t xml:space="preserve"> </w:t>
      </w:r>
      <w:r>
        <w:rPr>
          <w:rFonts w:ascii="Calibri"/>
          <w:sz w:val="20"/>
        </w:rPr>
        <w:t>Estrado.</w:t>
      </w:r>
      <w:r>
        <w:rPr>
          <w:rFonts w:ascii="Calibri"/>
          <w:spacing w:val="-6"/>
          <w:sz w:val="20"/>
        </w:rPr>
        <w:t xml:space="preserve"> </w:t>
      </w:r>
      <w:r>
        <w:rPr>
          <w:rFonts w:ascii="Calibri"/>
          <w:sz w:val="20"/>
        </w:rPr>
        <w:t>(Abril</w:t>
      </w:r>
      <w:r>
        <w:rPr>
          <w:rFonts w:ascii="Calibri"/>
          <w:spacing w:val="-6"/>
          <w:sz w:val="20"/>
        </w:rPr>
        <w:t xml:space="preserve"> </w:t>
      </w:r>
      <w:r>
        <w:rPr>
          <w:rFonts w:ascii="Calibri"/>
          <w:sz w:val="20"/>
        </w:rPr>
        <w:t>202</w:t>
      </w:r>
      <w:r>
        <w:rPr>
          <w:rFonts w:ascii="Calibri"/>
          <w:sz w:val="20"/>
        </w:rPr>
        <w:t>3).</w:t>
      </w:r>
      <w:r>
        <w:rPr>
          <w:rFonts w:ascii="Calibri"/>
          <w:spacing w:val="-7"/>
          <w:sz w:val="20"/>
        </w:rPr>
        <w:t xml:space="preserve"> </w:t>
      </w:r>
      <w:r>
        <w:rPr>
          <w:rFonts w:ascii="Calibri"/>
          <w:sz w:val="20"/>
        </w:rPr>
        <w:t>Disponible</w:t>
      </w:r>
      <w:r>
        <w:rPr>
          <w:rFonts w:ascii="Calibri"/>
          <w:spacing w:val="-8"/>
          <w:sz w:val="20"/>
        </w:rPr>
        <w:t xml:space="preserve"> </w:t>
      </w:r>
      <w:r>
        <w:rPr>
          <w:rFonts w:ascii="Calibri"/>
          <w:sz w:val="20"/>
        </w:rPr>
        <w:t>en:</w:t>
      </w:r>
      <w:r>
        <w:rPr>
          <w:rFonts w:ascii="Calibri"/>
          <w:spacing w:val="-4"/>
          <w:sz w:val="20"/>
        </w:rPr>
        <w:t xml:space="preserve"> </w:t>
      </w:r>
      <w:hyperlink r:id="rId8">
        <w:r>
          <w:rPr>
            <w:rFonts w:ascii="Calibri"/>
            <w:color w:val="0462C1"/>
            <w:sz w:val="20"/>
            <w:u w:val="single" w:color="0462C1"/>
          </w:rPr>
          <w:t>https://enestrado.com/corte-de-temuco-rechaza-recurso-de-</w:t>
        </w:r>
      </w:hyperlink>
      <w:r>
        <w:rPr>
          <w:rFonts w:ascii="Calibri"/>
          <w:color w:val="0462C1"/>
          <w:sz w:val="20"/>
        </w:rPr>
        <w:t xml:space="preserve"> </w:t>
      </w:r>
      <w:hyperlink r:id="rId9">
        <w:r>
          <w:rPr>
            <w:rFonts w:ascii="Calibri"/>
            <w:color w:val="0462C1"/>
            <w:spacing w:val="-2"/>
            <w:sz w:val="20"/>
            <w:u w:val="single" w:color="0462C1"/>
          </w:rPr>
          <w:t>apelacion-de-hector-llaitul/</w:t>
        </w:r>
      </w:hyperlink>
    </w:p>
    <w:p w:rsidR="00D62E65" w:rsidRDefault="00D62E65">
      <w:pPr>
        <w:rPr>
          <w:rFonts w:ascii="Calibri"/>
          <w:sz w:val="20"/>
        </w:rPr>
        <w:sectPr w:rsidR="00D62E65">
          <w:type w:val="continuous"/>
          <w:pgSz w:w="12240" w:h="15840"/>
          <w:pgMar w:top="1520" w:right="1580" w:bottom="280" w:left="1600" w:header="720" w:footer="720" w:gutter="0"/>
          <w:cols w:space="720"/>
        </w:sectPr>
      </w:pPr>
    </w:p>
    <w:p w:rsidR="00D62E65" w:rsidRDefault="00280F04">
      <w:pPr>
        <w:pStyle w:val="Textoindependiente"/>
        <w:spacing w:before="72" w:line="259" w:lineRule="auto"/>
        <w:ind w:left="102" w:right="115"/>
        <w:jc w:val="both"/>
      </w:pPr>
      <w:r>
        <w:lastRenderedPageBreak/>
        <w:t>La reciente noticia de que la identidad de los testigos reservados deberá ser puesta a disposición de la defensa de Llaitúl, en la causa que el Ministerio Público lleva en contra de es</w:t>
      </w:r>
      <w:r>
        <w:t>te imputado, ha generado conmoción pública.</w:t>
      </w:r>
    </w:p>
    <w:p w:rsidR="00D62E65" w:rsidRDefault="00280F04">
      <w:pPr>
        <w:spacing w:before="160" w:line="259" w:lineRule="auto"/>
        <w:ind w:left="102" w:right="118"/>
        <w:jc w:val="both"/>
        <w:rPr>
          <w:i/>
        </w:rPr>
      </w:pPr>
      <w:r>
        <w:t xml:space="preserve">En tal sentido, una vez que se hizo público que </w:t>
      </w:r>
      <w:r>
        <w:rPr>
          <w:i/>
        </w:rPr>
        <w:t>“La magistrada Viviana García determinó que la identidad</w:t>
      </w:r>
      <w:r>
        <w:rPr>
          <w:i/>
          <w:spacing w:val="-7"/>
        </w:rPr>
        <w:t xml:space="preserve"> </w:t>
      </w:r>
      <w:r>
        <w:rPr>
          <w:i/>
        </w:rPr>
        <w:t>de</w:t>
      </w:r>
      <w:r>
        <w:rPr>
          <w:i/>
          <w:spacing w:val="-7"/>
        </w:rPr>
        <w:t xml:space="preserve"> </w:t>
      </w:r>
      <w:r>
        <w:rPr>
          <w:i/>
        </w:rPr>
        <w:t>los</w:t>
      </w:r>
      <w:r>
        <w:rPr>
          <w:i/>
          <w:spacing w:val="-6"/>
        </w:rPr>
        <w:t xml:space="preserve"> </w:t>
      </w:r>
      <w:r>
        <w:rPr>
          <w:i/>
        </w:rPr>
        <w:t>5</w:t>
      </w:r>
      <w:r>
        <w:rPr>
          <w:i/>
          <w:spacing w:val="-7"/>
        </w:rPr>
        <w:t xml:space="preserve"> </w:t>
      </w:r>
      <w:r>
        <w:rPr>
          <w:i/>
        </w:rPr>
        <w:t>testigos</w:t>
      </w:r>
      <w:r>
        <w:rPr>
          <w:i/>
          <w:spacing w:val="-6"/>
        </w:rPr>
        <w:t xml:space="preserve"> </w:t>
      </w:r>
      <w:r>
        <w:rPr>
          <w:i/>
        </w:rPr>
        <w:t>protegidos</w:t>
      </w:r>
      <w:r>
        <w:rPr>
          <w:i/>
          <w:spacing w:val="-6"/>
        </w:rPr>
        <w:t xml:space="preserve"> </w:t>
      </w:r>
      <w:r>
        <w:rPr>
          <w:i/>
        </w:rPr>
        <w:t>que</w:t>
      </w:r>
      <w:r>
        <w:rPr>
          <w:i/>
          <w:spacing w:val="-7"/>
        </w:rPr>
        <w:t xml:space="preserve"> </w:t>
      </w:r>
      <w:r>
        <w:rPr>
          <w:i/>
        </w:rPr>
        <w:t>presentará</w:t>
      </w:r>
      <w:r>
        <w:rPr>
          <w:i/>
          <w:spacing w:val="-6"/>
        </w:rPr>
        <w:t xml:space="preserve"> </w:t>
      </w:r>
      <w:r>
        <w:rPr>
          <w:i/>
        </w:rPr>
        <w:t>el</w:t>
      </w:r>
      <w:r>
        <w:rPr>
          <w:i/>
          <w:spacing w:val="-8"/>
        </w:rPr>
        <w:t xml:space="preserve"> </w:t>
      </w:r>
      <w:r>
        <w:rPr>
          <w:i/>
        </w:rPr>
        <w:t>Ministerio</w:t>
      </w:r>
      <w:r>
        <w:rPr>
          <w:i/>
          <w:spacing w:val="-7"/>
        </w:rPr>
        <w:t xml:space="preserve"> </w:t>
      </w:r>
      <w:r>
        <w:rPr>
          <w:i/>
        </w:rPr>
        <w:t>Público</w:t>
      </w:r>
      <w:r>
        <w:rPr>
          <w:i/>
          <w:spacing w:val="-7"/>
        </w:rPr>
        <w:t xml:space="preserve"> </w:t>
      </w:r>
      <w:r>
        <w:rPr>
          <w:i/>
        </w:rPr>
        <w:t>en</w:t>
      </w:r>
      <w:r>
        <w:rPr>
          <w:i/>
          <w:spacing w:val="-7"/>
        </w:rPr>
        <w:t xml:space="preserve"> </w:t>
      </w:r>
      <w:r>
        <w:rPr>
          <w:i/>
        </w:rPr>
        <w:t>el</w:t>
      </w:r>
      <w:r>
        <w:rPr>
          <w:i/>
          <w:spacing w:val="-6"/>
        </w:rPr>
        <w:t xml:space="preserve"> </w:t>
      </w:r>
      <w:r>
        <w:rPr>
          <w:i/>
        </w:rPr>
        <w:t>juicio</w:t>
      </w:r>
      <w:r>
        <w:rPr>
          <w:i/>
          <w:spacing w:val="-7"/>
        </w:rPr>
        <w:t xml:space="preserve"> </w:t>
      </w:r>
      <w:r>
        <w:rPr>
          <w:i/>
        </w:rPr>
        <w:t>oral</w:t>
      </w:r>
      <w:r>
        <w:rPr>
          <w:i/>
          <w:spacing w:val="-6"/>
        </w:rPr>
        <w:t xml:space="preserve"> </w:t>
      </w:r>
      <w:r>
        <w:rPr>
          <w:i/>
        </w:rPr>
        <w:t>contra</w:t>
      </w:r>
      <w:r>
        <w:rPr>
          <w:i/>
          <w:spacing w:val="-7"/>
        </w:rPr>
        <w:t xml:space="preserve"> </w:t>
      </w:r>
      <w:r>
        <w:rPr>
          <w:i/>
        </w:rPr>
        <w:t>el líder de la CAM debe ser conocida por los intervinientes [, el] fiscal nacional, Ángel Valencia, manifestó su disconformidad con la decisión: “Todas las instituciones del Estado deben proteger</w:t>
      </w:r>
      <w:r>
        <w:rPr>
          <w:i/>
          <w:spacing w:val="-1"/>
        </w:rPr>
        <w:t xml:space="preserve"> </w:t>
      </w:r>
      <w:r>
        <w:rPr>
          <w:i/>
        </w:rPr>
        <w:t>a las víctimas de los delitos violentos””</w:t>
      </w:r>
      <w:r>
        <w:rPr>
          <w:i/>
          <w:vertAlign w:val="superscript"/>
        </w:rPr>
        <w:t>4</w:t>
      </w:r>
      <w:r>
        <w:rPr>
          <w:i/>
        </w:rPr>
        <w:t>.</w:t>
      </w:r>
    </w:p>
    <w:p w:rsidR="00D62E65" w:rsidRDefault="00280F04">
      <w:pPr>
        <w:pStyle w:val="Textoindependiente"/>
        <w:spacing w:before="160" w:line="259" w:lineRule="auto"/>
        <w:ind w:left="102" w:right="116"/>
        <w:jc w:val="both"/>
      </w:pPr>
      <w:r>
        <w:t>La</w:t>
      </w:r>
      <w:r>
        <w:rPr>
          <w:spacing w:val="-2"/>
        </w:rPr>
        <w:t xml:space="preserve"> </w:t>
      </w:r>
      <w:r>
        <w:t>molestia</w:t>
      </w:r>
      <w:r>
        <w:rPr>
          <w:spacing w:val="-2"/>
        </w:rPr>
        <w:t xml:space="preserve"> </w:t>
      </w:r>
      <w:r>
        <w:t>de</w:t>
      </w:r>
      <w:r>
        <w:rPr>
          <w:spacing w:val="-2"/>
        </w:rPr>
        <w:t xml:space="preserve"> </w:t>
      </w:r>
      <w:r>
        <w:t>l</w:t>
      </w:r>
      <w:r>
        <w:t>a</w:t>
      </w:r>
      <w:r>
        <w:rPr>
          <w:spacing w:val="-2"/>
        </w:rPr>
        <w:t xml:space="preserve"> </w:t>
      </w:r>
      <w:r>
        <w:t>máxima</w:t>
      </w:r>
      <w:r>
        <w:rPr>
          <w:spacing w:val="-2"/>
        </w:rPr>
        <w:t xml:space="preserve"> </w:t>
      </w:r>
      <w:r>
        <w:t>autoridad</w:t>
      </w:r>
      <w:r>
        <w:rPr>
          <w:spacing w:val="-2"/>
        </w:rPr>
        <w:t xml:space="preserve"> </w:t>
      </w:r>
      <w:r>
        <w:t>persecutora</w:t>
      </w:r>
      <w:r>
        <w:rPr>
          <w:spacing w:val="-2"/>
        </w:rPr>
        <w:t xml:space="preserve"> </w:t>
      </w:r>
      <w:r>
        <w:t>se</w:t>
      </w:r>
      <w:r>
        <w:rPr>
          <w:spacing w:val="-2"/>
        </w:rPr>
        <w:t xml:space="preserve"> </w:t>
      </w:r>
      <w:r>
        <w:t>enmarca</w:t>
      </w:r>
      <w:r>
        <w:rPr>
          <w:spacing w:val="-2"/>
        </w:rPr>
        <w:t xml:space="preserve"> </w:t>
      </w:r>
      <w:r>
        <w:t>en</w:t>
      </w:r>
      <w:r>
        <w:rPr>
          <w:spacing w:val="-2"/>
        </w:rPr>
        <w:t xml:space="preserve"> </w:t>
      </w:r>
      <w:r>
        <w:t>el</w:t>
      </w:r>
      <w:r>
        <w:rPr>
          <w:spacing w:val="-1"/>
        </w:rPr>
        <w:t xml:space="preserve"> </w:t>
      </w:r>
      <w:r>
        <w:t>particular</w:t>
      </w:r>
      <w:r>
        <w:rPr>
          <w:spacing w:val="-4"/>
        </w:rPr>
        <w:t xml:space="preserve"> </w:t>
      </w:r>
      <w:r>
        <w:t>contexto que</w:t>
      </w:r>
      <w:r>
        <w:rPr>
          <w:spacing w:val="-2"/>
        </w:rPr>
        <w:t xml:space="preserve"> </w:t>
      </w:r>
      <w:r>
        <w:t>envuelve</w:t>
      </w:r>
      <w:r>
        <w:rPr>
          <w:spacing w:val="-2"/>
        </w:rPr>
        <w:t xml:space="preserve"> </w:t>
      </w:r>
      <w:r>
        <w:t xml:space="preserve">a la causa: La CAM y sus brazos armados son organizaciones criminales extremadamente peligrosas, por lo que entregar la identidad de estos testigos los pone en un alto riesgo </w:t>
      </w:r>
      <w:r>
        <w:t>de sufrir represalias o incluso de ser asesinados.</w:t>
      </w:r>
    </w:p>
    <w:p w:rsidR="00D62E65" w:rsidRDefault="00280F04">
      <w:pPr>
        <w:pStyle w:val="Textoindependiente"/>
        <w:spacing w:before="158" w:line="259" w:lineRule="auto"/>
        <w:ind w:left="102" w:right="113"/>
        <w:jc w:val="both"/>
      </w:pPr>
      <w:r>
        <w:t>Ante la falta de una norma legal que le permita al Ministerio Público apelar la decisión del Tribunal de levantar la reserva de los testigos, se anunció por parte de la Fiscalía que es muy probable que est</w:t>
      </w:r>
      <w:r>
        <w:t>os testigos no puedan comparecer a la audiencia de Juicio Oral, lo que, por supuesto, afecta la rendición de prueba en la causa, y el grado de convicción que los jueces pueden llegar a tener a la hora de resolver la culpabilidad o inocencia del procesado.</w:t>
      </w:r>
    </w:p>
    <w:p w:rsidR="00D62E65" w:rsidRDefault="00280F04">
      <w:pPr>
        <w:spacing w:before="161" w:line="259" w:lineRule="auto"/>
        <w:ind w:left="102" w:right="115"/>
        <w:jc w:val="both"/>
        <w:rPr>
          <w:i/>
        </w:rPr>
      </w:pPr>
      <w:r>
        <w:t xml:space="preserve">En tal sentido, </w:t>
      </w:r>
      <w:r>
        <w:rPr>
          <w:i/>
        </w:rPr>
        <w:t>“el fiscal Garrido advirtió que la decisión adoptada por la magistrada “genera una situación de riesgo para la integridad física de los testigos y que los cohíbe de prestar declaración en el tribunal. Consideramos que la decisión del tribun</w:t>
      </w:r>
      <w:r>
        <w:rPr>
          <w:i/>
        </w:rPr>
        <w:t>al afecta la posibilidad de que los testigos comparezcan en la audiencia de juicio oral”</w:t>
      </w:r>
      <w:r>
        <w:rPr>
          <w:i/>
          <w:vertAlign w:val="superscript"/>
        </w:rPr>
        <w:t>5</w:t>
      </w:r>
      <w:r>
        <w:rPr>
          <w:i/>
        </w:rPr>
        <w:t>.</w:t>
      </w:r>
    </w:p>
    <w:p w:rsidR="00D62E65" w:rsidRDefault="00280F04">
      <w:pPr>
        <w:pStyle w:val="Textoindependiente"/>
        <w:spacing w:before="160" w:line="259" w:lineRule="auto"/>
        <w:ind w:left="102" w:right="114"/>
        <w:jc w:val="both"/>
      </w:pPr>
      <w:r>
        <w:t xml:space="preserve">En este sentido, el presente proyecto de ley busca remediar un vacío normativo para que la autorización o negativa de reserva de los testigos, con los cuidados debidos, pueda ser apelable en ambos efectos por parte del Ministerio Público. De este modo, se </w:t>
      </w:r>
      <w:r>
        <w:t>fortalecerá la protección de la reserva</w:t>
      </w:r>
      <w:r>
        <w:rPr>
          <w:spacing w:val="-2"/>
        </w:rPr>
        <w:t xml:space="preserve"> </w:t>
      </w:r>
      <w:r>
        <w:t>de</w:t>
      </w:r>
      <w:r>
        <w:rPr>
          <w:spacing w:val="-4"/>
        </w:rPr>
        <w:t xml:space="preserve"> </w:t>
      </w:r>
      <w:r>
        <w:t>los</w:t>
      </w:r>
      <w:r>
        <w:rPr>
          <w:spacing w:val="-4"/>
        </w:rPr>
        <w:t xml:space="preserve"> </w:t>
      </w:r>
      <w:r>
        <w:t>testigos,</w:t>
      </w:r>
      <w:r>
        <w:rPr>
          <w:spacing w:val="-2"/>
        </w:rPr>
        <w:t xml:space="preserve"> </w:t>
      </w:r>
      <w:r>
        <w:t>al</w:t>
      </w:r>
      <w:r>
        <w:rPr>
          <w:spacing w:val="-1"/>
        </w:rPr>
        <w:t xml:space="preserve"> </w:t>
      </w:r>
      <w:r>
        <w:t>privar</w:t>
      </w:r>
      <w:r>
        <w:rPr>
          <w:spacing w:val="-1"/>
        </w:rPr>
        <w:t xml:space="preserve"> </w:t>
      </w:r>
      <w:r>
        <w:t>a</w:t>
      </w:r>
      <w:r>
        <w:rPr>
          <w:spacing w:val="-4"/>
        </w:rPr>
        <w:t xml:space="preserve"> </w:t>
      </w:r>
      <w:r>
        <w:t>los</w:t>
      </w:r>
      <w:r>
        <w:rPr>
          <w:spacing w:val="-4"/>
        </w:rPr>
        <w:t xml:space="preserve"> </w:t>
      </w:r>
      <w:r>
        <w:t>jueces</w:t>
      </w:r>
      <w:r>
        <w:rPr>
          <w:spacing w:val="-4"/>
        </w:rPr>
        <w:t xml:space="preserve"> </w:t>
      </w:r>
      <w:r>
        <w:t>de</w:t>
      </w:r>
      <w:r>
        <w:rPr>
          <w:spacing w:val="-4"/>
        </w:rPr>
        <w:t xml:space="preserve"> </w:t>
      </w:r>
      <w:r>
        <w:t>garantía</w:t>
      </w:r>
      <w:r>
        <w:rPr>
          <w:spacing w:val="-1"/>
        </w:rPr>
        <w:t xml:space="preserve"> </w:t>
      </w:r>
      <w:r>
        <w:t>de</w:t>
      </w:r>
      <w:r>
        <w:rPr>
          <w:spacing w:val="-4"/>
        </w:rPr>
        <w:t xml:space="preserve"> </w:t>
      </w:r>
      <w:r>
        <w:t>la</w:t>
      </w:r>
      <w:r>
        <w:rPr>
          <w:spacing w:val="-4"/>
        </w:rPr>
        <w:t xml:space="preserve"> </w:t>
      </w:r>
      <w:r>
        <w:t>potestad</w:t>
      </w:r>
      <w:r>
        <w:rPr>
          <w:spacing w:val="-4"/>
        </w:rPr>
        <w:t xml:space="preserve"> </w:t>
      </w:r>
      <w:r>
        <w:t>para</w:t>
      </w:r>
      <w:r>
        <w:rPr>
          <w:spacing w:val="-4"/>
        </w:rPr>
        <w:t xml:space="preserve"> </w:t>
      </w:r>
      <w:r>
        <w:t>determinar</w:t>
      </w:r>
      <w:r>
        <w:rPr>
          <w:spacing w:val="-4"/>
        </w:rPr>
        <w:t xml:space="preserve"> </w:t>
      </w:r>
      <w:r>
        <w:t>por</w:t>
      </w:r>
      <w:r>
        <w:rPr>
          <w:spacing w:val="-4"/>
        </w:rPr>
        <w:t xml:space="preserve"> </w:t>
      </w:r>
      <w:r>
        <w:t>sí</w:t>
      </w:r>
      <w:r>
        <w:rPr>
          <w:spacing w:val="-1"/>
        </w:rPr>
        <w:t xml:space="preserve"> </w:t>
      </w:r>
      <w:r>
        <w:t>solos</w:t>
      </w:r>
      <w:r>
        <w:rPr>
          <w:spacing w:val="-2"/>
        </w:rPr>
        <w:t xml:space="preserve"> </w:t>
      </w:r>
      <w:r>
        <w:t>el levantamiento</w:t>
      </w:r>
      <w:r>
        <w:rPr>
          <w:spacing w:val="-3"/>
        </w:rPr>
        <w:t xml:space="preserve"> </w:t>
      </w:r>
      <w:r>
        <w:t>de</w:t>
      </w:r>
      <w:r>
        <w:rPr>
          <w:spacing w:val="-3"/>
        </w:rPr>
        <w:t xml:space="preserve"> </w:t>
      </w:r>
      <w:r>
        <w:t>esta</w:t>
      </w:r>
      <w:r>
        <w:rPr>
          <w:spacing w:val="-3"/>
        </w:rPr>
        <w:t xml:space="preserve"> </w:t>
      </w:r>
      <w:r>
        <w:t>medida</w:t>
      </w:r>
      <w:r>
        <w:rPr>
          <w:spacing w:val="-3"/>
        </w:rPr>
        <w:t xml:space="preserve"> </w:t>
      </w:r>
      <w:r>
        <w:t>de</w:t>
      </w:r>
      <w:r>
        <w:rPr>
          <w:spacing w:val="-5"/>
        </w:rPr>
        <w:t xml:space="preserve"> </w:t>
      </w:r>
      <w:r>
        <w:t>protección,</w:t>
      </w:r>
      <w:r>
        <w:rPr>
          <w:spacing w:val="-6"/>
        </w:rPr>
        <w:t xml:space="preserve"> </w:t>
      </w:r>
      <w:r>
        <w:t>pues</w:t>
      </w:r>
      <w:r>
        <w:rPr>
          <w:spacing w:val="-3"/>
        </w:rPr>
        <w:t xml:space="preserve"> </w:t>
      </w:r>
      <w:r>
        <w:t>una</w:t>
      </w:r>
      <w:r>
        <w:rPr>
          <w:spacing w:val="-5"/>
        </w:rPr>
        <w:t xml:space="preserve"> </w:t>
      </w:r>
      <w:r>
        <w:t>vez</w:t>
      </w:r>
      <w:r>
        <w:rPr>
          <w:spacing w:val="-5"/>
        </w:rPr>
        <w:t xml:space="preserve"> </w:t>
      </w:r>
      <w:r>
        <w:t>interpuesto</w:t>
      </w:r>
      <w:r>
        <w:rPr>
          <w:spacing w:val="-6"/>
        </w:rPr>
        <w:t xml:space="preserve"> </w:t>
      </w:r>
      <w:r>
        <w:t>el</w:t>
      </w:r>
      <w:r>
        <w:rPr>
          <w:spacing w:val="-4"/>
        </w:rPr>
        <w:t xml:space="preserve"> </w:t>
      </w:r>
      <w:r>
        <w:t>recurso</w:t>
      </w:r>
      <w:r>
        <w:rPr>
          <w:spacing w:val="-5"/>
        </w:rPr>
        <w:t xml:space="preserve"> </w:t>
      </w:r>
      <w:r>
        <w:t>de</w:t>
      </w:r>
      <w:r>
        <w:rPr>
          <w:spacing w:val="-3"/>
        </w:rPr>
        <w:t xml:space="preserve"> </w:t>
      </w:r>
      <w:r>
        <w:t>apelación</w:t>
      </w:r>
      <w:r>
        <w:rPr>
          <w:spacing w:val="-3"/>
        </w:rPr>
        <w:t xml:space="preserve"> </w:t>
      </w:r>
      <w:r>
        <w:t>deberá pronunciarse la Corte de Apelaciones respectiva.</w:t>
      </w: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D62E65">
      <w:pPr>
        <w:pStyle w:val="Textoindependiente"/>
        <w:rPr>
          <w:sz w:val="20"/>
        </w:rPr>
      </w:pPr>
    </w:p>
    <w:p w:rsidR="00D62E65" w:rsidRDefault="00280F04">
      <w:pPr>
        <w:pStyle w:val="Textoindependiente"/>
        <w:spacing w:before="4"/>
      </w:pPr>
      <w:r>
        <w:pict>
          <v:rect id="docshape2" o:spid="_x0000_s1026" style="position:absolute;margin-left:85.1pt;margin-top:14.1pt;width:2in;height:.7pt;z-index:-15728128;mso-wrap-distance-left:0;mso-wrap-distance-right:0;mso-position-horizontal-relative:page" fillcolor="black" stroked="f">
            <w10:wrap type="topAndBottom" anchorx="page"/>
          </v:rect>
        </w:pict>
      </w:r>
    </w:p>
    <w:p w:rsidR="00D62E65" w:rsidRDefault="00280F04">
      <w:pPr>
        <w:spacing w:before="102"/>
        <w:ind w:left="102" w:right="164"/>
        <w:rPr>
          <w:rFonts w:ascii="Calibri"/>
          <w:sz w:val="20"/>
        </w:rPr>
      </w:pPr>
      <w:r>
        <w:rPr>
          <w:rFonts w:ascii="Calibri"/>
          <w:sz w:val="20"/>
          <w:vertAlign w:val="superscript"/>
        </w:rPr>
        <w:t>4</w:t>
      </w:r>
      <w:r>
        <w:rPr>
          <w:rFonts w:ascii="Calibri"/>
          <w:spacing w:val="-7"/>
          <w:sz w:val="20"/>
        </w:rPr>
        <w:t xml:space="preserve"> </w:t>
      </w:r>
      <w:r>
        <w:rPr>
          <w:rFonts w:ascii="Calibri"/>
          <w:sz w:val="20"/>
        </w:rPr>
        <w:t>CNN</w:t>
      </w:r>
      <w:r>
        <w:rPr>
          <w:rFonts w:ascii="Calibri"/>
          <w:spacing w:val="-6"/>
          <w:sz w:val="20"/>
        </w:rPr>
        <w:t xml:space="preserve"> </w:t>
      </w:r>
      <w:r>
        <w:rPr>
          <w:rFonts w:ascii="Calibri"/>
          <w:sz w:val="20"/>
        </w:rPr>
        <w:t>Chile.</w:t>
      </w:r>
      <w:r>
        <w:rPr>
          <w:rFonts w:ascii="Calibri"/>
          <w:spacing w:val="-6"/>
          <w:sz w:val="20"/>
        </w:rPr>
        <w:t xml:space="preserve"> </w:t>
      </w:r>
      <w:r>
        <w:rPr>
          <w:rFonts w:ascii="Calibri"/>
          <w:sz w:val="20"/>
        </w:rPr>
        <w:t>(Abril</w:t>
      </w:r>
      <w:r>
        <w:rPr>
          <w:rFonts w:ascii="Calibri"/>
          <w:spacing w:val="-6"/>
          <w:sz w:val="20"/>
        </w:rPr>
        <w:t xml:space="preserve"> </w:t>
      </w:r>
      <w:r>
        <w:rPr>
          <w:rFonts w:ascii="Calibri"/>
          <w:sz w:val="20"/>
        </w:rPr>
        <w:t>2023).</w:t>
      </w:r>
      <w:r>
        <w:rPr>
          <w:rFonts w:ascii="Calibri"/>
          <w:spacing w:val="-6"/>
          <w:sz w:val="20"/>
        </w:rPr>
        <w:t xml:space="preserve"> </w:t>
      </w:r>
      <w:r>
        <w:rPr>
          <w:rFonts w:ascii="Calibri"/>
          <w:sz w:val="20"/>
        </w:rPr>
        <w:t>Disponible</w:t>
      </w:r>
      <w:r>
        <w:rPr>
          <w:rFonts w:ascii="Calibri"/>
          <w:spacing w:val="-7"/>
          <w:sz w:val="20"/>
        </w:rPr>
        <w:t xml:space="preserve"> </w:t>
      </w:r>
      <w:r>
        <w:rPr>
          <w:rFonts w:ascii="Calibri"/>
          <w:sz w:val="20"/>
        </w:rPr>
        <w:t>en:</w:t>
      </w:r>
      <w:r>
        <w:rPr>
          <w:rFonts w:ascii="Calibri"/>
          <w:spacing w:val="-3"/>
          <w:sz w:val="20"/>
        </w:rPr>
        <w:t xml:space="preserve"> </w:t>
      </w:r>
      <w:hyperlink r:id="rId10">
        <w:r>
          <w:rPr>
            <w:rFonts w:ascii="Calibri"/>
            <w:color w:val="0462C1"/>
            <w:sz w:val="20"/>
            <w:u w:val="single" w:color="0462C1"/>
          </w:rPr>
          <w:t>https://www.cnnchile.com/pais/tribunal-identidad-testigos-fiscalia-</w:t>
        </w:r>
      </w:hyperlink>
      <w:r>
        <w:rPr>
          <w:rFonts w:ascii="Calibri"/>
          <w:color w:val="0462C1"/>
          <w:sz w:val="20"/>
        </w:rPr>
        <w:t xml:space="preserve"> </w:t>
      </w:r>
      <w:hyperlink r:id="rId11">
        <w:r>
          <w:rPr>
            <w:rFonts w:ascii="Calibri"/>
            <w:color w:val="0462C1"/>
            <w:spacing w:val="-2"/>
            <w:sz w:val="20"/>
            <w:u w:val="single" w:color="0462C1"/>
          </w:rPr>
          <w:t>caso-llaitul_20230418/</w:t>
        </w:r>
      </w:hyperlink>
    </w:p>
    <w:p w:rsidR="00D62E65" w:rsidRDefault="00280F04">
      <w:pPr>
        <w:ind w:left="102" w:right="155"/>
        <w:rPr>
          <w:rFonts w:ascii="Calibri" w:hAnsi="Calibri"/>
          <w:sz w:val="20"/>
        </w:rPr>
      </w:pPr>
      <w:r>
        <w:rPr>
          <w:rFonts w:ascii="Calibri" w:hAnsi="Calibri"/>
          <w:sz w:val="20"/>
          <w:vertAlign w:val="superscript"/>
        </w:rPr>
        <w:t>5</w:t>
      </w:r>
      <w:r>
        <w:rPr>
          <w:rFonts w:ascii="Calibri" w:hAnsi="Calibri"/>
          <w:spacing w:val="-7"/>
          <w:sz w:val="20"/>
        </w:rPr>
        <w:t xml:space="preserve"> </w:t>
      </w:r>
      <w:r>
        <w:rPr>
          <w:rFonts w:ascii="Calibri" w:hAnsi="Calibri"/>
          <w:sz w:val="20"/>
        </w:rPr>
        <w:t>Roberto</w:t>
      </w:r>
      <w:r>
        <w:rPr>
          <w:rFonts w:ascii="Calibri" w:hAnsi="Calibri"/>
          <w:spacing w:val="-6"/>
          <w:sz w:val="20"/>
        </w:rPr>
        <w:t xml:space="preserve"> </w:t>
      </w:r>
      <w:r>
        <w:rPr>
          <w:rFonts w:ascii="Calibri" w:hAnsi="Calibri"/>
          <w:sz w:val="20"/>
        </w:rPr>
        <w:t>Martínez.</w:t>
      </w:r>
      <w:r>
        <w:rPr>
          <w:rFonts w:ascii="Calibri" w:hAnsi="Calibri"/>
          <w:spacing w:val="-6"/>
          <w:sz w:val="20"/>
        </w:rPr>
        <w:t xml:space="preserve"> </w:t>
      </w:r>
      <w:r>
        <w:rPr>
          <w:rFonts w:ascii="Calibri" w:hAnsi="Calibri"/>
          <w:sz w:val="20"/>
        </w:rPr>
        <w:t>(Abril</w:t>
      </w:r>
      <w:r>
        <w:rPr>
          <w:rFonts w:ascii="Calibri" w:hAnsi="Calibri"/>
          <w:spacing w:val="-7"/>
          <w:sz w:val="20"/>
        </w:rPr>
        <w:t xml:space="preserve"> </w:t>
      </w:r>
      <w:r>
        <w:rPr>
          <w:rFonts w:ascii="Calibri" w:hAnsi="Calibri"/>
          <w:sz w:val="20"/>
        </w:rPr>
        <w:t>2023).</w:t>
      </w:r>
      <w:r>
        <w:rPr>
          <w:rFonts w:ascii="Calibri" w:hAnsi="Calibri"/>
          <w:spacing w:val="-7"/>
          <w:sz w:val="20"/>
        </w:rPr>
        <w:t xml:space="preserve"> </w:t>
      </w:r>
      <w:r>
        <w:rPr>
          <w:rFonts w:ascii="Calibri" w:hAnsi="Calibri"/>
          <w:sz w:val="20"/>
        </w:rPr>
        <w:t>Disponible</w:t>
      </w:r>
      <w:r>
        <w:rPr>
          <w:rFonts w:ascii="Calibri" w:hAnsi="Calibri"/>
          <w:spacing w:val="-5"/>
          <w:sz w:val="20"/>
        </w:rPr>
        <w:t xml:space="preserve"> </w:t>
      </w:r>
      <w:r>
        <w:rPr>
          <w:rFonts w:ascii="Calibri" w:hAnsi="Calibri"/>
          <w:sz w:val="20"/>
        </w:rPr>
        <w:t>en:</w:t>
      </w:r>
      <w:r>
        <w:rPr>
          <w:rFonts w:ascii="Calibri" w:hAnsi="Calibri"/>
          <w:spacing w:val="-4"/>
          <w:sz w:val="20"/>
        </w:rPr>
        <w:t xml:space="preserve"> </w:t>
      </w:r>
      <w:hyperlink r:id="rId12">
        <w:r>
          <w:rPr>
            <w:rFonts w:ascii="Calibri" w:hAnsi="Calibri"/>
            <w:color w:val="0462C1"/>
            <w:sz w:val="20"/>
            <w:u w:val="single" w:color="0462C1"/>
          </w:rPr>
          <w:t>https://www.latercera.com/nacional/noticia/fiscal-regional-</w:t>
        </w:r>
      </w:hyperlink>
      <w:r>
        <w:rPr>
          <w:rFonts w:ascii="Calibri" w:hAnsi="Calibri"/>
          <w:color w:val="0462C1"/>
          <w:sz w:val="20"/>
        </w:rPr>
        <w:t xml:space="preserve"> </w:t>
      </w:r>
      <w:hyperlink r:id="rId13">
        <w:r>
          <w:rPr>
            <w:rFonts w:ascii="Calibri" w:hAnsi="Calibri"/>
            <w:color w:val="0462C1"/>
            <w:spacing w:val="-2"/>
            <w:sz w:val="20"/>
            <w:u w:val="single" w:color="0462C1"/>
          </w:rPr>
          <w:t>de-la-ar</w:t>
        </w:r>
        <w:r>
          <w:rPr>
            <w:rFonts w:ascii="Calibri" w:hAnsi="Calibri"/>
            <w:color w:val="0462C1"/>
            <w:spacing w:val="-2"/>
            <w:sz w:val="20"/>
            <w:u w:val="single" w:color="0462C1"/>
          </w:rPr>
          <w:t>aucania-advierte-que-testigos-protegidos-podrian-no-declarar-en-juicio-contra-llaitul-tras-decision-</w:t>
        </w:r>
      </w:hyperlink>
      <w:r>
        <w:rPr>
          <w:rFonts w:ascii="Calibri" w:hAnsi="Calibri"/>
          <w:color w:val="0462C1"/>
          <w:spacing w:val="40"/>
          <w:sz w:val="20"/>
        </w:rPr>
        <w:t xml:space="preserve"> </w:t>
      </w:r>
      <w:hyperlink r:id="rId14">
        <w:r>
          <w:rPr>
            <w:rFonts w:ascii="Calibri" w:hAnsi="Calibri"/>
            <w:color w:val="0462C1"/>
            <w:spacing w:val="-2"/>
            <w:sz w:val="20"/>
            <w:u w:val="single" w:color="0462C1"/>
          </w:rPr>
          <w:t>de-jueza-de-revelar-sus-identidades/4EJPT4ESYJDOZMAUOAF6YBMT3Q/</w:t>
        </w:r>
      </w:hyperlink>
    </w:p>
    <w:p w:rsidR="00D62E65" w:rsidRDefault="00D62E65">
      <w:pPr>
        <w:rPr>
          <w:rFonts w:ascii="Calibri" w:hAnsi="Calibri"/>
          <w:sz w:val="20"/>
        </w:rPr>
        <w:sectPr w:rsidR="00D62E65">
          <w:pgSz w:w="12240" w:h="15840"/>
          <w:pgMar w:top="1340" w:right="1580" w:bottom="280" w:left="1600" w:header="720" w:footer="720" w:gutter="0"/>
          <w:cols w:space="720"/>
        </w:sectPr>
      </w:pPr>
    </w:p>
    <w:p w:rsidR="00D62E65" w:rsidRDefault="00280F04">
      <w:pPr>
        <w:spacing w:before="74"/>
        <w:ind w:left="102"/>
        <w:jc w:val="both"/>
        <w:rPr>
          <w:b/>
        </w:rPr>
      </w:pPr>
      <w:r>
        <w:rPr>
          <w:b/>
        </w:rPr>
        <w:lastRenderedPageBreak/>
        <w:t>PROYECTO</w:t>
      </w:r>
      <w:r>
        <w:rPr>
          <w:b/>
          <w:spacing w:val="-6"/>
        </w:rPr>
        <w:t xml:space="preserve"> </w:t>
      </w:r>
      <w:r>
        <w:rPr>
          <w:b/>
        </w:rPr>
        <w:t>DE</w:t>
      </w:r>
      <w:r>
        <w:rPr>
          <w:b/>
          <w:spacing w:val="-5"/>
        </w:rPr>
        <w:t xml:space="preserve"> LEY</w:t>
      </w:r>
    </w:p>
    <w:p w:rsidR="00D62E65" w:rsidRDefault="00D62E65">
      <w:pPr>
        <w:pStyle w:val="Textoindependiente"/>
        <w:rPr>
          <w:b/>
          <w:sz w:val="24"/>
        </w:rPr>
      </w:pPr>
    </w:p>
    <w:p w:rsidR="00D62E65" w:rsidRDefault="00D62E65">
      <w:pPr>
        <w:pStyle w:val="Textoindependiente"/>
        <w:rPr>
          <w:b/>
          <w:sz w:val="29"/>
        </w:rPr>
      </w:pPr>
    </w:p>
    <w:p w:rsidR="00D62E65" w:rsidRDefault="00280F04">
      <w:pPr>
        <w:pStyle w:val="Textoindependiente"/>
        <w:spacing w:line="412" w:lineRule="auto"/>
        <w:ind w:left="102" w:right="1360"/>
        <w:jc w:val="both"/>
      </w:pPr>
      <w:r>
        <w:rPr>
          <w:b/>
        </w:rPr>
        <w:t>“Artículo</w:t>
      </w:r>
      <w:r>
        <w:rPr>
          <w:b/>
          <w:spacing w:val="-6"/>
        </w:rPr>
        <w:t xml:space="preserve"> </w:t>
      </w:r>
      <w:r>
        <w:rPr>
          <w:b/>
        </w:rPr>
        <w:t>1</w:t>
      </w:r>
      <w:r>
        <w:t>.-</w:t>
      </w:r>
      <w:r>
        <w:rPr>
          <w:spacing w:val="-6"/>
        </w:rPr>
        <w:t xml:space="preserve"> </w:t>
      </w:r>
      <w:r>
        <w:t>Introdúcense</w:t>
      </w:r>
      <w:r>
        <w:rPr>
          <w:spacing w:val="-6"/>
        </w:rPr>
        <w:t xml:space="preserve"> </w:t>
      </w:r>
      <w:r>
        <w:t>las</w:t>
      </w:r>
      <w:r>
        <w:rPr>
          <w:spacing w:val="-6"/>
        </w:rPr>
        <w:t xml:space="preserve"> </w:t>
      </w:r>
      <w:r>
        <w:t>siguientes</w:t>
      </w:r>
      <w:r>
        <w:rPr>
          <w:spacing w:val="-4"/>
        </w:rPr>
        <w:t xml:space="preserve"> </w:t>
      </w:r>
      <w:r>
        <w:t>modificaciones</w:t>
      </w:r>
      <w:r>
        <w:rPr>
          <w:spacing w:val="-4"/>
        </w:rPr>
        <w:t xml:space="preserve"> </w:t>
      </w:r>
      <w:r>
        <w:t>en</w:t>
      </w:r>
      <w:r>
        <w:rPr>
          <w:spacing w:val="-6"/>
        </w:rPr>
        <w:t xml:space="preserve"> </w:t>
      </w:r>
      <w:r>
        <w:t>el</w:t>
      </w:r>
      <w:r>
        <w:rPr>
          <w:spacing w:val="-3"/>
        </w:rPr>
        <w:t xml:space="preserve"> </w:t>
      </w:r>
      <w:r>
        <w:t>Código Procesal</w:t>
      </w:r>
      <w:r>
        <w:rPr>
          <w:spacing w:val="-3"/>
        </w:rPr>
        <w:t xml:space="preserve"> </w:t>
      </w:r>
      <w:r>
        <w:t>Penal: Uno) Incorpórese el siguiente artículo 308 bis:</w:t>
      </w:r>
    </w:p>
    <w:p w:rsidR="00D62E65" w:rsidRDefault="00280F04">
      <w:pPr>
        <w:pStyle w:val="Textoindependiente"/>
        <w:spacing w:line="259" w:lineRule="auto"/>
        <w:ind w:left="102" w:right="115"/>
        <w:jc w:val="both"/>
      </w:pPr>
      <w:r>
        <w:t>"Artículo 308 bis. Recursos relacionados con la reserva de testigos: "La resolución que autorice, niegue o levante la reserva de testigos protegidos será apelable e</w:t>
      </w:r>
      <w:r>
        <w:t>n ambos efectos por cualquiera de los intervinientes”</w:t>
      </w:r>
    </w:p>
    <w:p w:rsidR="00D62E65" w:rsidRDefault="00280F04">
      <w:pPr>
        <w:pStyle w:val="Textoindependiente"/>
        <w:spacing w:before="158" w:line="259" w:lineRule="auto"/>
        <w:ind w:left="102" w:right="116"/>
        <w:jc w:val="both"/>
      </w:pPr>
      <w:r>
        <w:t>Tratándose de los delitos establecidos en la ley N° 12.927, N° 18.314 y N° 20.000, la identidad de los testigos protegidos no podrá ser entregada mientras no se encontrare ejecutoriada la resolución que</w:t>
      </w:r>
      <w:r>
        <w:t xml:space="preserve"> niegue o levante la reserva</w:t>
      </w:r>
    </w:p>
    <w:p w:rsidR="00D62E65" w:rsidRDefault="00280F04">
      <w:pPr>
        <w:pStyle w:val="Textoindependiente"/>
        <w:spacing w:before="158"/>
        <w:ind w:left="102"/>
      </w:pPr>
      <w:r>
        <w:t>El</w:t>
      </w:r>
      <w:r>
        <w:rPr>
          <w:spacing w:val="-6"/>
        </w:rPr>
        <w:t xml:space="preserve"> </w:t>
      </w:r>
      <w:r>
        <w:t>recurso</w:t>
      </w:r>
      <w:r>
        <w:rPr>
          <w:spacing w:val="-3"/>
        </w:rPr>
        <w:t xml:space="preserve"> </w:t>
      </w:r>
      <w:r>
        <w:t>de</w:t>
      </w:r>
      <w:r>
        <w:rPr>
          <w:spacing w:val="-5"/>
        </w:rPr>
        <w:t xml:space="preserve"> </w:t>
      </w:r>
      <w:r>
        <w:t>apelación</w:t>
      </w:r>
      <w:r>
        <w:rPr>
          <w:spacing w:val="-6"/>
        </w:rPr>
        <w:t xml:space="preserve"> </w:t>
      </w:r>
      <w:r>
        <w:t>contra</w:t>
      </w:r>
      <w:r>
        <w:rPr>
          <w:spacing w:val="-5"/>
        </w:rPr>
        <w:t xml:space="preserve"> </w:t>
      </w:r>
      <w:r>
        <w:t>esta</w:t>
      </w:r>
      <w:r>
        <w:rPr>
          <w:spacing w:val="-3"/>
        </w:rPr>
        <w:t xml:space="preserve"> </w:t>
      </w:r>
      <w:r>
        <w:t>resolución</w:t>
      </w:r>
      <w:r>
        <w:rPr>
          <w:spacing w:val="-3"/>
        </w:rPr>
        <w:t xml:space="preserve"> </w:t>
      </w:r>
      <w:r>
        <w:t>deberá</w:t>
      </w:r>
      <w:r>
        <w:rPr>
          <w:spacing w:val="-5"/>
        </w:rPr>
        <w:t xml:space="preserve"> </w:t>
      </w:r>
      <w:r>
        <w:t>interponerse</w:t>
      </w:r>
      <w:r>
        <w:rPr>
          <w:spacing w:val="-5"/>
        </w:rPr>
        <w:t xml:space="preserve"> </w:t>
      </w:r>
      <w:r>
        <w:t>en</w:t>
      </w:r>
      <w:r>
        <w:rPr>
          <w:spacing w:val="-5"/>
        </w:rPr>
        <w:t xml:space="preserve"> </w:t>
      </w:r>
      <w:r>
        <w:t>la</w:t>
      </w:r>
      <w:r>
        <w:rPr>
          <w:spacing w:val="1"/>
        </w:rPr>
        <w:t xml:space="preserve"> </w:t>
      </w:r>
      <w:r>
        <w:t>misma</w:t>
      </w:r>
      <w:r>
        <w:rPr>
          <w:spacing w:val="-3"/>
        </w:rPr>
        <w:t xml:space="preserve"> </w:t>
      </w:r>
      <w:r>
        <w:rPr>
          <w:spacing w:val="-2"/>
        </w:rPr>
        <w:t>audiencia”.</w:t>
      </w:r>
    </w:p>
    <w:p w:rsidR="00D62E65" w:rsidRDefault="00D62E65">
      <w:pPr>
        <w:pStyle w:val="Textoindependiente"/>
        <w:rPr>
          <w:sz w:val="24"/>
        </w:rPr>
      </w:pPr>
    </w:p>
    <w:p w:rsidR="00D62E65" w:rsidRDefault="00D62E65">
      <w:pPr>
        <w:pStyle w:val="Textoindependiente"/>
        <w:spacing w:before="6"/>
        <w:rPr>
          <w:sz w:val="29"/>
        </w:rPr>
      </w:pPr>
    </w:p>
    <w:p w:rsidR="00D62E65" w:rsidRDefault="00280F04">
      <w:pPr>
        <w:pStyle w:val="Textoindependiente"/>
        <w:spacing w:line="256" w:lineRule="auto"/>
        <w:ind w:left="102" w:right="116"/>
        <w:jc w:val="both"/>
      </w:pPr>
      <w:r>
        <w:rPr>
          <w:b/>
        </w:rPr>
        <w:t>“Artículo</w:t>
      </w:r>
      <w:r>
        <w:rPr>
          <w:b/>
          <w:spacing w:val="-14"/>
        </w:rPr>
        <w:t xml:space="preserve"> </w:t>
      </w:r>
      <w:r>
        <w:rPr>
          <w:b/>
        </w:rPr>
        <w:t>2</w:t>
      </w:r>
      <w:r>
        <w:t>.-</w:t>
      </w:r>
      <w:r>
        <w:rPr>
          <w:spacing w:val="-14"/>
        </w:rPr>
        <w:t xml:space="preserve"> </w:t>
      </w:r>
      <w:r>
        <w:t>Introdúcense</w:t>
      </w:r>
      <w:r>
        <w:rPr>
          <w:spacing w:val="-14"/>
        </w:rPr>
        <w:t xml:space="preserve"> </w:t>
      </w:r>
      <w:r>
        <w:t>las</w:t>
      </w:r>
      <w:r>
        <w:rPr>
          <w:spacing w:val="-13"/>
        </w:rPr>
        <w:t xml:space="preserve"> </w:t>
      </w:r>
      <w:r>
        <w:t>siguientes</w:t>
      </w:r>
      <w:r>
        <w:rPr>
          <w:spacing w:val="-14"/>
        </w:rPr>
        <w:t xml:space="preserve"> </w:t>
      </w:r>
      <w:r>
        <w:t>modificaciones</w:t>
      </w:r>
      <w:r>
        <w:rPr>
          <w:spacing w:val="-10"/>
        </w:rPr>
        <w:t xml:space="preserve"> </w:t>
      </w:r>
      <w:r>
        <w:t>en</w:t>
      </w:r>
      <w:r>
        <w:rPr>
          <w:spacing w:val="-13"/>
        </w:rPr>
        <w:t xml:space="preserve"> </w:t>
      </w:r>
      <w:r>
        <w:t>la</w:t>
      </w:r>
      <w:r>
        <w:rPr>
          <w:spacing w:val="-14"/>
        </w:rPr>
        <w:t xml:space="preserve"> </w:t>
      </w:r>
      <w:r>
        <w:t>ley</w:t>
      </w:r>
      <w:r>
        <w:rPr>
          <w:spacing w:val="-14"/>
        </w:rPr>
        <w:t xml:space="preserve"> </w:t>
      </w:r>
      <w:r>
        <w:t>N°18.314</w:t>
      </w:r>
      <w:r>
        <w:rPr>
          <w:spacing w:val="-12"/>
        </w:rPr>
        <w:t xml:space="preserve"> </w:t>
      </w:r>
      <w:r>
        <w:t>que</w:t>
      </w:r>
      <w:r>
        <w:rPr>
          <w:spacing w:val="-13"/>
        </w:rPr>
        <w:t xml:space="preserve"> </w:t>
      </w:r>
      <w:r>
        <w:t>determina</w:t>
      </w:r>
      <w:r>
        <w:rPr>
          <w:spacing w:val="-13"/>
        </w:rPr>
        <w:t xml:space="preserve"> </w:t>
      </w:r>
      <w:r>
        <w:t>conductas terroristas y fija su penalidad:</w:t>
      </w:r>
    </w:p>
    <w:p w:rsidR="00D62E65" w:rsidRDefault="00280F04">
      <w:pPr>
        <w:pStyle w:val="Textoindependiente"/>
        <w:spacing w:before="162"/>
        <w:ind w:left="102"/>
      </w:pPr>
      <w:r>
        <w:t>1.-</w:t>
      </w:r>
      <w:r>
        <w:rPr>
          <w:spacing w:val="-7"/>
        </w:rPr>
        <w:t xml:space="preserve"> </w:t>
      </w:r>
      <w:r>
        <w:t>En</w:t>
      </w:r>
      <w:r>
        <w:rPr>
          <w:spacing w:val="-1"/>
        </w:rPr>
        <w:t xml:space="preserve"> </w:t>
      </w:r>
      <w:r>
        <w:t>el</w:t>
      </w:r>
      <w:r>
        <w:rPr>
          <w:spacing w:val="-1"/>
        </w:rPr>
        <w:t xml:space="preserve"> </w:t>
      </w:r>
      <w:r>
        <w:t xml:space="preserve">artículo </w:t>
      </w:r>
      <w:r>
        <w:rPr>
          <w:spacing w:val="-5"/>
        </w:rPr>
        <w:t>15:</w:t>
      </w:r>
    </w:p>
    <w:p w:rsidR="00D62E65" w:rsidRDefault="00280F04">
      <w:pPr>
        <w:pStyle w:val="Textoindependiente"/>
        <w:spacing w:before="179"/>
        <w:ind w:left="102"/>
      </w:pPr>
      <w:r>
        <w:t>Uno)</w:t>
      </w:r>
      <w:r>
        <w:rPr>
          <w:spacing w:val="-4"/>
        </w:rPr>
        <w:t xml:space="preserve"> </w:t>
      </w:r>
      <w:r>
        <w:t>Agréguese</w:t>
      </w:r>
      <w:r>
        <w:rPr>
          <w:spacing w:val="-1"/>
        </w:rPr>
        <w:t xml:space="preserve"> </w:t>
      </w:r>
      <w:r>
        <w:t>luego</w:t>
      </w:r>
      <w:r>
        <w:rPr>
          <w:spacing w:val="-2"/>
        </w:rPr>
        <w:t xml:space="preserve"> </w:t>
      </w:r>
      <w:r>
        <w:t>del</w:t>
      </w:r>
      <w:r>
        <w:rPr>
          <w:spacing w:val="-4"/>
        </w:rPr>
        <w:t xml:space="preserve"> </w:t>
      </w:r>
      <w:r>
        <w:t>punto</w:t>
      </w:r>
      <w:r>
        <w:rPr>
          <w:spacing w:val="-5"/>
        </w:rPr>
        <w:t xml:space="preserve"> </w:t>
      </w:r>
      <w:r>
        <w:t>final</w:t>
      </w:r>
      <w:r>
        <w:rPr>
          <w:spacing w:val="-4"/>
        </w:rPr>
        <w:t xml:space="preserve"> </w:t>
      </w:r>
      <w:r>
        <w:t>que</w:t>
      </w:r>
      <w:r>
        <w:rPr>
          <w:spacing w:val="-2"/>
        </w:rPr>
        <w:t xml:space="preserve"> </w:t>
      </w:r>
      <w:r>
        <w:t>pasa</w:t>
      </w:r>
      <w:r>
        <w:rPr>
          <w:spacing w:val="-5"/>
        </w:rPr>
        <w:t xml:space="preserve"> </w:t>
      </w:r>
      <w:r>
        <w:t>a</w:t>
      </w:r>
      <w:r>
        <w:rPr>
          <w:spacing w:val="-2"/>
        </w:rPr>
        <w:t xml:space="preserve"> </w:t>
      </w:r>
      <w:r>
        <w:t>ser</w:t>
      </w:r>
      <w:r>
        <w:rPr>
          <w:spacing w:val="-2"/>
        </w:rPr>
        <w:t xml:space="preserve"> </w:t>
      </w:r>
      <w:r>
        <w:t>seguido</w:t>
      </w:r>
      <w:r>
        <w:rPr>
          <w:spacing w:val="-2"/>
        </w:rPr>
        <w:t xml:space="preserve"> </w:t>
      </w:r>
      <w:r>
        <w:t>la</w:t>
      </w:r>
      <w:r>
        <w:rPr>
          <w:spacing w:val="-4"/>
        </w:rPr>
        <w:t xml:space="preserve"> </w:t>
      </w:r>
      <w:r>
        <w:t>expresión</w:t>
      </w:r>
      <w:r>
        <w:rPr>
          <w:spacing w:val="-2"/>
        </w:rPr>
        <w:t xml:space="preserve"> </w:t>
      </w:r>
      <w:r>
        <w:t>del</w:t>
      </w:r>
      <w:r>
        <w:rPr>
          <w:spacing w:val="-3"/>
        </w:rPr>
        <w:t xml:space="preserve"> </w:t>
      </w:r>
      <w:r>
        <w:t>siguiente</w:t>
      </w:r>
      <w:r>
        <w:rPr>
          <w:spacing w:val="-4"/>
        </w:rPr>
        <w:t xml:space="preserve"> </w:t>
      </w:r>
      <w:r>
        <w:rPr>
          <w:spacing w:val="-2"/>
        </w:rPr>
        <w:t>tenor:</w:t>
      </w:r>
    </w:p>
    <w:p w:rsidR="00D62E65" w:rsidRDefault="00280F04">
      <w:pPr>
        <w:pStyle w:val="Textoindependiente"/>
        <w:spacing w:before="184" w:line="256" w:lineRule="auto"/>
        <w:ind w:left="102" w:right="118"/>
        <w:jc w:val="both"/>
      </w:pPr>
      <w:r>
        <w:t>“Esta</w:t>
      </w:r>
      <w:r>
        <w:rPr>
          <w:spacing w:val="-11"/>
        </w:rPr>
        <w:t xml:space="preserve"> </w:t>
      </w:r>
      <w:r>
        <w:t>resolución</w:t>
      </w:r>
      <w:r>
        <w:rPr>
          <w:spacing w:val="-11"/>
        </w:rPr>
        <w:t xml:space="preserve"> </w:t>
      </w:r>
      <w:r>
        <w:t>será</w:t>
      </w:r>
      <w:r>
        <w:rPr>
          <w:spacing w:val="-8"/>
        </w:rPr>
        <w:t xml:space="preserve"> </w:t>
      </w:r>
      <w:r>
        <w:t>apelable</w:t>
      </w:r>
      <w:r>
        <w:rPr>
          <w:spacing w:val="-8"/>
        </w:rPr>
        <w:t xml:space="preserve"> </w:t>
      </w:r>
      <w:r>
        <w:t>en</w:t>
      </w:r>
      <w:r>
        <w:rPr>
          <w:spacing w:val="-8"/>
        </w:rPr>
        <w:t xml:space="preserve"> </w:t>
      </w:r>
      <w:r>
        <w:t>ambos</w:t>
      </w:r>
      <w:r>
        <w:rPr>
          <w:spacing w:val="-8"/>
        </w:rPr>
        <w:t xml:space="preserve"> </w:t>
      </w:r>
      <w:r>
        <w:t>efectos</w:t>
      </w:r>
      <w:r>
        <w:rPr>
          <w:spacing w:val="-7"/>
        </w:rPr>
        <w:t xml:space="preserve"> </w:t>
      </w:r>
      <w:r>
        <w:t>y</w:t>
      </w:r>
      <w:r>
        <w:rPr>
          <w:spacing w:val="-11"/>
        </w:rPr>
        <w:t xml:space="preserve"> </w:t>
      </w:r>
      <w:r>
        <w:t>del</w:t>
      </w:r>
      <w:r>
        <w:rPr>
          <w:spacing w:val="-10"/>
        </w:rPr>
        <w:t xml:space="preserve"> </w:t>
      </w:r>
      <w:r>
        <w:t>modo</w:t>
      </w:r>
      <w:r>
        <w:rPr>
          <w:spacing w:val="-9"/>
        </w:rPr>
        <w:t xml:space="preserve"> </w:t>
      </w:r>
      <w:r>
        <w:t>previsto</w:t>
      </w:r>
      <w:r>
        <w:rPr>
          <w:spacing w:val="-9"/>
        </w:rPr>
        <w:t xml:space="preserve"> </w:t>
      </w:r>
      <w:r>
        <w:t>en</w:t>
      </w:r>
      <w:r>
        <w:rPr>
          <w:spacing w:val="-8"/>
        </w:rPr>
        <w:t xml:space="preserve"> </w:t>
      </w:r>
      <w:r>
        <w:t>el</w:t>
      </w:r>
      <w:r>
        <w:rPr>
          <w:spacing w:val="-8"/>
        </w:rPr>
        <w:t xml:space="preserve"> </w:t>
      </w:r>
      <w:r>
        <w:t>artículo</w:t>
      </w:r>
      <w:r>
        <w:rPr>
          <w:spacing w:val="-11"/>
        </w:rPr>
        <w:t xml:space="preserve"> </w:t>
      </w:r>
      <w:r>
        <w:t>308</w:t>
      </w:r>
      <w:r>
        <w:rPr>
          <w:spacing w:val="-9"/>
        </w:rPr>
        <w:t xml:space="preserve"> </w:t>
      </w:r>
      <w:r>
        <w:t>bis</w:t>
      </w:r>
      <w:r>
        <w:rPr>
          <w:spacing w:val="-8"/>
        </w:rPr>
        <w:t xml:space="preserve"> </w:t>
      </w:r>
      <w:r>
        <w:t>del</w:t>
      </w:r>
      <w:r>
        <w:rPr>
          <w:spacing w:val="-8"/>
        </w:rPr>
        <w:t xml:space="preserve"> </w:t>
      </w:r>
      <w:r>
        <w:t xml:space="preserve">Código </w:t>
      </w:r>
      <w:r>
        <w:rPr>
          <w:spacing w:val="-2"/>
        </w:rPr>
        <w:t>Penal”.</w:t>
      </w:r>
    </w:p>
    <w:sectPr w:rsidR="00D62E65">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F060C"/>
    <w:multiLevelType w:val="hybridMultilevel"/>
    <w:tmpl w:val="440AAB06"/>
    <w:lvl w:ilvl="0" w:tplc="9BA6B61E">
      <w:start w:val="1"/>
      <w:numFmt w:val="upperRoman"/>
      <w:lvlText w:val="%1."/>
      <w:lvlJc w:val="left"/>
      <w:pPr>
        <w:ind w:left="1182" w:hanging="720"/>
        <w:jc w:val="left"/>
      </w:pPr>
      <w:rPr>
        <w:rFonts w:ascii="Times New Roman" w:eastAsia="Times New Roman" w:hAnsi="Times New Roman" w:cs="Times New Roman" w:hint="default"/>
        <w:b/>
        <w:bCs/>
        <w:i w:val="0"/>
        <w:iCs w:val="0"/>
        <w:w w:val="100"/>
        <w:sz w:val="22"/>
        <w:szCs w:val="22"/>
        <w:lang w:val="es-ES" w:eastAsia="en-US" w:bidi="ar-SA"/>
      </w:rPr>
    </w:lvl>
    <w:lvl w:ilvl="1" w:tplc="213ED1A2">
      <w:start w:val="1"/>
      <w:numFmt w:val="decimal"/>
      <w:lvlText w:val="%2."/>
      <w:lvlJc w:val="left"/>
      <w:pPr>
        <w:ind w:left="822" w:hanging="360"/>
        <w:jc w:val="left"/>
      </w:pPr>
      <w:rPr>
        <w:rFonts w:ascii="Times New Roman" w:eastAsia="Times New Roman" w:hAnsi="Times New Roman" w:cs="Times New Roman" w:hint="default"/>
        <w:b/>
        <w:bCs/>
        <w:i w:val="0"/>
        <w:iCs w:val="0"/>
        <w:w w:val="100"/>
        <w:sz w:val="22"/>
        <w:szCs w:val="22"/>
        <w:lang w:val="es-ES" w:eastAsia="en-US" w:bidi="ar-SA"/>
      </w:rPr>
    </w:lvl>
    <w:lvl w:ilvl="2" w:tplc="B70AA3E2">
      <w:numFmt w:val="bullet"/>
      <w:lvlText w:val="•"/>
      <w:lvlJc w:val="left"/>
      <w:pPr>
        <w:ind w:left="2055" w:hanging="360"/>
      </w:pPr>
      <w:rPr>
        <w:rFonts w:hint="default"/>
        <w:lang w:val="es-ES" w:eastAsia="en-US" w:bidi="ar-SA"/>
      </w:rPr>
    </w:lvl>
    <w:lvl w:ilvl="3" w:tplc="BE66FE16">
      <w:numFmt w:val="bullet"/>
      <w:lvlText w:val="•"/>
      <w:lvlJc w:val="left"/>
      <w:pPr>
        <w:ind w:left="2931" w:hanging="360"/>
      </w:pPr>
      <w:rPr>
        <w:rFonts w:hint="default"/>
        <w:lang w:val="es-ES" w:eastAsia="en-US" w:bidi="ar-SA"/>
      </w:rPr>
    </w:lvl>
    <w:lvl w:ilvl="4" w:tplc="4BC65832">
      <w:numFmt w:val="bullet"/>
      <w:lvlText w:val="•"/>
      <w:lvlJc w:val="left"/>
      <w:pPr>
        <w:ind w:left="3806" w:hanging="360"/>
      </w:pPr>
      <w:rPr>
        <w:rFonts w:hint="default"/>
        <w:lang w:val="es-ES" w:eastAsia="en-US" w:bidi="ar-SA"/>
      </w:rPr>
    </w:lvl>
    <w:lvl w:ilvl="5" w:tplc="005416F2">
      <w:numFmt w:val="bullet"/>
      <w:lvlText w:val="•"/>
      <w:lvlJc w:val="left"/>
      <w:pPr>
        <w:ind w:left="4682" w:hanging="360"/>
      </w:pPr>
      <w:rPr>
        <w:rFonts w:hint="default"/>
        <w:lang w:val="es-ES" w:eastAsia="en-US" w:bidi="ar-SA"/>
      </w:rPr>
    </w:lvl>
    <w:lvl w:ilvl="6" w:tplc="9356D6EE">
      <w:numFmt w:val="bullet"/>
      <w:lvlText w:val="•"/>
      <w:lvlJc w:val="left"/>
      <w:pPr>
        <w:ind w:left="5557" w:hanging="360"/>
      </w:pPr>
      <w:rPr>
        <w:rFonts w:hint="default"/>
        <w:lang w:val="es-ES" w:eastAsia="en-US" w:bidi="ar-SA"/>
      </w:rPr>
    </w:lvl>
    <w:lvl w:ilvl="7" w:tplc="27EC0846">
      <w:numFmt w:val="bullet"/>
      <w:lvlText w:val="•"/>
      <w:lvlJc w:val="left"/>
      <w:pPr>
        <w:ind w:left="6433" w:hanging="360"/>
      </w:pPr>
      <w:rPr>
        <w:rFonts w:hint="default"/>
        <w:lang w:val="es-ES" w:eastAsia="en-US" w:bidi="ar-SA"/>
      </w:rPr>
    </w:lvl>
    <w:lvl w:ilvl="8" w:tplc="CC600DD2">
      <w:numFmt w:val="bullet"/>
      <w:lvlText w:val="•"/>
      <w:lvlJc w:val="left"/>
      <w:pPr>
        <w:ind w:left="730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62E65"/>
    <w:rsid w:val="00280F04"/>
    <w:rsid w:val="00D62E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856BFCF-C254-4DF4-B469-D5F93581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2"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estrado.com/corte-de-temuco-rechaza-recurso-de-apelacion-de-hector-llaitul/" TargetMode="External"/><Relationship Id="rId13" Type="http://schemas.openxmlformats.org/officeDocument/2006/relationships/hyperlink" Target="https://www.latercera.com/nacional/noticia/fiscal-regional-de-la-araucania-advierte-que-testigos-protegidos-podrian-no-declarar-en-juicio-contra-llaitul-tras-decision-de-jueza-de-revelar-sus-identidades/4EJPT4ESYJDOZMAUOAF6YBMT3Q/" TargetMode="External"/><Relationship Id="rId3" Type="http://schemas.openxmlformats.org/officeDocument/2006/relationships/settings" Target="settings.xml"/><Relationship Id="rId7" Type="http://schemas.openxmlformats.org/officeDocument/2006/relationships/hyperlink" Target="https://interactivo.latercera.com/mapa-de-violencia-en-macrozona-sur/" TargetMode="External"/><Relationship Id="rId12" Type="http://schemas.openxmlformats.org/officeDocument/2006/relationships/hyperlink" Target="https://www.latercera.com/nacional/noticia/fiscal-regional-de-la-araucania-advierte-que-testigos-protegidos-podrian-no-declarar-en-juicio-contra-llaitul-tras-decision-de-jueza-de-revelar-sus-identidades/4EJPT4ESYJDOZMAUOAF6YBMT3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mol.com/noticias/Nacional/2022/09/13/1072759/alza-homicidios-comparacion-2021.html" TargetMode="External"/><Relationship Id="rId11" Type="http://schemas.openxmlformats.org/officeDocument/2006/relationships/hyperlink" Target="https://www.cnnchile.com/pais/tribunal-identidad-testigos-fiscalia-caso-llaitul_20230418/"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cnnchile.com/pais/tribunal-identidad-testigos-fiscalia-caso-llaitul_20230418/" TargetMode="External"/><Relationship Id="rId4" Type="http://schemas.openxmlformats.org/officeDocument/2006/relationships/webSettings" Target="webSettings.xml"/><Relationship Id="rId9" Type="http://schemas.openxmlformats.org/officeDocument/2006/relationships/hyperlink" Target="https://enestrado.com/corte-de-temuco-rechaza-recurso-de-apelacion-de-hector-llaitul/" TargetMode="External"/><Relationship Id="rId14" Type="http://schemas.openxmlformats.org/officeDocument/2006/relationships/hyperlink" Target="https://www.latercera.com/nacional/noticia/fiscal-regional-de-la-araucania-advierte-que-testigos-protegidos-podrian-no-declarar-en-juicio-contra-llaitul-tras-decision-de-jueza-de-revelar-sus-identidades/4EJPT4ESYJDOZMAUOAF6YBMT3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6138</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BARRIENTOS CONTARDO</dc:creator>
  <cp:lastModifiedBy>Guillermo Diaz Vallejos</cp:lastModifiedBy>
  <cp:revision>1</cp:revision>
  <dcterms:created xsi:type="dcterms:W3CDTF">2023-04-25T14:51:00Z</dcterms:created>
  <dcterms:modified xsi:type="dcterms:W3CDTF">2023-05-09T00:06:00Z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