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7446" w:rsidRDefault="000E0598">
      <w:pPr>
        <w:pStyle w:val="Textoindependiente"/>
        <w:ind w:left="141"/>
        <w:rPr>
          <w:rFonts w:ascii="Times New Roman"/>
          <w:sz w:val="20"/>
        </w:rPr>
      </w:pPr>
      <w:r>
        <w:rPr>
          <w:rFonts w:ascii="Times New Roman"/>
          <w:noProof/>
          <w:sz w:val="20"/>
        </w:rPr>
        <w:drawing>
          <wp:inline distT="0" distB="0" distL="0" distR="0">
            <wp:extent cx="831743" cy="829818"/>
            <wp:effectExtent l="0" t="0" r="0" b="0"/>
            <wp:docPr id="1" name="image1.png" descr="Cámara de Diputadas y Diputados de Chile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31743" cy="829818"/>
                    </a:xfrm>
                    <a:prstGeom prst="rect">
                      <a:avLst/>
                    </a:prstGeom>
                  </pic:spPr>
                </pic:pic>
              </a:graphicData>
            </a:graphic>
          </wp:inline>
        </w:drawing>
      </w:r>
    </w:p>
    <w:p w:rsidR="00AD7446" w:rsidRDefault="00AD7446">
      <w:pPr>
        <w:pStyle w:val="Textoindependiente"/>
        <w:spacing w:before="3"/>
        <w:ind w:left="0"/>
        <w:rPr>
          <w:rFonts w:ascii="Times New Roman"/>
          <w:sz w:val="17"/>
        </w:rPr>
      </w:pPr>
    </w:p>
    <w:p w:rsidR="00AD7446" w:rsidRDefault="000E0598">
      <w:pPr>
        <w:pStyle w:val="Ttulo1"/>
        <w:spacing w:before="96" w:line="360" w:lineRule="auto"/>
        <w:ind w:left="1953" w:right="54" w:hanging="1800"/>
      </w:pPr>
      <w:r>
        <w:pict>
          <v:rect id="docshape1" o:spid="_x0000_s1030" style="position:absolute;left:0;text-align:left;margin-left:83.65pt;margin-top:49.2pt;width:444.8pt;height:.7pt;z-index:-15728640;mso-wrap-distance-left:0;mso-wrap-distance-right:0;mso-position-horizontal-relative:page" fillcolor="black" stroked="f">
            <w10:wrap type="topAndBottom" anchorx="page"/>
          </v:rect>
        </w:pict>
      </w:r>
      <w:r>
        <w:t>PROYECTO</w:t>
      </w:r>
      <w:r>
        <w:rPr>
          <w:spacing w:val="-5"/>
        </w:rPr>
        <w:t xml:space="preserve"> </w:t>
      </w:r>
      <w:r>
        <w:t>DE</w:t>
      </w:r>
      <w:r>
        <w:rPr>
          <w:spacing w:val="-4"/>
        </w:rPr>
        <w:t xml:space="preserve"> </w:t>
      </w:r>
      <w:r>
        <w:t>LEY</w:t>
      </w:r>
      <w:r>
        <w:rPr>
          <w:spacing w:val="-1"/>
        </w:rPr>
        <w:t xml:space="preserve"> </w:t>
      </w:r>
      <w:r>
        <w:t>QUE</w:t>
      </w:r>
      <w:r>
        <w:rPr>
          <w:spacing w:val="-4"/>
        </w:rPr>
        <w:t xml:space="preserve"> </w:t>
      </w:r>
      <w:r>
        <w:t>INCORPORA</w:t>
      </w:r>
      <w:r>
        <w:rPr>
          <w:spacing w:val="-4"/>
        </w:rPr>
        <w:t xml:space="preserve"> </w:t>
      </w:r>
      <w:r>
        <w:t>LOS</w:t>
      </w:r>
      <w:r>
        <w:rPr>
          <w:spacing w:val="-4"/>
        </w:rPr>
        <w:t xml:space="preserve"> </w:t>
      </w:r>
      <w:r>
        <w:t>DELITOS</w:t>
      </w:r>
      <w:r>
        <w:rPr>
          <w:spacing w:val="-4"/>
        </w:rPr>
        <w:t xml:space="preserve"> </w:t>
      </w:r>
      <w:r>
        <w:t>DE</w:t>
      </w:r>
      <w:r>
        <w:rPr>
          <w:spacing w:val="-4"/>
        </w:rPr>
        <w:t xml:space="preserve"> </w:t>
      </w:r>
      <w:r>
        <w:t>ACOSO</w:t>
      </w:r>
      <w:r>
        <w:rPr>
          <w:spacing w:val="-5"/>
        </w:rPr>
        <w:t xml:space="preserve"> </w:t>
      </w:r>
      <w:r>
        <w:t>SEXUAL</w:t>
      </w:r>
      <w:r>
        <w:rPr>
          <w:spacing w:val="-4"/>
        </w:rPr>
        <w:t xml:space="preserve"> </w:t>
      </w:r>
      <w:r>
        <w:t>Y CHANTAJE SEXUAL EN EL CÓDIGO PENAL.</w:t>
      </w:r>
    </w:p>
    <w:p w:rsidR="00AD7446" w:rsidRDefault="00AD7446">
      <w:pPr>
        <w:pStyle w:val="Textoindependiente"/>
        <w:ind w:left="0"/>
        <w:rPr>
          <w:b/>
          <w:sz w:val="20"/>
        </w:rPr>
      </w:pPr>
    </w:p>
    <w:p w:rsidR="00AD7446" w:rsidRDefault="00AD7446">
      <w:pPr>
        <w:pStyle w:val="Textoindependiente"/>
        <w:ind w:left="0"/>
        <w:rPr>
          <w:b/>
          <w:sz w:val="20"/>
        </w:rPr>
      </w:pPr>
    </w:p>
    <w:p w:rsidR="00AD7446" w:rsidRDefault="00AD7446">
      <w:pPr>
        <w:pStyle w:val="Textoindependiente"/>
        <w:spacing w:before="8"/>
        <w:ind w:left="0"/>
        <w:rPr>
          <w:b/>
          <w:sz w:val="22"/>
        </w:rPr>
      </w:pPr>
    </w:p>
    <w:p w:rsidR="00AD7446" w:rsidRDefault="000E0598">
      <w:pPr>
        <w:pStyle w:val="Prrafodelista"/>
        <w:numPr>
          <w:ilvl w:val="0"/>
          <w:numId w:val="3"/>
        </w:numPr>
        <w:tabs>
          <w:tab w:val="left" w:pos="1221"/>
          <w:tab w:val="left" w:pos="1222"/>
        </w:tabs>
        <w:ind w:hanging="721"/>
        <w:rPr>
          <w:rFonts w:ascii="Book Antiqua"/>
          <w:b/>
          <w:sz w:val="24"/>
        </w:rPr>
      </w:pPr>
      <w:r>
        <w:rPr>
          <w:rFonts w:ascii="Book Antiqua"/>
          <w:b/>
          <w:spacing w:val="-2"/>
          <w:sz w:val="24"/>
        </w:rPr>
        <w:t>CONSIDERANDO.</w:t>
      </w:r>
    </w:p>
    <w:p w:rsidR="00AD7446" w:rsidRDefault="000E0598">
      <w:pPr>
        <w:pStyle w:val="Ttulo2"/>
        <w:numPr>
          <w:ilvl w:val="1"/>
          <w:numId w:val="3"/>
        </w:numPr>
        <w:tabs>
          <w:tab w:val="left" w:pos="1582"/>
        </w:tabs>
        <w:spacing w:before="143"/>
        <w:ind w:hanging="361"/>
      </w:pPr>
      <w:r>
        <w:t xml:space="preserve">Acoso </w:t>
      </w:r>
      <w:r>
        <w:rPr>
          <w:spacing w:val="-2"/>
        </w:rPr>
        <w:t>sexual</w:t>
      </w:r>
    </w:p>
    <w:p w:rsidR="00AD7446" w:rsidRDefault="00AD7446">
      <w:pPr>
        <w:pStyle w:val="Textoindependiente"/>
        <w:spacing w:before="5"/>
        <w:ind w:left="0"/>
        <w:rPr>
          <w:b/>
          <w:sz w:val="25"/>
        </w:rPr>
      </w:pPr>
    </w:p>
    <w:p w:rsidR="00AD7446" w:rsidRDefault="000E0598">
      <w:pPr>
        <w:pStyle w:val="Textoindependiente"/>
        <w:spacing w:line="360" w:lineRule="auto"/>
        <w:ind w:right="138" w:firstLine="359"/>
        <w:jc w:val="both"/>
      </w:pPr>
      <w:r>
        <w:t xml:space="preserve">La Convención sobre la Eliminación de todas las Formas de Discriminación contra la Mujer o CEDAW es el principal instrumento jurídico internacional en relación con los derechos de las mujeres. Fue presentada ante la Asamblea General de las Naciones Unidas </w:t>
      </w:r>
      <w:r>
        <w:t>con la finalidad de abordar la aún persistente discriminación que enfrentan las mujeres, la cual viola los principios de igualdad de derechos y respeto a la dignidad humana.</w:t>
      </w:r>
      <w:r>
        <w:rPr>
          <w:position w:val="6"/>
          <w:sz w:val="16"/>
        </w:rPr>
        <w:t>1</w:t>
      </w:r>
      <w:r>
        <w:t>.</w:t>
      </w:r>
    </w:p>
    <w:p w:rsidR="00AD7446" w:rsidRDefault="000E0598">
      <w:pPr>
        <w:pStyle w:val="Textoindependiente"/>
        <w:spacing w:before="160" w:line="360" w:lineRule="auto"/>
        <w:ind w:right="137" w:firstLine="359"/>
        <w:jc w:val="both"/>
      </w:pPr>
      <w:r>
        <w:t>La importancia de este instrumento internacional radica en su capacidad de compr</w:t>
      </w:r>
      <w:r>
        <w:t>ometer a los países a promulgar leyes nacionales que prohíban la discriminación y a implementar medidas efectivas para lograr la igualdad real entre los sexos, así como para transformar los patrones socioculturales que perpetúan la subordinación de las muj</w:t>
      </w:r>
      <w:r>
        <w:t>eres en diversos ámbitos. Además de ser un tratado internacional de derechos jurídicamente vinculante, también representa un programa de acción integral para los Estados Parte.</w:t>
      </w:r>
    </w:p>
    <w:p w:rsidR="00AD7446" w:rsidRDefault="000E0598">
      <w:pPr>
        <w:pStyle w:val="Textoindependiente"/>
        <w:spacing w:before="162" w:line="360" w:lineRule="auto"/>
        <w:ind w:right="137" w:firstLine="359"/>
        <w:jc w:val="both"/>
      </w:pPr>
      <w:r>
        <w:t>En el caso de Chile, la ratificación de la CEDAW en 1989 no fue seguida por</w:t>
      </w:r>
      <w:r>
        <w:rPr>
          <w:spacing w:val="40"/>
        </w:rPr>
        <w:t xml:space="preserve"> </w:t>
      </w:r>
      <w:r>
        <w:t>una</w:t>
      </w:r>
      <w:r>
        <w:t xml:space="preserve"> implementación inmediata. No fue hasta la recuperación de la democracia en 1990, cuando el gobierno de Patricio Aylwin</w:t>
      </w:r>
      <w:r>
        <w:rPr>
          <w:spacing w:val="-3"/>
        </w:rPr>
        <w:t xml:space="preserve"> </w:t>
      </w:r>
      <w:r>
        <w:t>(1990-1994)</w:t>
      </w:r>
      <w:r>
        <w:rPr>
          <w:spacing w:val="-1"/>
        </w:rPr>
        <w:t xml:space="preserve"> </w:t>
      </w:r>
      <w:r>
        <w:t>atendió las</w:t>
      </w:r>
      <w:r>
        <w:rPr>
          <w:spacing w:val="-1"/>
        </w:rPr>
        <w:t xml:space="preserve"> </w:t>
      </w:r>
      <w:r>
        <w:t>propuestas</w:t>
      </w:r>
      <w:r>
        <w:rPr>
          <w:spacing w:val="-1"/>
        </w:rPr>
        <w:t xml:space="preserve"> </w:t>
      </w:r>
      <w:r>
        <w:t>del movimiento de mujeres de los años 80 y estableció, mediante una ley, el Servicio Nacional de la M</w:t>
      </w:r>
      <w:r>
        <w:t>ujer (SERNAM). Desde entonces, Chile ha presentado cuatro informes y ha recibido numerosas recomendaciones para mejorar el cumplimiento de la Convención.</w:t>
      </w:r>
    </w:p>
    <w:p w:rsidR="00AD7446" w:rsidRDefault="000E0598">
      <w:pPr>
        <w:pStyle w:val="Textoindependiente"/>
        <w:spacing w:before="159" w:line="360" w:lineRule="auto"/>
        <w:ind w:right="136" w:firstLine="359"/>
        <w:jc w:val="both"/>
      </w:pPr>
      <w:r>
        <w:t>En octubre de 2012, durante el 53er período de sesiones del Comité CEDAW en Ginebra, el Estado de Chile presentó su quinto y sexto informe periódico combinado</w:t>
      </w:r>
      <w:r>
        <w:rPr>
          <w:spacing w:val="20"/>
        </w:rPr>
        <w:t xml:space="preserve"> </w:t>
      </w:r>
      <w:r>
        <w:t>correspondiente</w:t>
      </w:r>
      <w:r>
        <w:rPr>
          <w:spacing w:val="21"/>
        </w:rPr>
        <w:t xml:space="preserve"> </w:t>
      </w:r>
      <w:r>
        <w:t>a</w:t>
      </w:r>
      <w:r>
        <w:rPr>
          <w:spacing w:val="20"/>
        </w:rPr>
        <w:t xml:space="preserve"> </w:t>
      </w:r>
      <w:r>
        <w:t>los</w:t>
      </w:r>
      <w:r>
        <w:rPr>
          <w:spacing w:val="18"/>
        </w:rPr>
        <w:t xml:space="preserve"> </w:t>
      </w:r>
      <w:r>
        <w:t>años</w:t>
      </w:r>
      <w:r>
        <w:rPr>
          <w:spacing w:val="19"/>
        </w:rPr>
        <w:t xml:space="preserve"> </w:t>
      </w:r>
      <w:r>
        <w:t>2006</w:t>
      </w:r>
      <w:r>
        <w:rPr>
          <w:spacing w:val="22"/>
        </w:rPr>
        <w:t xml:space="preserve"> </w:t>
      </w:r>
      <w:r>
        <w:t>a</w:t>
      </w:r>
      <w:r>
        <w:rPr>
          <w:spacing w:val="19"/>
        </w:rPr>
        <w:t xml:space="preserve"> </w:t>
      </w:r>
      <w:r>
        <w:t>2010,</w:t>
      </w:r>
      <w:r>
        <w:rPr>
          <w:spacing w:val="20"/>
        </w:rPr>
        <w:t xml:space="preserve"> </w:t>
      </w:r>
      <w:r>
        <w:t>así</w:t>
      </w:r>
      <w:r>
        <w:rPr>
          <w:spacing w:val="21"/>
        </w:rPr>
        <w:t xml:space="preserve"> </w:t>
      </w:r>
      <w:r>
        <w:t>como</w:t>
      </w:r>
      <w:r>
        <w:rPr>
          <w:spacing w:val="20"/>
        </w:rPr>
        <w:t xml:space="preserve"> </w:t>
      </w:r>
      <w:r>
        <w:t>las</w:t>
      </w:r>
      <w:r>
        <w:rPr>
          <w:spacing w:val="21"/>
        </w:rPr>
        <w:t xml:space="preserve"> </w:t>
      </w:r>
      <w:r>
        <w:t>respuestas</w:t>
      </w:r>
      <w:r>
        <w:rPr>
          <w:spacing w:val="19"/>
        </w:rPr>
        <w:t xml:space="preserve"> </w:t>
      </w:r>
      <w:r>
        <w:t>a</w:t>
      </w:r>
      <w:r>
        <w:rPr>
          <w:spacing w:val="22"/>
        </w:rPr>
        <w:t xml:space="preserve"> </w:t>
      </w:r>
      <w:r>
        <w:rPr>
          <w:spacing w:val="-5"/>
        </w:rPr>
        <w:t>una</w:t>
      </w:r>
    </w:p>
    <w:p w:rsidR="00AD7446" w:rsidRDefault="000E0598">
      <w:pPr>
        <w:pStyle w:val="Textoindependiente"/>
        <w:ind w:left="0"/>
        <w:rPr>
          <w:sz w:val="16"/>
        </w:rPr>
      </w:pPr>
      <w:r>
        <w:pict>
          <v:rect id="docshape2" o:spid="_x0000_s1029" style="position:absolute;margin-left:85.1pt;margin-top:11.15pt;width:2in;height:.7pt;z-index:-15728128;mso-wrap-distance-left:0;mso-wrap-distance-right:0;mso-position-horizontal-relative:page" fillcolor="black" stroked="f">
            <w10:wrap type="topAndBottom" anchorx="page"/>
          </v:rect>
        </w:pict>
      </w:r>
    </w:p>
    <w:p w:rsidR="00AD7446" w:rsidRDefault="000E0598">
      <w:pPr>
        <w:spacing w:before="102"/>
        <w:ind w:left="142" w:right="54"/>
        <w:rPr>
          <w:rFonts w:ascii="Calibri" w:hAnsi="Calibri"/>
          <w:sz w:val="20"/>
        </w:rPr>
      </w:pPr>
      <w:r>
        <w:rPr>
          <w:rFonts w:ascii="Calibri" w:hAnsi="Calibri"/>
          <w:sz w:val="20"/>
          <w:vertAlign w:val="superscript"/>
        </w:rPr>
        <w:t>1</w:t>
      </w:r>
      <w:r>
        <w:rPr>
          <w:rFonts w:ascii="Calibri" w:hAnsi="Calibri"/>
          <w:spacing w:val="-4"/>
          <w:sz w:val="20"/>
        </w:rPr>
        <w:t xml:space="preserve"> </w:t>
      </w:r>
      <w:r>
        <w:rPr>
          <w:rFonts w:ascii="Calibri" w:hAnsi="Calibri"/>
          <w:sz w:val="20"/>
        </w:rPr>
        <w:t>ONU.</w:t>
      </w:r>
      <w:r>
        <w:rPr>
          <w:rFonts w:ascii="Calibri" w:hAnsi="Calibri"/>
          <w:spacing w:val="-3"/>
          <w:sz w:val="20"/>
        </w:rPr>
        <w:t xml:space="preserve"> </w:t>
      </w:r>
      <w:r>
        <w:rPr>
          <w:rFonts w:ascii="Calibri" w:hAnsi="Calibri"/>
          <w:sz w:val="20"/>
        </w:rPr>
        <w:t>Convención</w:t>
      </w:r>
      <w:r>
        <w:rPr>
          <w:rFonts w:ascii="Calibri" w:hAnsi="Calibri"/>
          <w:spacing w:val="-3"/>
          <w:sz w:val="20"/>
        </w:rPr>
        <w:t xml:space="preserve"> </w:t>
      </w:r>
      <w:r>
        <w:rPr>
          <w:rFonts w:ascii="Calibri" w:hAnsi="Calibri"/>
          <w:sz w:val="20"/>
        </w:rPr>
        <w:t>sobre</w:t>
      </w:r>
      <w:r>
        <w:rPr>
          <w:rFonts w:ascii="Calibri" w:hAnsi="Calibri"/>
          <w:spacing w:val="-4"/>
          <w:sz w:val="20"/>
        </w:rPr>
        <w:t xml:space="preserve"> </w:t>
      </w:r>
      <w:r>
        <w:rPr>
          <w:rFonts w:ascii="Calibri" w:hAnsi="Calibri"/>
          <w:sz w:val="20"/>
        </w:rPr>
        <w:t>la</w:t>
      </w:r>
      <w:r>
        <w:rPr>
          <w:rFonts w:ascii="Calibri" w:hAnsi="Calibri"/>
          <w:spacing w:val="-3"/>
          <w:sz w:val="20"/>
        </w:rPr>
        <w:t xml:space="preserve"> </w:t>
      </w:r>
      <w:r>
        <w:rPr>
          <w:rFonts w:ascii="Calibri" w:hAnsi="Calibri"/>
          <w:sz w:val="20"/>
        </w:rPr>
        <w:t>eliminación</w:t>
      </w:r>
      <w:r>
        <w:rPr>
          <w:rFonts w:ascii="Calibri" w:hAnsi="Calibri"/>
          <w:spacing w:val="-3"/>
          <w:sz w:val="20"/>
        </w:rPr>
        <w:t xml:space="preserve"> </w:t>
      </w:r>
      <w:r>
        <w:rPr>
          <w:rFonts w:ascii="Calibri" w:hAnsi="Calibri"/>
          <w:sz w:val="20"/>
        </w:rPr>
        <w:t>de</w:t>
      </w:r>
      <w:r>
        <w:rPr>
          <w:rFonts w:ascii="Calibri" w:hAnsi="Calibri"/>
          <w:spacing w:val="-4"/>
          <w:sz w:val="20"/>
        </w:rPr>
        <w:t xml:space="preserve"> </w:t>
      </w:r>
      <w:r>
        <w:rPr>
          <w:rFonts w:ascii="Calibri" w:hAnsi="Calibri"/>
          <w:sz w:val="20"/>
        </w:rPr>
        <w:t>todas</w:t>
      </w:r>
      <w:r>
        <w:rPr>
          <w:rFonts w:ascii="Calibri" w:hAnsi="Calibri"/>
          <w:spacing w:val="-3"/>
          <w:sz w:val="20"/>
        </w:rPr>
        <w:t xml:space="preserve"> </w:t>
      </w:r>
      <w:r>
        <w:rPr>
          <w:rFonts w:ascii="Calibri" w:hAnsi="Calibri"/>
          <w:sz w:val="20"/>
        </w:rPr>
        <w:t>las</w:t>
      </w:r>
      <w:r>
        <w:rPr>
          <w:rFonts w:ascii="Calibri" w:hAnsi="Calibri"/>
          <w:spacing w:val="-3"/>
          <w:sz w:val="20"/>
        </w:rPr>
        <w:t xml:space="preserve"> </w:t>
      </w:r>
      <w:r>
        <w:rPr>
          <w:rFonts w:ascii="Calibri" w:hAnsi="Calibri"/>
          <w:sz w:val="20"/>
        </w:rPr>
        <w:t>formas</w:t>
      </w:r>
      <w:r>
        <w:rPr>
          <w:rFonts w:ascii="Calibri" w:hAnsi="Calibri"/>
          <w:spacing w:val="-4"/>
          <w:sz w:val="20"/>
        </w:rPr>
        <w:t xml:space="preserve"> </w:t>
      </w:r>
      <w:r>
        <w:rPr>
          <w:rFonts w:ascii="Calibri" w:hAnsi="Calibri"/>
          <w:sz w:val="20"/>
        </w:rPr>
        <w:t>de</w:t>
      </w:r>
      <w:r>
        <w:rPr>
          <w:rFonts w:ascii="Calibri" w:hAnsi="Calibri"/>
          <w:spacing w:val="-4"/>
          <w:sz w:val="20"/>
        </w:rPr>
        <w:t xml:space="preserve"> </w:t>
      </w:r>
      <w:r>
        <w:rPr>
          <w:rFonts w:ascii="Calibri" w:hAnsi="Calibri"/>
          <w:sz w:val="20"/>
        </w:rPr>
        <w:t>discriminación</w:t>
      </w:r>
      <w:r>
        <w:rPr>
          <w:rFonts w:ascii="Calibri" w:hAnsi="Calibri"/>
          <w:spacing w:val="-3"/>
          <w:sz w:val="20"/>
        </w:rPr>
        <w:t xml:space="preserve"> </w:t>
      </w:r>
      <w:r>
        <w:rPr>
          <w:rFonts w:ascii="Calibri" w:hAnsi="Calibri"/>
          <w:sz w:val="20"/>
        </w:rPr>
        <w:t>contra</w:t>
      </w:r>
      <w:r>
        <w:rPr>
          <w:rFonts w:ascii="Calibri" w:hAnsi="Calibri"/>
          <w:spacing w:val="-3"/>
          <w:sz w:val="20"/>
        </w:rPr>
        <w:t xml:space="preserve"> </w:t>
      </w:r>
      <w:r>
        <w:rPr>
          <w:rFonts w:ascii="Calibri" w:hAnsi="Calibri"/>
          <w:sz w:val="20"/>
        </w:rPr>
        <w:t>la</w:t>
      </w:r>
      <w:r>
        <w:rPr>
          <w:rFonts w:ascii="Calibri" w:hAnsi="Calibri"/>
          <w:spacing w:val="-3"/>
          <w:sz w:val="20"/>
        </w:rPr>
        <w:t xml:space="preserve"> </w:t>
      </w:r>
      <w:r>
        <w:rPr>
          <w:rFonts w:ascii="Calibri" w:hAnsi="Calibri"/>
          <w:sz w:val="20"/>
        </w:rPr>
        <w:t>mujer. Consideraciones Preliminares. Adoptada el 8 de diciembre de 1979.</w:t>
      </w:r>
    </w:p>
    <w:p w:rsidR="00AD7446" w:rsidRDefault="00AD7446">
      <w:pPr>
        <w:rPr>
          <w:rFonts w:ascii="Calibri" w:hAnsi="Calibri"/>
          <w:sz w:val="20"/>
        </w:rPr>
        <w:sectPr w:rsidR="00AD7446">
          <w:type w:val="continuous"/>
          <w:pgSz w:w="12240" w:h="18720"/>
          <w:pgMar w:top="1420" w:right="1560" w:bottom="280" w:left="1560" w:header="720" w:footer="720" w:gutter="0"/>
          <w:cols w:space="720"/>
        </w:sectPr>
      </w:pPr>
    </w:p>
    <w:p w:rsidR="00AD7446" w:rsidRDefault="000E0598">
      <w:pPr>
        <w:pStyle w:val="Textoindependiente"/>
        <w:spacing w:before="76" w:line="360" w:lineRule="auto"/>
        <w:ind w:right="139"/>
        <w:jc w:val="both"/>
      </w:pPr>
      <w:r>
        <w:lastRenderedPageBreak/>
        <w:t>serie de "Cuestiones previas" solicitadas por el Comité para actualizar la información de</w:t>
      </w:r>
      <w:r>
        <w:t>l período de gobierno del Presidente Sebastián Piñera. En esta oportunidad, cabe destacar que el Comité recibió el mayor número de informes sombra elaborados por organizaciones de la sociedad civil, que examinan la situación de Chile en relación a artículo</w:t>
      </w:r>
      <w:r>
        <w:t>s específicos de la Convención y proponen recomendaciones para avanzar en su cumplimiento de acuerdo con los objetivos</w:t>
      </w:r>
      <w:r>
        <w:rPr>
          <w:spacing w:val="40"/>
        </w:rPr>
        <w:t xml:space="preserve"> </w:t>
      </w:r>
      <w:r>
        <w:t>de las organizaciones que los elaboran.</w:t>
      </w:r>
    </w:p>
    <w:p w:rsidR="00AD7446" w:rsidRDefault="000E0598">
      <w:pPr>
        <w:pStyle w:val="Textoindependiente"/>
        <w:spacing w:before="161" w:line="360" w:lineRule="auto"/>
        <w:ind w:right="139" w:firstLine="359"/>
        <w:jc w:val="both"/>
      </w:pPr>
      <w:r>
        <w:t xml:space="preserve">Después de la presentación del informe chileno sobre el cumplimiento de la CEDAW por la ministra </w:t>
      </w:r>
      <w:r>
        <w:t>directora del SERNAM y las respuestas de la delegación a las consultas realizadas por las expertas del Comité, el Comité entregó sus observaciones y recomendaciones al Estado de Chile. En esta oportunidad, el Comité de expertas reiteró las preocupaciones y</w:t>
      </w:r>
      <w:r>
        <w:t>a mencionadas en informes anteriores y agregó algunas nuevas.</w:t>
      </w:r>
    </w:p>
    <w:p w:rsidR="00AD7446" w:rsidRDefault="000E0598">
      <w:pPr>
        <w:pStyle w:val="Textoindependiente"/>
        <w:spacing w:before="161" w:line="360" w:lineRule="auto"/>
        <w:ind w:right="135" w:firstLine="359"/>
        <w:jc w:val="both"/>
      </w:pPr>
      <w:r>
        <w:t>Entre las preocupaciones reiteradas del Comité se encuentran asuntos institucionales como la falta de ratificación del Protocolo Facultativo de la</w:t>
      </w:r>
      <w:r>
        <w:rPr>
          <w:spacing w:val="40"/>
        </w:rPr>
        <w:t xml:space="preserve"> </w:t>
      </w:r>
      <w:r>
        <w:t>CEDAW, la persistencia de estereotipos de género, la violencia contra las mujeres, la</w:t>
      </w:r>
      <w:r>
        <w:rPr>
          <w:spacing w:val="-1"/>
        </w:rPr>
        <w:t xml:space="preserve"> </w:t>
      </w:r>
      <w:r>
        <w:t>participación</w:t>
      </w:r>
      <w:r>
        <w:rPr>
          <w:spacing w:val="-1"/>
        </w:rPr>
        <w:t xml:space="preserve"> </w:t>
      </w:r>
      <w:r>
        <w:t>política, la</w:t>
      </w:r>
      <w:r>
        <w:rPr>
          <w:spacing w:val="-1"/>
        </w:rPr>
        <w:t xml:space="preserve"> </w:t>
      </w:r>
      <w:r>
        <w:t>educación,</w:t>
      </w:r>
      <w:r>
        <w:rPr>
          <w:spacing w:val="-1"/>
        </w:rPr>
        <w:t xml:space="preserve"> </w:t>
      </w:r>
      <w:r>
        <w:t>el empleo y la</w:t>
      </w:r>
      <w:r>
        <w:rPr>
          <w:spacing w:val="-1"/>
        </w:rPr>
        <w:t xml:space="preserve"> </w:t>
      </w:r>
      <w:r>
        <w:t>salud de las</w:t>
      </w:r>
      <w:r>
        <w:rPr>
          <w:spacing w:val="-2"/>
        </w:rPr>
        <w:t xml:space="preserve"> </w:t>
      </w:r>
      <w:r>
        <w:t>mujeres, así como también temas vinculados al matrimonio y las relaciones familiares. Las nuevas preocup</w:t>
      </w:r>
      <w:r>
        <w:t>aciones incluyen la trata y explotación de la prostitución, los grupos desfavorecidos de mujeres, el sistema público de pensiones, la violencia sexual, el terremoto y la reconstrucción, las mujeres privadas de libertad, la falta de datos, algunas leyes rec</w:t>
      </w:r>
      <w:r>
        <w:t>ientes y su aplicación (antidiscriminación, femicidio, regulación</w:t>
      </w:r>
      <w:r>
        <w:rPr>
          <w:spacing w:val="40"/>
        </w:rPr>
        <w:t xml:space="preserve"> </w:t>
      </w:r>
      <w:r>
        <w:t>de la fecundidad, igualdad salarial, postnatal).</w:t>
      </w:r>
    </w:p>
    <w:p w:rsidR="00AD7446" w:rsidRDefault="000E0598">
      <w:pPr>
        <w:pStyle w:val="Textoindependiente"/>
        <w:spacing w:before="161" w:line="360" w:lineRule="auto"/>
        <w:ind w:right="142" w:firstLine="359"/>
        <w:jc w:val="both"/>
      </w:pPr>
      <w:r>
        <w:t>En particular, respecto a la indemnidad sexual, sus vulneraciones y la violencia contra las mujeres una de las principales observaciones real</w:t>
      </w:r>
      <w:r>
        <w:t>izadas en el párrafo 18 fue en relación a que el acoso sexual, en dicha época, solo se encontraba tipificado como conducta que tiene lugar en el entorno laboral, dentro del Código del Trabajo, y en casos en que la víctima sea un menor de edad (Ley N° 20.52</w:t>
      </w:r>
      <w:r>
        <w:t>6).</w:t>
      </w:r>
    </w:p>
    <w:p w:rsidR="00AD7446" w:rsidRDefault="000E0598">
      <w:pPr>
        <w:pStyle w:val="Textoindependiente"/>
        <w:spacing w:before="159" w:line="360" w:lineRule="auto"/>
        <w:ind w:right="138" w:firstLine="359"/>
        <w:jc w:val="both"/>
      </w:pPr>
      <w:r>
        <w:t>Es importante señalar que, desde la presentación de este informe hasta la fecha, se han llevado a cabo diversas reformas en el Código Penal que se relacionan indirectamente con las temáticas abordadas en este documento. Por ejemplo, se ha promulgado</w:t>
      </w:r>
      <w:r>
        <w:rPr>
          <w:spacing w:val="-3"/>
        </w:rPr>
        <w:t xml:space="preserve"> </w:t>
      </w:r>
      <w:r>
        <w:t>la</w:t>
      </w:r>
      <w:r>
        <w:rPr>
          <w:spacing w:val="-3"/>
        </w:rPr>
        <w:t xml:space="preserve"> </w:t>
      </w:r>
      <w:r>
        <w:t>ley</w:t>
      </w:r>
      <w:r>
        <w:rPr>
          <w:spacing w:val="-3"/>
        </w:rPr>
        <w:t xml:space="preserve"> </w:t>
      </w:r>
      <w:r>
        <w:t>N°</w:t>
      </w:r>
      <w:r>
        <w:rPr>
          <w:spacing w:val="-5"/>
        </w:rPr>
        <w:t xml:space="preserve"> </w:t>
      </w:r>
      <w:r>
        <w:t>21.483,</w:t>
      </w:r>
      <w:r>
        <w:rPr>
          <w:spacing w:val="-3"/>
        </w:rPr>
        <w:t xml:space="preserve"> </w:t>
      </w:r>
      <w:r>
        <w:t>la</w:t>
      </w:r>
      <w:r>
        <w:rPr>
          <w:spacing w:val="-3"/>
        </w:rPr>
        <w:t xml:space="preserve"> </w:t>
      </w:r>
      <w:r>
        <w:t>cual</w:t>
      </w:r>
      <w:r>
        <w:rPr>
          <w:spacing w:val="-4"/>
        </w:rPr>
        <w:t xml:space="preserve"> </w:t>
      </w:r>
      <w:r>
        <w:t>modifica</w:t>
      </w:r>
      <w:r>
        <w:rPr>
          <w:spacing w:val="-3"/>
        </w:rPr>
        <w:t xml:space="preserve"> </w:t>
      </w:r>
      <w:r>
        <w:t>el</w:t>
      </w:r>
      <w:r>
        <w:rPr>
          <w:spacing w:val="-3"/>
        </w:rPr>
        <w:t xml:space="preserve"> </w:t>
      </w:r>
      <w:r>
        <w:t>Código</w:t>
      </w:r>
      <w:r>
        <w:rPr>
          <w:spacing w:val="-2"/>
        </w:rPr>
        <w:t xml:space="preserve"> </w:t>
      </w:r>
      <w:r>
        <w:t>Penal</w:t>
      </w:r>
      <w:r>
        <w:rPr>
          <w:spacing w:val="-3"/>
        </w:rPr>
        <w:t xml:space="preserve"> </w:t>
      </w:r>
      <w:r>
        <w:t>con</w:t>
      </w:r>
      <w:r>
        <w:rPr>
          <w:spacing w:val="-4"/>
        </w:rPr>
        <w:t xml:space="preserve"> </w:t>
      </w:r>
      <w:r>
        <w:t>el</w:t>
      </w:r>
      <w:r>
        <w:rPr>
          <w:spacing w:val="-3"/>
        </w:rPr>
        <w:t xml:space="preserve"> </w:t>
      </w:r>
      <w:r>
        <w:t>fin</w:t>
      </w:r>
      <w:r>
        <w:rPr>
          <w:spacing w:val="-4"/>
        </w:rPr>
        <w:t xml:space="preserve"> </w:t>
      </w:r>
      <w:r>
        <w:t>de</w:t>
      </w:r>
      <w:r>
        <w:rPr>
          <w:spacing w:val="-3"/>
        </w:rPr>
        <w:t xml:space="preserve"> </w:t>
      </w:r>
      <w:r>
        <w:t>reforzar la protección penal para la infancia y otras personas vulnerables. Además, se ha establecido</w:t>
      </w:r>
      <w:r>
        <w:rPr>
          <w:spacing w:val="43"/>
        </w:rPr>
        <w:t xml:space="preserve"> </w:t>
      </w:r>
      <w:r>
        <w:t>la</w:t>
      </w:r>
      <w:r>
        <w:rPr>
          <w:spacing w:val="44"/>
        </w:rPr>
        <w:t xml:space="preserve"> </w:t>
      </w:r>
      <w:r>
        <w:t>ley</w:t>
      </w:r>
      <w:r>
        <w:rPr>
          <w:spacing w:val="45"/>
        </w:rPr>
        <w:t xml:space="preserve"> </w:t>
      </w:r>
      <w:r>
        <w:t>N°</w:t>
      </w:r>
      <w:r>
        <w:rPr>
          <w:spacing w:val="43"/>
        </w:rPr>
        <w:t xml:space="preserve"> </w:t>
      </w:r>
      <w:r>
        <w:t>21.522,</w:t>
      </w:r>
      <w:r>
        <w:rPr>
          <w:spacing w:val="44"/>
        </w:rPr>
        <w:t xml:space="preserve"> </w:t>
      </w:r>
      <w:r>
        <w:t>que</w:t>
      </w:r>
      <w:r>
        <w:rPr>
          <w:spacing w:val="43"/>
        </w:rPr>
        <w:t xml:space="preserve"> </w:t>
      </w:r>
      <w:r>
        <w:t>incluye</w:t>
      </w:r>
      <w:r>
        <w:rPr>
          <w:spacing w:val="44"/>
        </w:rPr>
        <w:t xml:space="preserve"> </w:t>
      </w:r>
      <w:r>
        <w:t>un</w:t>
      </w:r>
      <w:r>
        <w:rPr>
          <w:spacing w:val="42"/>
        </w:rPr>
        <w:t xml:space="preserve"> </w:t>
      </w:r>
      <w:r>
        <w:t>nuevo</w:t>
      </w:r>
      <w:r>
        <w:rPr>
          <w:spacing w:val="45"/>
        </w:rPr>
        <w:t xml:space="preserve"> </w:t>
      </w:r>
      <w:r>
        <w:t>párrafo</w:t>
      </w:r>
      <w:r>
        <w:rPr>
          <w:spacing w:val="45"/>
        </w:rPr>
        <w:t xml:space="preserve"> </w:t>
      </w:r>
      <w:r>
        <w:t>en</w:t>
      </w:r>
      <w:r>
        <w:rPr>
          <w:spacing w:val="43"/>
        </w:rPr>
        <w:t xml:space="preserve"> </w:t>
      </w:r>
      <w:r>
        <w:t>el</w:t>
      </w:r>
      <w:r>
        <w:rPr>
          <w:spacing w:val="41"/>
        </w:rPr>
        <w:t xml:space="preserve"> </w:t>
      </w:r>
      <w:r>
        <w:t>Título</w:t>
      </w:r>
      <w:r>
        <w:rPr>
          <w:spacing w:val="45"/>
        </w:rPr>
        <w:t xml:space="preserve"> </w:t>
      </w:r>
      <w:r>
        <w:t>VII</w:t>
      </w:r>
      <w:r>
        <w:rPr>
          <w:spacing w:val="45"/>
        </w:rPr>
        <w:t xml:space="preserve"> </w:t>
      </w:r>
      <w:r>
        <w:rPr>
          <w:spacing w:val="-5"/>
        </w:rPr>
        <w:t>del</w:t>
      </w:r>
    </w:p>
    <w:p w:rsidR="00AD7446" w:rsidRDefault="00AD7446">
      <w:pPr>
        <w:spacing w:line="360" w:lineRule="auto"/>
        <w:jc w:val="both"/>
        <w:sectPr w:rsidR="00AD7446">
          <w:pgSz w:w="12240" w:h="18720"/>
          <w:pgMar w:top="1340" w:right="1560" w:bottom="280" w:left="1560" w:header="720" w:footer="720" w:gutter="0"/>
          <w:cols w:space="720"/>
        </w:sectPr>
      </w:pPr>
    </w:p>
    <w:p w:rsidR="00AD7446" w:rsidRDefault="000E0598">
      <w:pPr>
        <w:pStyle w:val="Textoindependiente"/>
        <w:spacing w:before="76" w:line="360" w:lineRule="auto"/>
        <w:ind w:right="137"/>
        <w:jc w:val="both"/>
      </w:pPr>
      <w:r>
        <w:lastRenderedPageBreak/>
        <w:t>Libro II de</w:t>
      </w:r>
      <w:r>
        <w:t>l Código Penal, relativo a la explotación sexual comercial y material pornográfico de niños, niñas y adolescentes.</w:t>
      </w:r>
    </w:p>
    <w:p w:rsidR="00AD7446" w:rsidRDefault="000E0598">
      <w:pPr>
        <w:pStyle w:val="Textoindependiente"/>
        <w:spacing w:before="161" w:line="360" w:lineRule="auto"/>
        <w:ind w:right="135" w:firstLine="359"/>
        <w:jc w:val="both"/>
      </w:pPr>
      <w:r>
        <w:t>También se ha llevado a cabo una reforma directa mediante la Ley N° 21.115, que tipifica el delito de acoso sexual en espacios públicos. No o</w:t>
      </w:r>
      <w:r>
        <w:t>bstante, esta modificación solo se refiere a aquellas conductas que involucran aproximaciones físicas de naturaleza sexual por parte de uno o más hombres desconocidos hacia una o más mujeres en un lugar público. Por lo tanto, se ha dejado de lado nuevament</w:t>
      </w:r>
      <w:r>
        <w:t>e el acoso sexual en el que el ofensor es conocido y este se produce en contextos laborales o jerárquicos. De esta manera, la crítica de la CEDAW sobre la limitación del acoso sexual solo al ámbito laboral, establecido exclusivamente en el Código del Traba</w:t>
      </w:r>
      <w:r>
        <w:t>jo, o en relación con menores, se ha resuelto solo parcialmente,</w:t>
      </w:r>
      <w:r>
        <w:rPr>
          <w:spacing w:val="40"/>
        </w:rPr>
        <w:t xml:space="preserve"> </w:t>
      </w:r>
      <w:r>
        <w:t>sin establecer una condena penal para otro tipo de comportamientos que afecten la indemnidad sexual.</w:t>
      </w:r>
    </w:p>
    <w:p w:rsidR="00AD7446" w:rsidRDefault="000E0598">
      <w:pPr>
        <w:pStyle w:val="Textoindependiente"/>
        <w:spacing w:before="161" w:line="360" w:lineRule="auto"/>
        <w:ind w:right="134" w:firstLine="359"/>
        <w:jc w:val="both"/>
      </w:pPr>
      <w:r>
        <w:t>Por ello tal como se afirma por parte de la Corporación Humanas</w:t>
      </w:r>
      <w:r>
        <w:rPr>
          <w:position w:val="6"/>
          <w:sz w:val="16"/>
        </w:rPr>
        <w:t>2</w:t>
      </w:r>
      <w:r>
        <w:rPr>
          <w:spacing w:val="40"/>
          <w:position w:val="6"/>
          <w:sz w:val="16"/>
        </w:rPr>
        <w:t xml:space="preserve"> </w:t>
      </w:r>
      <w:r>
        <w:t>se trata de denunciar acoso sexual, el Código del Trabajo establece que la persona afectada puede comunicarse directamente con el empleador o acudir a la Inspección del Trabajo. En el primer caso, el empleador puede realizar una investigación interna que n</w:t>
      </w:r>
      <w:r>
        <w:t>o puede extenderse más allá de 30 días. De lo contrario, el empleador debe remitir los antecedentes a la Inspección en un plazo de cinco días. Si la Inspección se hace cargo de la investigación, tiene el mismo plazo para verificar los hechos y determinar l</w:t>
      </w:r>
      <w:r>
        <w:t>as conclusiones. Una vez que finaliza la investigación, se notifican las conclusiones al empleador, al denunciante y al denunciado, y se establece la sanción correspondiente.</w:t>
      </w:r>
    </w:p>
    <w:p w:rsidR="00AD7446" w:rsidRDefault="000E0598">
      <w:pPr>
        <w:pStyle w:val="Textoindependiente"/>
        <w:spacing w:before="161" w:line="360" w:lineRule="auto"/>
        <w:ind w:right="136" w:firstLine="359"/>
        <w:jc w:val="both"/>
      </w:pPr>
      <w:r>
        <w:t>Cabe destacar que estas conductas siguen siendo sancionadas únicamente por</w:t>
      </w:r>
      <w:r>
        <w:rPr>
          <w:spacing w:val="40"/>
        </w:rPr>
        <w:t xml:space="preserve"> </w:t>
      </w:r>
      <w:r>
        <w:t>el Cód</w:t>
      </w:r>
      <w:r>
        <w:t>igo del Trabajo, que establece el protocolo antes mencionado, lo que puede llevar</w:t>
      </w:r>
      <w:r>
        <w:rPr>
          <w:spacing w:val="-2"/>
        </w:rPr>
        <w:t xml:space="preserve"> </w:t>
      </w:r>
      <w:r>
        <w:t>a</w:t>
      </w:r>
      <w:r>
        <w:rPr>
          <w:spacing w:val="-2"/>
        </w:rPr>
        <w:t xml:space="preserve"> </w:t>
      </w:r>
      <w:r>
        <w:t>indemnizaciones</w:t>
      </w:r>
      <w:r>
        <w:rPr>
          <w:spacing w:val="-3"/>
        </w:rPr>
        <w:t xml:space="preserve"> </w:t>
      </w:r>
      <w:r>
        <w:t>o</w:t>
      </w:r>
      <w:r>
        <w:rPr>
          <w:spacing w:val="-2"/>
        </w:rPr>
        <w:t xml:space="preserve"> </w:t>
      </w:r>
      <w:r>
        <w:t>a</w:t>
      </w:r>
      <w:r>
        <w:rPr>
          <w:spacing w:val="-2"/>
        </w:rPr>
        <w:t xml:space="preserve"> </w:t>
      </w:r>
      <w:r>
        <w:t>la</w:t>
      </w:r>
      <w:r>
        <w:rPr>
          <w:spacing w:val="-2"/>
        </w:rPr>
        <w:t xml:space="preserve"> </w:t>
      </w:r>
      <w:r>
        <w:t>terminación</w:t>
      </w:r>
      <w:r>
        <w:rPr>
          <w:spacing w:val="-3"/>
        </w:rPr>
        <w:t xml:space="preserve"> </w:t>
      </w:r>
      <w:r>
        <w:t>del</w:t>
      </w:r>
      <w:r>
        <w:rPr>
          <w:spacing w:val="-2"/>
        </w:rPr>
        <w:t xml:space="preserve"> </w:t>
      </w:r>
      <w:r>
        <w:t>contrato</w:t>
      </w:r>
      <w:r>
        <w:rPr>
          <w:spacing w:val="-2"/>
        </w:rPr>
        <w:t xml:space="preserve"> </w:t>
      </w:r>
      <w:r>
        <w:t>en</w:t>
      </w:r>
      <w:r>
        <w:rPr>
          <w:spacing w:val="-2"/>
        </w:rPr>
        <w:t xml:space="preserve"> </w:t>
      </w:r>
      <w:r>
        <w:t>caso</w:t>
      </w:r>
      <w:r>
        <w:rPr>
          <w:spacing w:val="-2"/>
        </w:rPr>
        <w:t xml:space="preserve"> </w:t>
      </w:r>
      <w:r>
        <w:t>de</w:t>
      </w:r>
      <w:r>
        <w:rPr>
          <w:spacing w:val="-2"/>
        </w:rPr>
        <w:t xml:space="preserve"> </w:t>
      </w:r>
      <w:r>
        <w:t>que</w:t>
      </w:r>
      <w:r>
        <w:rPr>
          <w:spacing w:val="-2"/>
        </w:rPr>
        <w:t xml:space="preserve"> </w:t>
      </w:r>
      <w:r>
        <w:t>el</w:t>
      </w:r>
      <w:r>
        <w:rPr>
          <w:spacing w:val="-2"/>
        </w:rPr>
        <w:t xml:space="preserve"> </w:t>
      </w:r>
      <w:r>
        <w:t>acoso</w:t>
      </w:r>
      <w:r>
        <w:rPr>
          <w:spacing w:val="-2"/>
        </w:rPr>
        <w:t xml:space="preserve"> </w:t>
      </w:r>
      <w:r>
        <w:t>sea realizado por un par. Por otro lado, en caso de que el acoso sexual sea cometido</w:t>
      </w:r>
      <w:r>
        <w:rPr>
          <w:spacing w:val="40"/>
        </w:rPr>
        <w:t xml:space="preserve"> </w:t>
      </w:r>
      <w:r>
        <w:t>por un jefe, se</w:t>
      </w:r>
      <w:r>
        <w:t xml:space="preserve"> puede dar lugar a la terminación del contrato y una compensación adicional. Sin embargo, estas medidas solo son aplicables en el ámbito laboral y no existiría una condena penal directa para estos comportamientos.</w:t>
      </w:r>
    </w:p>
    <w:p w:rsidR="00AD7446" w:rsidRDefault="00AD7446">
      <w:pPr>
        <w:pStyle w:val="Textoindependiente"/>
        <w:ind w:left="0"/>
        <w:rPr>
          <w:sz w:val="20"/>
        </w:rPr>
      </w:pPr>
    </w:p>
    <w:p w:rsidR="00AD7446" w:rsidRDefault="00AD7446">
      <w:pPr>
        <w:pStyle w:val="Textoindependiente"/>
        <w:ind w:left="0"/>
        <w:rPr>
          <w:sz w:val="20"/>
        </w:rPr>
      </w:pPr>
    </w:p>
    <w:p w:rsidR="00AD7446" w:rsidRDefault="00AD7446">
      <w:pPr>
        <w:pStyle w:val="Textoindependiente"/>
        <w:ind w:left="0"/>
        <w:rPr>
          <w:sz w:val="20"/>
        </w:rPr>
      </w:pPr>
    </w:p>
    <w:p w:rsidR="00AD7446" w:rsidRDefault="00AD7446">
      <w:pPr>
        <w:pStyle w:val="Textoindependiente"/>
        <w:ind w:left="0"/>
        <w:rPr>
          <w:sz w:val="20"/>
        </w:rPr>
      </w:pPr>
    </w:p>
    <w:p w:rsidR="00AD7446" w:rsidRDefault="00AD7446">
      <w:pPr>
        <w:pStyle w:val="Textoindependiente"/>
        <w:ind w:left="0"/>
        <w:rPr>
          <w:sz w:val="20"/>
        </w:rPr>
      </w:pPr>
    </w:p>
    <w:p w:rsidR="00AD7446" w:rsidRDefault="000E0598">
      <w:pPr>
        <w:pStyle w:val="Textoindependiente"/>
        <w:spacing w:before="11"/>
        <w:ind w:left="0"/>
        <w:rPr>
          <w:sz w:val="28"/>
        </w:rPr>
      </w:pPr>
      <w:r>
        <w:pict>
          <v:rect id="docshape3" o:spid="_x0000_s1028" style="position:absolute;margin-left:85.1pt;margin-top:19.2pt;width:2in;height:.7pt;z-index:-15727616;mso-wrap-distance-left:0;mso-wrap-distance-right:0;mso-position-horizontal-relative:page" fillcolor="black" stroked="f">
            <w10:wrap type="topAndBottom" anchorx="page"/>
          </v:rect>
        </w:pict>
      </w:r>
    </w:p>
    <w:p w:rsidR="00AD7446" w:rsidRDefault="000E0598">
      <w:pPr>
        <w:spacing w:before="102"/>
        <w:ind w:left="142"/>
        <w:rPr>
          <w:rFonts w:ascii="Calibri"/>
          <w:sz w:val="20"/>
        </w:rPr>
      </w:pPr>
      <w:r>
        <w:rPr>
          <w:rFonts w:ascii="Calibri"/>
          <w:spacing w:val="-2"/>
          <w:sz w:val="20"/>
          <w:vertAlign w:val="superscript"/>
        </w:rPr>
        <w:t>2</w:t>
      </w:r>
      <w:r>
        <w:rPr>
          <w:rFonts w:ascii="Calibri"/>
          <w:spacing w:val="59"/>
          <w:w w:val="150"/>
          <w:sz w:val="20"/>
        </w:rPr>
        <w:t xml:space="preserve"> </w:t>
      </w:r>
      <w:hyperlink r:id="rId6">
        <w:r>
          <w:rPr>
            <w:rFonts w:ascii="Calibri"/>
            <w:color w:val="0462C1"/>
            <w:spacing w:val="-2"/>
            <w:sz w:val="20"/>
            <w:u w:val="single" w:color="0462C1"/>
          </w:rPr>
          <w:t>https://www.humanas.cl/el-acoso-sexual-no-esta-tipificado-como-delito-en-chile/#</w:t>
        </w:r>
      </w:hyperlink>
    </w:p>
    <w:p w:rsidR="00AD7446" w:rsidRDefault="00AD7446">
      <w:pPr>
        <w:rPr>
          <w:rFonts w:ascii="Calibri"/>
          <w:sz w:val="20"/>
        </w:rPr>
        <w:sectPr w:rsidR="00AD7446">
          <w:pgSz w:w="12240" w:h="18720"/>
          <w:pgMar w:top="1340" w:right="1560" w:bottom="280" w:left="1560" w:header="720" w:footer="720" w:gutter="0"/>
          <w:cols w:space="720"/>
        </w:sectPr>
      </w:pPr>
    </w:p>
    <w:p w:rsidR="00AD7446" w:rsidRDefault="000E0598">
      <w:pPr>
        <w:pStyle w:val="Ttulo2"/>
        <w:numPr>
          <w:ilvl w:val="1"/>
          <w:numId w:val="3"/>
        </w:numPr>
        <w:tabs>
          <w:tab w:val="left" w:pos="1582"/>
        </w:tabs>
        <w:spacing w:before="76"/>
        <w:ind w:hanging="361"/>
        <w:jc w:val="both"/>
      </w:pPr>
      <w:r>
        <w:t>Chantaje</w:t>
      </w:r>
      <w:r>
        <w:rPr>
          <w:spacing w:val="-3"/>
        </w:rPr>
        <w:t xml:space="preserve"> </w:t>
      </w:r>
      <w:r>
        <w:rPr>
          <w:spacing w:val="-2"/>
        </w:rPr>
        <w:t>sexual</w:t>
      </w:r>
    </w:p>
    <w:p w:rsidR="00AD7446" w:rsidRDefault="00AD7446">
      <w:pPr>
        <w:pStyle w:val="Textoindependiente"/>
        <w:spacing w:before="4"/>
        <w:ind w:left="0"/>
        <w:rPr>
          <w:b/>
          <w:sz w:val="25"/>
        </w:rPr>
      </w:pPr>
    </w:p>
    <w:p w:rsidR="00AD7446" w:rsidRDefault="000E0598">
      <w:pPr>
        <w:pStyle w:val="Textoindependiente"/>
        <w:spacing w:line="360" w:lineRule="auto"/>
        <w:ind w:right="139" w:firstLine="359"/>
        <w:jc w:val="both"/>
      </w:pPr>
      <w:r>
        <w:t>En cuanto al tema del chantaje sexual, se puede afirmar que, aunque la</w:t>
      </w:r>
      <w:r>
        <w:rPr>
          <w:spacing w:val="40"/>
        </w:rPr>
        <w:t xml:space="preserve"> </w:t>
      </w:r>
      <w:r>
        <w:t xml:space="preserve">CEDAW no </w:t>
      </w:r>
      <w:r>
        <w:t>lo menciona directamente, esta crítica podría incluirlo debido a que el delito de extorsión en el Código Penal se limita a asuntos patrimoniales. De hecho, tras la modificación del artículo 438 del Código Penal por la ley N° 21.555, que refuerza las compet</w:t>
      </w:r>
      <w:r>
        <w:t>encias de Gendarmería de Chile y establece un delito general</w:t>
      </w:r>
      <w:r>
        <w:rPr>
          <w:spacing w:val="40"/>
        </w:rPr>
        <w:t xml:space="preserve"> </w:t>
      </w:r>
      <w:r>
        <w:t>de extorsión, se especifica que el objetivo del perpetrador de la extorsión debe ser obtener un beneficio económico para sí mismo o para un tercero, lo que excluye explícitamente a figuras como la "sextorsión".</w:t>
      </w:r>
    </w:p>
    <w:p w:rsidR="00AD7446" w:rsidRDefault="000E0598">
      <w:pPr>
        <w:pStyle w:val="Textoindependiente"/>
        <w:spacing w:before="161" w:line="360" w:lineRule="auto"/>
        <w:ind w:right="138" w:firstLine="359"/>
        <w:jc w:val="both"/>
      </w:pPr>
      <w:r>
        <w:t>En</w:t>
      </w:r>
      <w:r>
        <w:rPr>
          <w:spacing w:val="-4"/>
        </w:rPr>
        <w:t xml:space="preserve"> </w:t>
      </w:r>
      <w:r>
        <w:t>este</w:t>
      </w:r>
      <w:r>
        <w:rPr>
          <w:spacing w:val="-3"/>
        </w:rPr>
        <w:t xml:space="preserve"> </w:t>
      </w:r>
      <w:r>
        <w:t>sentido,</w:t>
      </w:r>
      <w:r>
        <w:rPr>
          <w:spacing w:val="-3"/>
        </w:rPr>
        <w:t xml:space="preserve"> </w:t>
      </w:r>
      <w:r>
        <w:t>entendemos</w:t>
      </w:r>
      <w:r>
        <w:rPr>
          <w:spacing w:val="-3"/>
        </w:rPr>
        <w:t xml:space="preserve"> </w:t>
      </w:r>
      <w:r>
        <w:t>por "sextorsión"</w:t>
      </w:r>
      <w:r>
        <w:rPr>
          <w:spacing w:val="-5"/>
        </w:rPr>
        <w:t xml:space="preserve"> </w:t>
      </w:r>
      <w:r>
        <w:t>a</w:t>
      </w:r>
      <w:r>
        <w:rPr>
          <w:spacing w:val="-3"/>
        </w:rPr>
        <w:t xml:space="preserve"> </w:t>
      </w:r>
      <w:r>
        <w:t>aquella</w:t>
      </w:r>
      <w:r>
        <w:rPr>
          <w:spacing w:val="-4"/>
        </w:rPr>
        <w:t xml:space="preserve"> </w:t>
      </w:r>
      <w:r>
        <w:t>forma</w:t>
      </w:r>
      <w:r>
        <w:rPr>
          <w:spacing w:val="-3"/>
        </w:rPr>
        <w:t xml:space="preserve"> </w:t>
      </w:r>
      <w:r>
        <w:t>de</w:t>
      </w:r>
      <w:r>
        <w:rPr>
          <w:spacing w:val="-1"/>
        </w:rPr>
        <w:t xml:space="preserve"> </w:t>
      </w:r>
      <w:r>
        <w:t>chantaje</w:t>
      </w:r>
      <w:r>
        <w:rPr>
          <w:spacing w:val="-4"/>
        </w:rPr>
        <w:t xml:space="preserve"> </w:t>
      </w:r>
      <w:r>
        <w:t>sexual en la que una persona amenaza con difundir imágenes o vídeos sexualmente explícitos de otra persona a menos que se cumpla con sus demandas, o que se premune de otros tipos de amenazas o intimidaciones para la obtención de</w:t>
      </w:r>
      <w:r>
        <w:t xml:space="preserve"> favores sexuales no consentidos. Es una forma de abuso y acoso sexual que puede tener graves consecuencias emocionales y psicológicas para la víctima, además de ser potencialmente dañina para su reputación y privacidad.</w:t>
      </w:r>
    </w:p>
    <w:p w:rsidR="00AD7446" w:rsidRDefault="000E0598">
      <w:pPr>
        <w:pStyle w:val="Ttulo2"/>
        <w:numPr>
          <w:ilvl w:val="1"/>
          <w:numId w:val="3"/>
        </w:numPr>
        <w:tabs>
          <w:tab w:val="left" w:pos="1582"/>
        </w:tabs>
        <w:spacing w:before="160"/>
        <w:ind w:hanging="361"/>
        <w:jc w:val="both"/>
      </w:pPr>
      <w:r>
        <w:t>Fuentes</w:t>
      </w:r>
      <w:r>
        <w:rPr>
          <w:spacing w:val="-2"/>
        </w:rPr>
        <w:t xml:space="preserve"> </w:t>
      </w:r>
      <w:r>
        <w:t>de</w:t>
      </w:r>
      <w:r>
        <w:rPr>
          <w:spacing w:val="-1"/>
        </w:rPr>
        <w:t xml:space="preserve"> </w:t>
      </w:r>
      <w:r>
        <w:rPr>
          <w:spacing w:val="-2"/>
        </w:rPr>
        <w:t>inspiración</w:t>
      </w:r>
    </w:p>
    <w:p w:rsidR="00AD7446" w:rsidRDefault="00AD7446">
      <w:pPr>
        <w:pStyle w:val="Textoindependiente"/>
        <w:spacing w:before="4"/>
        <w:ind w:left="0"/>
        <w:rPr>
          <w:b/>
          <w:sz w:val="25"/>
        </w:rPr>
      </w:pPr>
    </w:p>
    <w:p w:rsidR="00AD7446" w:rsidRDefault="000E0598">
      <w:pPr>
        <w:pStyle w:val="Textoindependiente"/>
        <w:spacing w:line="360" w:lineRule="auto"/>
        <w:ind w:right="134" w:firstLine="359"/>
        <w:jc w:val="both"/>
        <w:rPr>
          <w:sz w:val="16"/>
        </w:rPr>
      </w:pPr>
      <w:r>
        <w:t>Dentro de las fuentes de inspiración para la realización de este proyecto, y en relación con su objetivo de incorporar en el Código Penal los delitos de acoso sexual y de chantaje sexual, podemos afirmar respecto a la tipificación del primero de estos deli</w:t>
      </w:r>
      <w:r>
        <w:t>tos que nuestra principal inspiración se encuentra en la definición de acoso sexual establecida en la legislación belga, en específico, en la “</w:t>
      </w:r>
      <w:r>
        <w:rPr>
          <w:i/>
        </w:rPr>
        <w:t>Loi du 10 mai 2007 tendant à lutter contre la discrimination entre les femmes et les hommes</w:t>
      </w:r>
      <w:r>
        <w:t>”</w:t>
      </w:r>
      <w:r>
        <w:rPr>
          <w:position w:val="6"/>
          <w:sz w:val="16"/>
        </w:rPr>
        <w:t>3</w:t>
      </w:r>
      <w:r>
        <w:rPr>
          <w:spacing w:val="40"/>
          <w:position w:val="6"/>
          <w:sz w:val="16"/>
        </w:rPr>
        <w:t xml:space="preserve"> </w:t>
      </w:r>
      <w:r>
        <w:t>la cual señala en s</w:t>
      </w:r>
      <w:r>
        <w:t>u artículo 5° N° 10 que “el acoso sexual es la conducta no deseada de connotación sexual expresión física, verbal o no verbal y que tiene el propósito o el efecto de atentar contra la dignidad de una persona en particular cuando se crea</w:t>
      </w:r>
      <w:r>
        <w:rPr>
          <w:spacing w:val="80"/>
        </w:rPr>
        <w:t xml:space="preserve"> </w:t>
      </w:r>
      <w:r>
        <w:t>un entorno intimida</w:t>
      </w:r>
      <w:r>
        <w:t>torio, hostil, degradante, humillante u ofensivo”. Por otra parte, respecto al tratamiento legal y sanción de este ilícito fue igualmente</w:t>
      </w:r>
      <w:r>
        <w:rPr>
          <w:spacing w:val="40"/>
        </w:rPr>
        <w:t xml:space="preserve"> </w:t>
      </w:r>
      <w:r>
        <w:t>relevante lo indicado en el artículo 184 del Código Penal español.</w:t>
      </w:r>
      <w:r>
        <w:rPr>
          <w:position w:val="6"/>
          <w:sz w:val="16"/>
        </w:rPr>
        <w:t>4</w:t>
      </w:r>
    </w:p>
    <w:p w:rsidR="00AD7446" w:rsidRDefault="00AD7446">
      <w:pPr>
        <w:pStyle w:val="Textoindependiente"/>
        <w:ind w:left="0"/>
        <w:rPr>
          <w:sz w:val="20"/>
        </w:rPr>
      </w:pPr>
    </w:p>
    <w:p w:rsidR="00AD7446" w:rsidRDefault="00AD7446">
      <w:pPr>
        <w:pStyle w:val="Textoindependiente"/>
        <w:ind w:left="0"/>
        <w:rPr>
          <w:sz w:val="20"/>
        </w:rPr>
      </w:pPr>
    </w:p>
    <w:p w:rsidR="00AD7446" w:rsidRDefault="000E0598">
      <w:pPr>
        <w:pStyle w:val="Textoindependiente"/>
        <w:spacing w:before="12"/>
        <w:ind w:left="0"/>
        <w:rPr>
          <w:sz w:val="15"/>
        </w:rPr>
      </w:pPr>
      <w:r>
        <w:pict>
          <v:rect id="docshape4" o:spid="_x0000_s1027" style="position:absolute;margin-left:85.1pt;margin-top:11.1pt;width:2in;height:.7pt;z-index:-15727104;mso-wrap-distance-left:0;mso-wrap-distance-right:0;mso-position-horizontal-relative:page" fillcolor="black" stroked="f">
            <w10:wrap type="topAndBottom" anchorx="page"/>
          </v:rect>
        </w:pict>
      </w:r>
    </w:p>
    <w:p w:rsidR="00AD7446" w:rsidRDefault="000E0598">
      <w:pPr>
        <w:spacing w:before="102"/>
        <w:ind w:left="142"/>
        <w:rPr>
          <w:rFonts w:ascii="Calibri"/>
          <w:sz w:val="20"/>
        </w:rPr>
      </w:pPr>
      <w:r>
        <w:rPr>
          <w:rFonts w:ascii="Calibri"/>
          <w:spacing w:val="-2"/>
          <w:sz w:val="20"/>
          <w:vertAlign w:val="superscript"/>
        </w:rPr>
        <w:t>3</w:t>
      </w:r>
      <w:r>
        <w:rPr>
          <w:rFonts w:ascii="Calibri"/>
          <w:spacing w:val="11"/>
          <w:sz w:val="20"/>
        </w:rPr>
        <w:t xml:space="preserve"> </w:t>
      </w:r>
      <w:hyperlink r:id="rId7">
        <w:r>
          <w:rPr>
            <w:rFonts w:ascii="Calibri"/>
            <w:color w:val="0462C1"/>
            <w:spacing w:val="-2"/>
            <w:sz w:val="20"/>
            <w:u w:val="single" w:color="0462C1"/>
          </w:rPr>
          <w:t>https://igvm-iefh.belgium.be/sites/default/files/downloads/file_fr_84_-</w:t>
        </w:r>
      </w:hyperlink>
    </w:p>
    <w:p w:rsidR="00AD7446" w:rsidRDefault="000E0598">
      <w:pPr>
        <w:spacing w:before="1"/>
        <w:ind w:left="142" w:right="209"/>
        <w:rPr>
          <w:rFonts w:ascii="Calibri" w:hAnsi="Calibri"/>
          <w:sz w:val="20"/>
        </w:rPr>
      </w:pPr>
      <w:hyperlink r:id="rId8">
        <w:r>
          <w:rPr>
            <w:rFonts w:ascii="Calibri" w:hAnsi="Calibri"/>
            <w:color w:val="0462C1"/>
            <w:spacing w:val="-2"/>
            <w:sz w:val="20"/>
            <w:u w:val="single" w:color="0462C1"/>
          </w:rPr>
          <w:t>_loi_de_10_mai_2007_tendant_a_lutter_contre_la_discrimination_entre_les</w:t>
        </w:r>
        <w:r>
          <w:rPr>
            <w:rFonts w:ascii="Calibri" w:hAnsi="Calibri"/>
            <w:color w:val="0462C1"/>
            <w:spacing w:val="-2"/>
            <w:sz w:val="20"/>
            <w:u w:val="single" w:color="0462C1"/>
          </w:rPr>
          <w:t>_femmes_et_les_hommes.pdf</w:t>
        </w:r>
      </w:hyperlink>
      <w:r>
        <w:rPr>
          <w:rFonts w:ascii="Calibri" w:hAnsi="Calibri"/>
          <w:color w:val="0462C1"/>
          <w:spacing w:val="40"/>
          <w:sz w:val="20"/>
        </w:rPr>
        <w:t xml:space="preserve">  </w:t>
      </w:r>
      <w:r>
        <w:rPr>
          <w:rFonts w:ascii="Calibri" w:hAnsi="Calibri"/>
          <w:sz w:val="20"/>
          <w:vertAlign w:val="superscript"/>
        </w:rPr>
        <w:t>4</w:t>
      </w:r>
      <w:r>
        <w:rPr>
          <w:rFonts w:ascii="Calibri" w:hAnsi="Calibri"/>
          <w:sz w:val="20"/>
        </w:rPr>
        <w:t xml:space="preserve"> “Artículo 184. 1. El que solicitare favores de naturaleza sexual, para sí o para un tercero, en el ámbito de una relación laboral, docente, de prestación de servicios o análoga, continuada o habitual, y con tal comportamiento p</w:t>
      </w:r>
      <w:r>
        <w:rPr>
          <w:rFonts w:ascii="Calibri" w:hAnsi="Calibri"/>
          <w:sz w:val="20"/>
        </w:rPr>
        <w:t>rovocare a la víctima una situación objetiva y gravemente intimidatoria, hostil o humillante,</w:t>
      </w:r>
      <w:r>
        <w:rPr>
          <w:rFonts w:ascii="Calibri" w:hAnsi="Calibri"/>
          <w:spacing w:val="-3"/>
          <w:sz w:val="20"/>
        </w:rPr>
        <w:t xml:space="preserve"> </w:t>
      </w:r>
      <w:r>
        <w:rPr>
          <w:rFonts w:ascii="Calibri" w:hAnsi="Calibri"/>
          <w:sz w:val="20"/>
        </w:rPr>
        <w:t>será</w:t>
      </w:r>
      <w:r>
        <w:rPr>
          <w:rFonts w:ascii="Calibri" w:hAnsi="Calibri"/>
          <w:spacing w:val="-3"/>
          <w:sz w:val="20"/>
        </w:rPr>
        <w:t xml:space="preserve"> </w:t>
      </w:r>
      <w:r>
        <w:rPr>
          <w:rFonts w:ascii="Calibri" w:hAnsi="Calibri"/>
          <w:sz w:val="20"/>
        </w:rPr>
        <w:t>castigado,</w:t>
      </w:r>
      <w:r>
        <w:rPr>
          <w:rFonts w:ascii="Calibri" w:hAnsi="Calibri"/>
          <w:spacing w:val="-3"/>
          <w:sz w:val="20"/>
        </w:rPr>
        <w:t xml:space="preserve"> </w:t>
      </w:r>
      <w:r>
        <w:rPr>
          <w:rFonts w:ascii="Calibri" w:hAnsi="Calibri"/>
          <w:sz w:val="20"/>
        </w:rPr>
        <w:t>como</w:t>
      </w:r>
      <w:r>
        <w:rPr>
          <w:rFonts w:ascii="Calibri" w:hAnsi="Calibri"/>
          <w:spacing w:val="-3"/>
          <w:sz w:val="20"/>
        </w:rPr>
        <w:t xml:space="preserve"> </w:t>
      </w:r>
      <w:r>
        <w:rPr>
          <w:rFonts w:ascii="Calibri" w:hAnsi="Calibri"/>
          <w:sz w:val="20"/>
        </w:rPr>
        <w:t>autor</w:t>
      </w:r>
      <w:r>
        <w:rPr>
          <w:rFonts w:ascii="Calibri" w:hAnsi="Calibri"/>
          <w:spacing w:val="-3"/>
          <w:sz w:val="20"/>
        </w:rPr>
        <w:t xml:space="preserve"> </w:t>
      </w:r>
      <w:r>
        <w:rPr>
          <w:rFonts w:ascii="Calibri" w:hAnsi="Calibri"/>
          <w:sz w:val="20"/>
        </w:rPr>
        <w:t>de</w:t>
      </w:r>
      <w:r>
        <w:rPr>
          <w:rFonts w:ascii="Calibri" w:hAnsi="Calibri"/>
          <w:spacing w:val="-4"/>
          <w:sz w:val="20"/>
        </w:rPr>
        <w:t xml:space="preserve"> </w:t>
      </w:r>
      <w:r>
        <w:rPr>
          <w:rFonts w:ascii="Calibri" w:hAnsi="Calibri"/>
          <w:sz w:val="20"/>
        </w:rPr>
        <w:t>acoso</w:t>
      </w:r>
      <w:r>
        <w:rPr>
          <w:rFonts w:ascii="Calibri" w:hAnsi="Calibri"/>
          <w:spacing w:val="-3"/>
          <w:sz w:val="20"/>
        </w:rPr>
        <w:t xml:space="preserve"> </w:t>
      </w:r>
      <w:r>
        <w:rPr>
          <w:rFonts w:ascii="Calibri" w:hAnsi="Calibri"/>
          <w:sz w:val="20"/>
        </w:rPr>
        <w:t>sexual,</w:t>
      </w:r>
      <w:r>
        <w:rPr>
          <w:rFonts w:ascii="Calibri" w:hAnsi="Calibri"/>
          <w:spacing w:val="-3"/>
          <w:sz w:val="20"/>
        </w:rPr>
        <w:t xml:space="preserve"> </w:t>
      </w:r>
      <w:r>
        <w:rPr>
          <w:rFonts w:ascii="Calibri" w:hAnsi="Calibri"/>
          <w:sz w:val="20"/>
        </w:rPr>
        <w:t>con</w:t>
      </w:r>
      <w:r>
        <w:rPr>
          <w:rFonts w:ascii="Calibri" w:hAnsi="Calibri"/>
          <w:spacing w:val="-3"/>
          <w:sz w:val="20"/>
        </w:rPr>
        <w:t xml:space="preserve"> </w:t>
      </w:r>
      <w:r>
        <w:rPr>
          <w:rFonts w:ascii="Calibri" w:hAnsi="Calibri"/>
          <w:sz w:val="20"/>
        </w:rPr>
        <w:t>la</w:t>
      </w:r>
      <w:r>
        <w:rPr>
          <w:rFonts w:ascii="Calibri" w:hAnsi="Calibri"/>
          <w:spacing w:val="-3"/>
          <w:sz w:val="20"/>
        </w:rPr>
        <w:t xml:space="preserve"> </w:t>
      </w:r>
      <w:r>
        <w:rPr>
          <w:rFonts w:ascii="Calibri" w:hAnsi="Calibri"/>
          <w:sz w:val="20"/>
        </w:rPr>
        <w:t>pena</w:t>
      </w:r>
      <w:r>
        <w:rPr>
          <w:rFonts w:ascii="Calibri" w:hAnsi="Calibri"/>
          <w:spacing w:val="-3"/>
          <w:sz w:val="20"/>
        </w:rPr>
        <w:t xml:space="preserve"> </w:t>
      </w:r>
      <w:r>
        <w:rPr>
          <w:rFonts w:ascii="Calibri" w:hAnsi="Calibri"/>
          <w:sz w:val="20"/>
        </w:rPr>
        <w:t>de</w:t>
      </w:r>
      <w:r>
        <w:rPr>
          <w:rFonts w:ascii="Calibri" w:hAnsi="Calibri"/>
          <w:spacing w:val="-4"/>
          <w:sz w:val="20"/>
        </w:rPr>
        <w:t xml:space="preserve"> </w:t>
      </w:r>
      <w:r>
        <w:rPr>
          <w:rFonts w:ascii="Calibri" w:hAnsi="Calibri"/>
          <w:sz w:val="20"/>
        </w:rPr>
        <w:t>prisión</w:t>
      </w:r>
      <w:r>
        <w:rPr>
          <w:rFonts w:ascii="Calibri" w:hAnsi="Calibri"/>
          <w:spacing w:val="-4"/>
          <w:sz w:val="20"/>
        </w:rPr>
        <w:t xml:space="preserve"> </w:t>
      </w:r>
      <w:r>
        <w:rPr>
          <w:rFonts w:ascii="Calibri" w:hAnsi="Calibri"/>
          <w:sz w:val="20"/>
        </w:rPr>
        <w:t>de</w:t>
      </w:r>
      <w:r>
        <w:rPr>
          <w:rFonts w:ascii="Calibri" w:hAnsi="Calibri"/>
          <w:spacing w:val="-4"/>
          <w:sz w:val="20"/>
        </w:rPr>
        <w:t xml:space="preserve"> </w:t>
      </w:r>
      <w:r>
        <w:rPr>
          <w:rFonts w:ascii="Calibri" w:hAnsi="Calibri"/>
          <w:sz w:val="20"/>
        </w:rPr>
        <w:t>seis</w:t>
      </w:r>
      <w:r>
        <w:rPr>
          <w:rFonts w:ascii="Calibri" w:hAnsi="Calibri"/>
          <w:spacing w:val="-3"/>
          <w:sz w:val="20"/>
        </w:rPr>
        <w:t xml:space="preserve"> </w:t>
      </w:r>
      <w:r>
        <w:rPr>
          <w:rFonts w:ascii="Calibri" w:hAnsi="Calibri"/>
          <w:sz w:val="20"/>
        </w:rPr>
        <w:t>a</w:t>
      </w:r>
      <w:r>
        <w:rPr>
          <w:rFonts w:ascii="Calibri" w:hAnsi="Calibri"/>
          <w:spacing w:val="-4"/>
          <w:sz w:val="20"/>
        </w:rPr>
        <w:t xml:space="preserve"> </w:t>
      </w:r>
      <w:r>
        <w:rPr>
          <w:rFonts w:ascii="Calibri" w:hAnsi="Calibri"/>
          <w:sz w:val="20"/>
        </w:rPr>
        <w:t>doce</w:t>
      </w:r>
      <w:r>
        <w:rPr>
          <w:rFonts w:ascii="Calibri" w:hAnsi="Calibri"/>
          <w:spacing w:val="-5"/>
          <w:sz w:val="20"/>
        </w:rPr>
        <w:t xml:space="preserve"> </w:t>
      </w:r>
      <w:r>
        <w:rPr>
          <w:rFonts w:ascii="Calibri" w:hAnsi="Calibri"/>
          <w:sz w:val="20"/>
        </w:rPr>
        <w:t>meses</w:t>
      </w:r>
      <w:r>
        <w:rPr>
          <w:rFonts w:ascii="Calibri" w:hAnsi="Calibri"/>
          <w:spacing w:val="-3"/>
          <w:sz w:val="20"/>
        </w:rPr>
        <w:t xml:space="preserve"> </w:t>
      </w:r>
      <w:r>
        <w:rPr>
          <w:rFonts w:ascii="Calibri" w:hAnsi="Calibri"/>
          <w:sz w:val="20"/>
        </w:rPr>
        <w:t>o</w:t>
      </w:r>
      <w:r>
        <w:rPr>
          <w:rFonts w:ascii="Calibri" w:hAnsi="Calibri"/>
          <w:spacing w:val="-3"/>
          <w:sz w:val="20"/>
        </w:rPr>
        <w:t xml:space="preserve"> </w:t>
      </w:r>
      <w:r>
        <w:rPr>
          <w:rFonts w:ascii="Calibri" w:hAnsi="Calibri"/>
          <w:sz w:val="20"/>
        </w:rPr>
        <w:t>multa</w:t>
      </w:r>
    </w:p>
    <w:p w:rsidR="00AD7446" w:rsidRDefault="00AD7446">
      <w:pPr>
        <w:rPr>
          <w:rFonts w:ascii="Calibri" w:hAnsi="Calibri"/>
          <w:sz w:val="20"/>
        </w:rPr>
        <w:sectPr w:rsidR="00AD7446">
          <w:pgSz w:w="12240" w:h="18720"/>
          <w:pgMar w:top="1340" w:right="1560" w:bottom="280" w:left="1560" w:header="720" w:footer="720" w:gutter="0"/>
          <w:cols w:space="720"/>
        </w:sectPr>
      </w:pPr>
    </w:p>
    <w:p w:rsidR="00AD7446" w:rsidRDefault="000E0598">
      <w:pPr>
        <w:pStyle w:val="Textoindependiente"/>
        <w:spacing w:before="76" w:line="360" w:lineRule="auto"/>
        <w:ind w:right="144" w:firstLine="359"/>
        <w:jc w:val="both"/>
      </w:pPr>
      <w:r>
        <w:t>También, fueron relevantes en este sentido, las propue</w:t>
      </w:r>
      <w:r>
        <w:t>stas legislativas de los boletines N° 5680-18, 8802-18, 11.907-17 y 14533-07.</w:t>
      </w:r>
    </w:p>
    <w:p w:rsidR="00AD7446" w:rsidRDefault="000E0598">
      <w:pPr>
        <w:pStyle w:val="Textoindependiente"/>
        <w:spacing w:before="161" w:line="360" w:lineRule="auto"/>
        <w:ind w:right="135" w:firstLine="359"/>
        <w:jc w:val="both"/>
      </w:pPr>
      <w:r>
        <w:t>Finalmente, en cuanto al chantaje sexual, fue relevante el artículo 176-C del Código Penal Peruano, que establece este tipo penal con el objeto de combatir la sextorsión y establ</w:t>
      </w:r>
      <w:r>
        <w:t>ece que:</w:t>
      </w:r>
    </w:p>
    <w:p w:rsidR="00AD7446" w:rsidRDefault="000E0598">
      <w:pPr>
        <w:pStyle w:val="Textoindependiente"/>
        <w:spacing w:before="161" w:line="360" w:lineRule="auto"/>
        <w:ind w:right="139" w:firstLine="359"/>
        <w:jc w:val="both"/>
      </w:pPr>
      <w:r>
        <w:t>“El que amenaza o intimida a una persona, por cualquier medio, incluyendo el uso de tecnologías de la información o comunicación, para obtener de ella una conducta o acto de connotación sexual, será reprimido con pena privativa de la libertad no m</w:t>
      </w:r>
      <w:r>
        <w:t>enor de dos ni mayor de cuatro años e inhabilitación, según corresponda, conforme a los incisos 5, 9, 10 y 11 del artículo 36.</w:t>
      </w:r>
    </w:p>
    <w:p w:rsidR="00AD7446" w:rsidRDefault="000E0598">
      <w:pPr>
        <w:pStyle w:val="Textoindependiente"/>
        <w:spacing w:before="159" w:line="360" w:lineRule="auto"/>
        <w:ind w:right="137" w:firstLine="359"/>
        <w:jc w:val="both"/>
      </w:pPr>
      <w:r>
        <w:t>La pena privativa de libertad será no menor de tres ni mayor de cinco años e inhabilitación, según corresponda, conforme a los incisos 5, 9, 10 y 11 del artículo 36, si para la ejecución del delito el agente amenaza a la víctima con la difusión de imágenes</w:t>
      </w:r>
      <w:r>
        <w:t>, materiales audiovisuales o audios con contenido sexual en los que esta aparece o participa.”.</w:t>
      </w:r>
    </w:p>
    <w:p w:rsidR="00AD7446" w:rsidRDefault="000E0598">
      <w:pPr>
        <w:pStyle w:val="Textoindependiente"/>
        <w:spacing w:before="161" w:line="360" w:lineRule="auto"/>
        <w:ind w:right="138" w:firstLine="359"/>
        <w:jc w:val="both"/>
      </w:pPr>
      <w:r>
        <w:t>En dicho sentido, fue importante para nosotros la diferenciación entre el delito de extorsión en un sentido general y patrimonial, y la extorsión que afecta el bien jurídico de la libertad sexual e indemnidad sexual, junto con una calificación penal más sa</w:t>
      </w:r>
      <w:r>
        <w:t>ncionatoria en los casos en que se haga uso de medios electrónicos para el desarrollo de este ilícito, en atención, a este, ya no tan nuevo, riesgo propio de las nuevas tecnologías de comunicación que amplía las esferas de desprotección a las que se ven pr</w:t>
      </w:r>
      <w:r>
        <w:t>incipalmente sometidas las mujeres. Además, cabe destacar la importancia</w:t>
      </w:r>
      <w:r>
        <w:rPr>
          <w:spacing w:val="14"/>
        </w:rPr>
        <w:t xml:space="preserve"> </w:t>
      </w:r>
      <w:r>
        <w:t>de</w:t>
      </w:r>
      <w:r>
        <w:rPr>
          <w:spacing w:val="17"/>
        </w:rPr>
        <w:t xml:space="preserve"> </w:t>
      </w:r>
      <w:r>
        <w:t>un</w:t>
      </w:r>
      <w:r>
        <w:rPr>
          <w:spacing w:val="15"/>
        </w:rPr>
        <w:t xml:space="preserve"> </w:t>
      </w:r>
      <w:r>
        <w:t>juzgamiento</w:t>
      </w:r>
      <w:r>
        <w:rPr>
          <w:spacing w:val="18"/>
        </w:rPr>
        <w:t xml:space="preserve"> </w:t>
      </w:r>
      <w:r>
        <w:t>no</w:t>
      </w:r>
      <w:r>
        <w:rPr>
          <w:spacing w:val="17"/>
        </w:rPr>
        <w:t xml:space="preserve"> </w:t>
      </w:r>
      <w:r>
        <w:t>solo</w:t>
      </w:r>
      <w:r>
        <w:rPr>
          <w:spacing w:val="17"/>
        </w:rPr>
        <w:t xml:space="preserve"> </w:t>
      </w:r>
      <w:r>
        <w:t>ético,</w:t>
      </w:r>
      <w:r>
        <w:rPr>
          <w:spacing w:val="17"/>
        </w:rPr>
        <w:t xml:space="preserve"> </w:t>
      </w:r>
      <w:r>
        <w:t>sino</w:t>
      </w:r>
      <w:r>
        <w:rPr>
          <w:spacing w:val="17"/>
        </w:rPr>
        <w:t xml:space="preserve"> </w:t>
      </w:r>
      <w:r>
        <w:t>que</w:t>
      </w:r>
      <w:r>
        <w:rPr>
          <w:spacing w:val="16"/>
        </w:rPr>
        <w:t xml:space="preserve"> </w:t>
      </w:r>
      <w:r>
        <w:t>también</w:t>
      </w:r>
      <w:r>
        <w:rPr>
          <w:spacing w:val="16"/>
        </w:rPr>
        <w:t xml:space="preserve"> </w:t>
      </w:r>
      <w:r>
        <w:t>legal</w:t>
      </w:r>
      <w:r>
        <w:rPr>
          <w:spacing w:val="16"/>
        </w:rPr>
        <w:t xml:space="preserve"> </w:t>
      </w:r>
      <w:r>
        <w:t>y</w:t>
      </w:r>
      <w:r>
        <w:rPr>
          <w:spacing w:val="18"/>
        </w:rPr>
        <w:t xml:space="preserve"> </w:t>
      </w:r>
      <w:r>
        <w:rPr>
          <w:spacing w:val="-2"/>
        </w:rPr>
        <w:t>persecutor</w:t>
      </w:r>
    </w:p>
    <w:p w:rsidR="00AD7446" w:rsidRDefault="00AD7446">
      <w:pPr>
        <w:pStyle w:val="Textoindependiente"/>
        <w:ind w:left="0"/>
        <w:rPr>
          <w:sz w:val="20"/>
        </w:rPr>
      </w:pPr>
    </w:p>
    <w:p w:rsidR="00AD7446" w:rsidRDefault="000E0598">
      <w:pPr>
        <w:pStyle w:val="Textoindependiente"/>
        <w:spacing w:before="2"/>
        <w:ind w:left="0"/>
        <w:rPr>
          <w:sz w:val="14"/>
        </w:rPr>
      </w:pPr>
      <w:r>
        <w:pict>
          <v:rect id="docshape5" o:spid="_x0000_s1026" style="position:absolute;margin-left:85.1pt;margin-top:10.05pt;width:441.9pt;height:.7pt;z-index:-15726592;mso-wrap-distance-left:0;mso-wrap-distance-right:0;mso-position-horizontal-relative:page" fillcolor="black" stroked="f">
            <w10:wrap type="topAndBottom" anchorx="page"/>
          </v:rect>
        </w:pict>
      </w:r>
    </w:p>
    <w:p w:rsidR="00AD7446" w:rsidRDefault="000E0598">
      <w:pPr>
        <w:spacing w:before="100"/>
        <w:ind w:left="142" w:right="209"/>
        <w:rPr>
          <w:rFonts w:ascii="Calibri" w:hAnsi="Calibri"/>
          <w:sz w:val="20"/>
        </w:rPr>
      </w:pPr>
      <w:r>
        <w:rPr>
          <w:rFonts w:ascii="Calibri" w:hAnsi="Calibri"/>
          <w:sz w:val="20"/>
        </w:rPr>
        <w:t>de</w:t>
      </w:r>
      <w:r>
        <w:rPr>
          <w:rFonts w:ascii="Calibri" w:hAnsi="Calibri"/>
          <w:spacing w:val="-3"/>
          <w:sz w:val="20"/>
        </w:rPr>
        <w:t xml:space="preserve"> </w:t>
      </w:r>
      <w:r>
        <w:rPr>
          <w:rFonts w:ascii="Calibri" w:hAnsi="Calibri"/>
          <w:sz w:val="20"/>
        </w:rPr>
        <w:t>diez</w:t>
      </w:r>
      <w:r>
        <w:rPr>
          <w:rFonts w:ascii="Calibri" w:hAnsi="Calibri"/>
          <w:spacing w:val="-2"/>
          <w:sz w:val="20"/>
        </w:rPr>
        <w:t xml:space="preserve"> </w:t>
      </w:r>
      <w:r>
        <w:rPr>
          <w:rFonts w:ascii="Calibri" w:hAnsi="Calibri"/>
          <w:sz w:val="20"/>
        </w:rPr>
        <w:t>a</w:t>
      </w:r>
      <w:r>
        <w:rPr>
          <w:rFonts w:ascii="Calibri" w:hAnsi="Calibri"/>
          <w:spacing w:val="-2"/>
          <w:sz w:val="20"/>
        </w:rPr>
        <w:t xml:space="preserve"> </w:t>
      </w:r>
      <w:r>
        <w:rPr>
          <w:rFonts w:ascii="Calibri" w:hAnsi="Calibri"/>
          <w:sz w:val="20"/>
        </w:rPr>
        <w:t>quince</w:t>
      </w:r>
      <w:r>
        <w:rPr>
          <w:rFonts w:ascii="Calibri" w:hAnsi="Calibri"/>
          <w:spacing w:val="-4"/>
          <w:sz w:val="20"/>
        </w:rPr>
        <w:t xml:space="preserve"> </w:t>
      </w:r>
      <w:r>
        <w:rPr>
          <w:rFonts w:ascii="Calibri" w:hAnsi="Calibri"/>
          <w:sz w:val="20"/>
        </w:rPr>
        <w:t>meses</w:t>
      </w:r>
      <w:r>
        <w:rPr>
          <w:rFonts w:ascii="Calibri" w:hAnsi="Calibri"/>
          <w:spacing w:val="-2"/>
          <w:sz w:val="20"/>
        </w:rPr>
        <w:t xml:space="preserve"> </w:t>
      </w:r>
      <w:r>
        <w:rPr>
          <w:rFonts w:ascii="Calibri" w:hAnsi="Calibri"/>
          <w:sz w:val="20"/>
        </w:rPr>
        <w:t>e</w:t>
      </w:r>
      <w:r>
        <w:rPr>
          <w:rFonts w:ascii="Calibri" w:hAnsi="Calibri"/>
          <w:spacing w:val="-3"/>
          <w:sz w:val="20"/>
        </w:rPr>
        <w:t xml:space="preserve"> </w:t>
      </w:r>
      <w:r>
        <w:rPr>
          <w:rFonts w:ascii="Calibri" w:hAnsi="Calibri"/>
          <w:sz w:val="20"/>
        </w:rPr>
        <w:t>inhabilitación</w:t>
      </w:r>
      <w:r>
        <w:rPr>
          <w:rFonts w:ascii="Calibri" w:hAnsi="Calibri"/>
          <w:spacing w:val="-2"/>
          <w:sz w:val="20"/>
        </w:rPr>
        <w:t xml:space="preserve"> </w:t>
      </w:r>
      <w:r>
        <w:rPr>
          <w:rFonts w:ascii="Calibri" w:hAnsi="Calibri"/>
          <w:sz w:val="20"/>
        </w:rPr>
        <w:t>especial</w:t>
      </w:r>
      <w:r>
        <w:rPr>
          <w:rFonts w:ascii="Calibri" w:hAnsi="Calibri"/>
          <w:spacing w:val="-3"/>
          <w:sz w:val="20"/>
        </w:rPr>
        <w:t xml:space="preserve"> </w:t>
      </w:r>
      <w:r>
        <w:rPr>
          <w:rFonts w:ascii="Calibri" w:hAnsi="Calibri"/>
          <w:sz w:val="20"/>
        </w:rPr>
        <w:t>para</w:t>
      </w:r>
      <w:r>
        <w:rPr>
          <w:rFonts w:ascii="Calibri" w:hAnsi="Calibri"/>
          <w:spacing w:val="-2"/>
          <w:sz w:val="20"/>
        </w:rPr>
        <w:t xml:space="preserve"> </w:t>
      </w:r>
      <w:r>
        <w:rPr>
          <w:rFonts w:ascii="Calibri" w:hAnsi="Calibri"/>
          <w:sz w:val="20"/>
        </w:rPr>
        <w:t>el</w:t>
      </w:r>
      <w:r>
        <w:rPr>
          <w:rFonts w:ascii="Calibri" w:hAnsi="Calibri"/>
          <w:spacing w:val="-2"/>
          <w:sz w:val="20"/>
        </w:rPr>
        <w:t xml:space="preserve"> </w:t>
      </w:r>
      <w:r>
        <w:rPr>
          <w:rFonts w:ascii="Calibri" w:hAnsi="Calibri"/>
          <w:sz w:val="20"/>
        </w:rPr>
        <w:t>ejercicio</w:t>
      </w:r>
      <w:r>
        <w:rPr>
          <w:rFonts w:ascii="Calibri" w:hAnsi="Calibri"/>
          <w:spacing w:val="-2"/>
          <w:sz w:val="20"/>
        </w:rPr>
        <w:t xml:space="preserve"> </w:t>
      </w:r>
      <w:r>
        <w:rPr>
          <w:rFonts w:ascii="Calibri" w:hAnsi="Calibri"/>
          <w:sz w:val="20"/>
        </w:rPr>
        <w:t>de</w:t>
      </w:r>
      <w:r>
        <w:rPr>
          <w:rFonts w:ascii="Calibri" w:hAnsi="Calibri"/>
          <w:spacing w:val="-3"/>
          <w:sz w:val="20"/>
        </w:rPr>
        <w:t xml:space="preserve"> </w:t>
      </w:r>
      <w:r>
        <w:rPr>
          <w:rFonts w:ascii="Calibri" w:hAnsi="Calibri"/>
          <w:sz w:val="20"/>
        </w:rPr>
        <w:t>la</w:t>
      </w:r>
      <w:r>
        <w:rPr>
          <w:rFonts w:ascii="Calibri" w:hAnsi="Calibri"/>
          <w:spacing w:val="-2"/>
          <w:sz w:val="20"/>
        </w:rPr>
        <w:t xml:space="preserve"> </w:t>
      </w:r>
      <w:r>
        <w:rPr>
          <w:rFonts w:ascii="Calibri" w:hAnsi="Calibri"/>
          <w:sz w:val="20"/>
        </w:rPr>
        <w:t>profesión,</w:t>
      </w:r>
      <w:r>
        <w:rPr>
          <w:rFonts w:ascii="Calibri" w:hAnsi="Calibri"/>
          <w:spacing w:val="-2"/>
          <w:sz w:val="20"/>
        </w:rPr>
        <w:t xml:space="preserve"> </w:t>
      </w:r>
      <w:r>
        <w:rPr>
          <w:rFonts w:ascii="Calibri" w:hAnsi="Calibri"/>
          <w:sz w:val="20"/>
        </w:rPr>
        <w:t>oficio</w:t>
      </w:r>
      <w:r>
        <w:rPr>
          <w:rFonts w:ascii="Calibri" w:hAnsi="Calibri"/>
          <w:spacing w:val="-2"/>
          <w:sz w:val="20"/>
        </w:rPr>
        <w:t xml:space="preserve"> </w:t>
      </w:r>
      <w:r>
        <w:rPr>
          <w:rFonts w:ascii="Calibri" w:hAnsi="Calibri"/>
          <w:sz w:val="20"/>
        </w:rPr>
        <w:t>o actividad</w:t>
      </w:r>
      <w:r>
        <w:rPr>
          <w:rFonts w:ascii="Calibri" w:hAnsi="Calibri"/>
          <w:spacing w:val="-1"/>
          <w:sz w:val="20"/>
        </w:rPr>
        <w:t xml:space="preserve"> </w:t>
      </w:r>
      <w:r>
        <w:rPr>
          <w:rFonts w:ascii="Calibri" w:hAnsi="Calibri"/>
          <w:sz w:val="20"/>
        </w:rPr>
        <w:t>de</w:t>
      </w:r>
      <w:r>
        <w:rPr>
          <w:rFonts w:ascii="Calibri" w:hAnsi="Calibri"/>
          <w:spacing w:val="-3"/>
          <w:sz w:val="20"/>
        </w:rPr>
        <w:t xml:space="preserve"> </w:t>
      </w:r>
      <w:r>
        <w:rPr>
          <w:rFonts w:ascii="Calibri" w:hAnsi="Calibri"/>
          <w:sz w:val="20"/>
        </w:rPr>
        <w:t>doce</w:t>
      </w:r>
      <w:r>
        <w:rPr>
          <w:rFonts w:ascii="Calibri" w:hAnsi="Calibri"/>
          <w:spacing w:val="-4"/>
          <w:sz w:val="20"/>
        </w:rPr>
        <w:t xml:space="preserve"> </w:t>
      </w:r>
      <w:r>
        <w:rPr>
          <w:rFonts w:ascii="Calibri" w:hAnsi="Calibri"/>
          <w:sz w:val="20"/>
        </w:rPr>
        <w:t>a quince meses.</w:t>
      </w:r>
    </w:p>
    <w:p w:rsidR="00AD7446" w:rsidRDefault="000E0598">
      <w:pPr>
        <w:pStyle w:val="Prrafodelista"/>
        <w:numPr>
          <w:ilvl w:val="0"/>
          <w:numId w:val="2"/>
        </w:numPr>
        <w:tabs>
          <w:tab w:val="left" w:pos="339"/>
        </w:tabs>
        <w:spacing w:before="1"/>
        <w:ind w:right="204" w:firstLine="0"/>
        <w:rPr>
          <w:sz w:val="20"/>
        </w:rPr>
      </w:pPr>
      <w:r>
        <w:rPr>
          <w:sz w:val="20"/>
        </w:rPr>
        <w:t>Si el culpable de acoso sexual hubiera cometido el hecho prevaliéndose de una situación de superioridad laboral, docente o jerárquica, o sobre persona sujeta a su guarda o custodia, o con el anuncio expreso o tácito</w:t>
      </w:r>
      <w:r>
        <w:rPr>
          <w:spacing w:val="-3"/>
          <w:sz w:val="20"/>
        </w:rPr>
        <w:t xml:space="preserve"> </w:t>
      </w:r>
      <w:r>
        <w:rPr>
          <w:sz w:val="20"/>
        </w:rPr>
        <w:t>de</w:t>
      </w:r>
      <w:r>
        <w:rPr>
          <w:spacing w:val="-4"/>
          <w:sz w:val="20"/>
        </w:rPr>
        <w:t xml:space="preserve"> </w:t>
      </w:r>
      <w:r>
        <w:rPr>
          <w:sz w:val="20"/>
        </w:rPr>
        <w:t>causar</w:t>
      </w:r>
      <w:r>
        <w:rPr>
          <w:spacing w:val="-1"/>
          <w:sz w:val="20"/>
        </w:rPr>
        <w:t xml:space="preserve"> </w:t>
      </w:r>
      <w:r>
        <w:rPr>
          <w:sz w:val="20"/>
        </w:rPr>
        <w:t>a</w:t>
      </w:r>
      <w:r>
        <w:rPr>
          <w:spacing w:val="-3"/>
          <w:sz w:val="20"/>
        </w:rPr>
        <w:t xml:space="preserve"> </w:t>
      </w:r>
      <w:r>
        <w:rPr>
          <w:sz w:val="20"/>
        </w:rPr>
        <w:t>la</w:t>
      </w:r>
      <w:r>
        <w:rPr>
          <w:spacing w:val="-3"/>
          <w:sz w:val="20"/>
        </w:rPr>
        <w:t xml:space="preserve"> </w:t>
      </w:r>
      <w:r>
        <w:rPr>
          <w:sz w:val="20"/>
        </w:rPr>
        <w:t>víct</w:t>
      </w:r>
      <w:r>
        <w:rPr>
          <w:sz w:val="20"/>
        </w:rPr>
        <w:t>ima</w:t>
      </w:r>
      <w:r>
        <w:rPr>
          <w:spacing w:val="-3"/>
          <w:sz w:val="20"/>
        </w:rPr>
        <w:t xml:space="preserve"> </w:t>
      </w:r>
      <w:r>
        <w:rPr>
          <w:sz w:val="20"/>
        </w:rPr>
        <w:t>un</w:t>
      </w:r>
      <w:r>
        <w:rPr>
          <w:spacing w:val="-3"/>
          <w:sz w:val="20"/>
        </w:rPr>
        <w:t xml:space="preserve"> </w:t>
      </w:r>
      <w:r>
        <w:rPr>
          <w:sz w:val="20"/>
        </w:rPr>
        <w:t>mal</w:t>
      </w:r>
      <w:r>
        <w:rPr>
          <w:spacing w:val="-3"/>
          <w:sz w:val="20"/>
        </w:rPr>
        <w:t xml:space="preserve"> </w:t>
      </w:r>
      <w:r>
        <w:rPr>
          <w:sz w:val="20"/>
        </w:rPr>
        <w:t>relacionado</w:t>
      </w:r>
      <w:r>
        <w:rPr>
          <w:spacing w:val="-3"/>
          <w:sz w:val="20"/>
        </w:rPr>
        <w:t xml:space="preserve"> </w:t>
      </w:r>
      <w:r>
        <w:rPr>
          <w:sz w:val="20"/>
        </w:rPr>
        <w:t>con</w:t>
      </w:r>
      <w:r>
        <w:rPr>
          <w:spacing w:val="-3"/>
          <w:sz w:val="20"/>
        </w:rPr>
        <w:t xml:space="preserve"> </w:t>
      </w:r>
      <w:r>
        <w:rPr>
          <w:sz w:val="20"/>
        </w:rPr>
        <w:t>las</w:t>
      </w:r>
      <w:r>
        <w:rPr>
          <w:spacing w:val="-3"/>
          <w:sz w:val="20"/>
        </w:rPr>
        <w:t xml:space="preserve"> </w:t>
      </w:r>
      <w:r>
        <w:rPr>
          <w:sz w:val="20"/>
        </w:rPr>
        <w:t>legítimas</w:t>
      </w:r>
      <w:r>
        <w:rPr>
          <w:spacing w:val="-2"/>
          <w:sz w:val="20"/>
        </w:rPr>
        <w:t xml:space="preserve"> </w:t>
      </w:r>
      <w:r>
        <w:rPr>
          <w:sz w:val="20"/>
        </w:rPr>
        <w:t>expectativas</w:t>
      </w:r>
      <w:r>
        <w:rPr>
          <w:spacing w:val="-2"/>
          <w:sz w:val="20"/>
        </w:rPr>
        <w:t xml:space="preserve"> </w:t>
      </w:r>
      <w:r>
        <w:rPr>
          <w:sz w:val="20"/>
        </w:rPr>
        <w:t>que</w:t>
      </w:r>
      <w:r>
        <w:rPr>
          <w:spacing w:val="-4"/>
          <w:sz w:val="20"/>
        </w:rPr>
        <w:t xml:space="preserve"> </w:t>
      </w:r>
      <w:r>
        <w:rPr>
          <w:sz w:val="20"/>
        </w:rPr>
        <w:t>aquella</w:t>
      </w:r>
      <w:r>
        <w:rPr>
          <w:spacing w:val="-3"/>
          <w:sz w:val="20"/>
        </w:rPr>
        <w:t xml:space="preserve"> </w:t>
      </w:r>
      <w:r>
        <w:rPr>
          <w:sz w:val="20"/>
        </w:rPr>
        <w:t>pueda</w:t>
      </w:r>
      <w:r>
        <w:rPr>
          <w:spacing w:val="-3"/>
          <w:sz w:val="20"/>
        </w:rPr>
        <w:t xml:space="preserve"> </w:t>
      </w:r>
      <w:r>
        <w:rPr>
          <w:sz w:val="20"/>
        </w:rPr>
        <w:t>tener</w:t>
      </w:r>
      <w:r>
        <w:rPr>
          <w:spacing w:val="-3"/>
          <w:sz w:val="20"/>
        </w:rPr>
        <w:t xml:space="preserve"> </w:t>
      </w:r>
      <w:r>
        <w:rPr>
          <w:sz w:val="20"/>
        </w:rPr>
        <w:t>en</w:t>
      </w:r>
      <w:r>
        <w:rPr>
          <w:spacing w:val="-3"/>
          <w:sz w:val="20"/>
        </w:rPr>
        <w:t xml:space="preserve"> </w:t>
      </w:r>
      <w:r>
        <w:rPr>
          <w:sz w:val="20"/>
        </w:rPr>
        <w:t>el ámbito de la indicada relación, la pena será de prisión de uno a dos años e inhabilitación especial para el ejercicio de la profesión, oficio o actividad de dieciocho a vei</w:t>
      </w:r>
      <w:r>
        <w:rPr>
          <w:sz w:val="20"/>
        </w:rPr>
        <w:t>nticuatro meses.</w:t>
      </w:r>
    </w:p>
    <w:p w:rsidR="00AD7446" w:rsidRDefault="000E0598">
      <w:pPr>
        <w:pStyle w:val="Prrafodelista"/>
        <w:numPr>
          <w:ilvl w:val="0"/>
          <w:numId w:val="2"/>
        </w:numPr>
        <w:tabs>
          <w:tab w:val="left" w:pos="339"/>
        </w:tabs>
        <w:ind w:right="160" w:firstLine="0"/>
        <w:rPr>
          <w:sz w:val="20"/>
        </w:rPr>
      </w:pPr>
      <w:r>
        <w:rPr>
          <w:sz w:val="20"/>
        </w:rPr>
        <w:t>Asimismo, si el culpable de acoso sexual lo hubiera cometido en centros de protección o reforma de menores,</w:t>
      </w:r>
      <w:r>
        <w:rPr>
          <w:spacing w:val="-3"/>
          <w:sz w:val="20"/>
        </w:rPr>
        <w:t xml:space="preserve"> </w:t>
      </w:r>
      <w:r>
        <w:rPr>
          <w:sz w:val="20"/>
        </w:rPr>
        <w:t>centro</w:t>
      </w:r>
      <w:r>
        <w:rPr>
          <w:spacing w:val="-3"/>
          <w:sz w:val="20"/>
        </w:rPr>
        <w:t xml:space="preserve"> </w:t>
      </w:r>
      <w:r>
        <w:rPr>
          <w:sz w:val="20"/>
        </w:rPr>
        <w:t>de</w:t>
      </w:r>
      <w:r>
        <w:rPr>
          <w:spacing w:val="-4"/>
          <w:sz w:val="20"/>
        </w:rPr>
        <w:t xml:space="preserve"> </w:t>
      </w:r>
      <w:r>
        <w:rPr>
          <w:sz w:val="20"/>
        </w:rPr>
        <w:t>internamiento</w:t>
      </w:r>
      <w:r>
        <w:rPr>
          <w:spacing w:val="-3"/>
          <w:sz w:val="20"/>
        </w:rPr>
        <w:t xml:space="preserve"> </w:t>
      </w:r>
      <w:r>
        <w:rPr>
          <w:sz w:val="20"/>
        </w:rPr>
        <w:t>de</w:t>
      </w:r>
      <w:r>
        <w:rPr>
          <w:spacing w:val="-4"/>
          <w:sz w:val="20"/>
        </w:rPr>
        <w:t xml:space="preserve"> </w:t>
      </w:r>
      <w:r>
        <w:rPr>
          <w:sz w:val="20"/>
        </w:rPr>
        <w:t>personas</w:t>
      </w:r>
      <w:r>
        <w:rPr>
          <w:spacing w:val="-2"/>
          <w:sz w:val="20"/>
        </w:rPr>
        <w:t xml:space="preserve"> </w:t>
      </w:r>
      <w:r>
        <w:rPr>
          <w:sz w:val="20"/>
        </w:rPr>
        <w:t>extranjeras,</w:t>
      </w:r>
      <w:r>
        <w:rPr>
          <w:spacing w:val="-5"/>
          <w:sz w:val="20"/>
        </w:rPr>
        <w:t xml:space="preserve"> </w:t>
      </w:r>
      <w:r>
        <w:rPr>
          <w:sz w:val="20"/>
        </w:rPr>
        <w:t>o</w:t>
      </w:r>
      <w:r>
        <w:rPr>
          <w:spacing w:val="-3"/>
          <w:sz w:val="20"/>
        </w:rPr>
        <w:t xml:space="preserve"> </w:t>
      </w:r>
      <w:r>
        <w:rPr>
          <w:sz w:val="20"/>
        </w:rPr>
        <w:t>cualquier</w:t>
      </w:r>
      <w:r>
        <w:rPr>
          <w:spacing w:val="-3"/>
          <w:sz w:val="20"/>
        </w:rPr>
        <w:t xml:space="preserve"> </w:t>
      </w:r>
      <w:r>
        <w:rPr>
          <w:sz w:val="20"/>
        </w:rPr>
        <w:t>otro</w:t>
      </w:r>
      <w:r>
        <w:rPr>
          <w:spacing w:val="-3"/>
          <w:sz w:val="20"/>
        </w:rPr>
        <w:t xml:space="preserve"> </w:t>
      </w:r>
      <w:r>
        <w:rPr>
          <w:sz w:val="20"/>
        </w:rPr>
        <w:t>centro</w:t>
      </w:r>
      <w:r>
        <w:rPr>
          <w:spacing w:val="-3"/>
          <w:sz w:val="20"/>
        </w:rPr>
        <w:t xml:space="preserve"> </w:t>
      </w:r>
      <w:r>
        <w:rPr>
          <w:sz w:val="20"/>
        </w:rPr>
        <w:t>de</w:t>
      </w:r>
      <w:r>
        <w:rPr>
          <w:spacing w:val="-4"/>
          <w:sz w:val="20"/>
        </w:rPr>
        <w:t xml:space="preserve"> </w:t>
      </w:r>
      <w:r>
        <w:rPr>
          <w:sz w:val="20"/>
        </w:rPr>
        <w:t>detención,</w:t>
      </w:r>
      <w:r>
        <w:rPr>
          <w:spacing w:val="-3"/>
          <w:sz w:val="20"/>
        </w:rPr>
        <w:t xml:space="preserve"> </w:t>
      </w:r>
      <w:r>
        <w:rPr>
          <w:sz w:val="20"/>
        </w:rPr>
        <w:t>custodia</w:t>
      </w:r>
      <w:r>
        <w:rPr>
          <w:spacing w:val="-3"/>
          <w:sz w:val="20"/>
        </w:rPr>
        <w:t xml:space="preserve"> </w:t>
      </w:r>
      <w:r>
        <w:rPr>
          <w:sz w:val="20"/>
        </w:rPr>
        <w:t>o acogida, incluso de estancia temp</w:t>
      </w:r>
      <w:r>
        <w:rPr>
          <w:sz w:val="20"/>
        </w:rPr>
        <w:t>oral, la pena será de prisión de uno a dos años e inhabilitación especial para el ejercicio de la profesión, oficio o actividad de dieciocho a veinticuatro meses, sin perjuicio de lo establecido en el artículo 443.2.</w:t>
      </w:r>
    </w:p>
    <w:p w:rsidR="00AD7446" w:rsidRDefault="000E0598">
      <w:pPr>
        <w:pStyle w:val="Prrafodelista"/>
        <w:numPr>
          <w:ilvl w:val="0"/>
          <w:numId w:val="2"/>
        </w:numPr>
        <w:tabs>
          <w:tab w:val="left" w:pos="339"/>
        </w:tabs>
        <w:ind w:right="146" w:firstLine="0"/>
        <w:rPr>
          <w:sz w:val="20"/>
        </w:rPr>
      </w:pPr>
      <w:r>
        <w:rPr>
          <w:sz w:val="20"/>
        </w:rPr>
        <w:t>Cuando</w:t>
      </w:r>
      <w:r>
        <w:rPr>
          <w:spacing w:val="-3"/>
          <w:sz w:val="20"/>
        </w:rPr>
        <w:t xml:space="preserve"> </w:t>
      </w:r>
      <w:r>
        <w:rPr>
          <w:sz w:val="20"/>
        </w:rPr>
        <w:t>la</w:t>
      </w:r>
      <w:r>
        <w:rPr>
          <w:spacing w:val="-3"/>
          <w:sz w:val="20"/>
        </w:rPr>
        <w:t xml:space="preserve"> </w:t>
      </w:r>
      <w:r>
        <w:rPr>
          <w:sz w:val="20"/>
        </w:rPr>
        <w:t>víctima</w:t>
      </w:r>
      <w:r>
        <w:rPr>
          <w:spacing w:val="-3"/>
          <w:sz w:val="20"/>
        </w:rPr>
        <w:t xml:space="preserve"> </w:t>
      </w:r>
      <w:r>
        <w:rPr>
          <w:sz w:val="20"/>
        </w:rPr>
        <w:t>se</w:t>
      </w:r>
      <w:r>
        <w:rPr>
          <w:spacing w:val="-4"/>
          <w:sz w:val="20"/>
        </w:rPr>
        <w:t xml:space="preserve"> </w:t>
      </w:r>
      <w:r>
        <w:rPr>
          <w:sz w:val="20"/>
        </w:rPr>
        <w:t>halle</w:t>
      </w:r>
      <w:r>
        <w:rPr>
          <w:spacing w:val="-5"/>
          <w:sz w:val="20"/>
        </w:rPr>
        <w:t xml:space="preserve"> </w:t>
      </w:r>
      <w:r>
        <w:rPr>
          <w:sz w:val="20"/>
        </w:rPr>
        <w:t>en</w:t>
      </w:r>
      <w:r>
        <w:rPr>
          <w:spacing w:val="-3"/>
          <w:sz w:val="20"/>
        </w:rPr>
        <w:t xml:space="preserve"> </w:t>
      </w:r>
      <w:r>
        <w:rPr>
          <w:sz w:val="20"/>
        </w:rPr>
        <w:t>una</w:t>
      </w:r>
      <w:r>
        <w:rPr>
          <w:spacing w:val="-3"/>
          <w:sz w:val="20"/>
        </w:rPr>
        <w:t xml:space="preserve"> </w:t>
      </w:r>
      <w:r>
        <w:rPr>
          <w:sz w:val="20"/>
        </w:rPr>
        <w:t>situación</w:t>
      </w:r>
      <w:r>
        <w:rPr>
          <w:spacing w:val="-3"/>
          <w:sz w:val="20"/>
        </w:rPr>
        <w:t xml:space="preserve"> </w:t>
      </w:r>
      <w:r>
        <w:rPr>
          <w:sz w:val="20"/>
        </w:rPr>
        <w:t>de</w:t>
      </w:r>
      <w:r>
        <w:rPr>
          <w:spacing w:val="-4"/>
          <w:sz w:val="20"/>
        </w:rPr>
        <w:t xml:space="preserve"> </w:t>
      </w:r>
      <w:r>
        <w:rPr>
          <w:sz w:val="20"/>
        </w:rPr>
        <w:t>especial</w:t>
      </w:r>
      <w:r>
        <w:rPr>
          <w:spacing w:val="-4"/>
          <w:sz w:val="20"/>
        </w:rPr>
        <w:t xml:space="preserve"> </w:t>
      </w:r>
      <w:r>
        <w:rPr>
          <w:sz w:val="20"/>
        </w:rPr>
        <w:t>vulnerabilidad</w:t>
      </w:r>
      <w:r>
        <w:rPr>
          <w:spacing w:val="-2"/>
          <w:sz w:val="20"/>
        </w:rPr>
        <w:t xml:space="preserve"> </w:t>
      </w:r>
      <w:r>
        <w:rPr>
          <w:sz w:val="20"/>
        </w:rPr>
        <w:t>por</w:t>
      </w:r>
      <w:r>
        <w:rPr>
          <w:spacing w:val="-3"/>
          <w:sz w:val="20"/>
        </w:rPr>
        <w:t xml:space="preserve"> </w:t>
      </w:r>
      <w:r>
        <w:rPr>
          <w:sz w:val="20"/>
        </w:rPr>
        <w:t>razón</w:t>
      </w:r>
      <w:r>
        <w:rPr>
          <w:spacing w:val="-3"/>
          <w:sz w:val="20"/>
        </w:rPr>
        <w:t xml:space="preserve"> </w:t>
      </w:r>
      <w:r>
        <w:rPr>
          <w:sz w:val="20"/>
        </w:rPr>
        <w:t>de</w:t>
      </w:r>
      <w:r>
        <w:rPr>
          <w:spacing w:val="-4"/>
          <w:sz w:val="20"/>
        </w:rPr>
        <w:t xml:space="preserve"> </w:t>
      </w:r>
      <w:r>
        <w:rPr>
          <w:sz w:val="20"/>
        </w:rPr>
        <w:t>su</w:t>
      </w:r>
      <w:r>
        <w:rPr>
          <w:spacing w:val="-3"/>
          <w:sz w:val="20"/>
        </w:rPr>
        <w:t xml:space="preserve"> </w:t>
      </w:r>
      <w:r>
        <w:rPr>
          <w:sz w:val="20"/>
        </w:rPr>
        <w:t>edad,</w:t>
      </w:r>
      <w:r>
        <w:rPr>
          <w:spacing w:val="-3"/>
          <w:sz w:val="20"/>
        </w:rPr>
        <w:t xml:space="preserve"> </w:t>
      </w:r>
      <w:r>
        <w:rPr>
          <w:sz w:val="20"/>
        </w:rPr>
        <w:t>enfermedad</w:t>
      </w:r>
      <w:r>
        <w:rPr>
          <w:spacing w:val="-2"/>
          <w:sz w:val="20"/>
        </w:rPr>
        <w:t xml:space="preserve"> </w:t>
      </w:r>
      <w:r>
        <w:rPr>
          <w:sz w:val="20"/>
        </w:rPr>
        <w:t>o discapacidad, la pena se impondrá en su mitad superior.</w:t>
      </w:r>
    </w:p>
    <w:p w:rsidR="00AD7446" w:rsidRDefault="000E0598">
      <w:pPr>
        <w:pStyle w:val="Prrafodelista"/>
        <w:numPr>
          <w:ilvl w:val="0"/>
          <w:numId w:val="2"/>
        </w:numPr>
        <w:tabs>
          <w:tab w:val="left" w:pos="339"/>
        </w:tabs>
        <w:ind w:right="294" w:firstLine="0"/>
        <w:rPr>
          <w:sz w:val="20"/>
        </w:rPr>
      </w:pPr>
      <w:r>
        <w:rPr>
          <w:sz w:val="20"/>
        </w:rPr>
        <w:t>Cuando</w:t>
      </w:r>
      <w:r>
        <w:rPr>
          <w:spacing w:val="-1"/>
          <w:sz w:val="20"/>
        </w:rPr>
        <w:t xml:space="preserve"> </w:t>
      </w:r>
      <w:r>
        <w:rPr>
          <w:sz w:val="20"/>
        </w:rPr>
        <w:t>de</w:t>
      </w:r>
      <w:r>
        <w:rPr>
          <w:spacing w:val="-2"/>
          <w:sz w:val="20"/>
        </w:rPr>
        <w:t xml:space="preserve"> </w:t>
      </w:r>
      <w:r>
        <w:rPr>
          <w:sz w:val="20"/>
        </w:rPr>
        <w:t>acuerdo</w:t>
      </w:r>
      <w:r>
        <w:rPr>
          <w:spacing w:val="-1"/>
          <w:sz w:val="20"/>
        </w:rPr>
        <w:t xml:space="preserve"> </w:t>
      </w:r>
      <w:r>
        <w:rPr>
          <w:sz w:val="20"/>
        </w:rPr>
        <w:t>con</w:t>
      </w:r>
      <w:r>
        <w:rPr>
          <w:spacing w:val="-1"/>
          <w:sz w:val="20"/>
        </w:rPr>
        <w:t xml:space="preserve"> </w:t>
      </w:r>
      <w:r>
        <w:rPr>
          <w:sz w:val="20"/>
        </w:rPr>
        <w:t>lo</w:t>
      </w:r>
      <w:r>
        <w:rPr>
          <w:spacing w:val="-3"/>
          <w:sz w:val="20"/>
        </w:rPr>
        <w:t xml:space="preserve"> </w:t>
      </w:r>
      <w:r>
        <w:rPr>
          <w:sz w:val="20"/>
        </w:rPr>
        <w:t>establecido</w:t>
      </w:r>
      <w:r>
        <w:rPr>
          <w:spacing w:val="-1"/>
          <w:sz w:val="20"/>
        </w:rPr>
        <w:t xml:space="preserve"> </w:t>
      </w:r>
      <w:r>
        <w:rPr>
          <w:sz w:val="20"/>
        </w:rPr>
        <w:t>en</w:t>
      </w:r>
      <w:r>
        <w:rPr>
          <w:spacing w:val="-1"/>
          <w:sz w:val="20"/>
        </w:rPr>
        <w:t xml:space="preserve"> </w:t>
      </w:r>
      <w:r>
        <w:rPr>
          <w:sz w:val="20"/>
        </w:rPr>
        <w:t>el</w:t>
      </w:r>
      <w:r>
        <w:rPr>
          <w:spacing w:val="-2"/>
          <w:sz w:val="20"/>
        </w:rPr>
        <w:t xml:space="preserve"> </w:t>
      </w:r>
      <w:r>
        <w:rPr>
          <w:sz w:val="20"/>
        </w:rPr>
        <w:t>artículo</w:t>
      </w:r>
      <w:r>
        <w:rPr>
          <w:spacing w:val="-1"/>
          <w:sz w:val="20"/>
        </w:rPr>
        <w:t xml:space="preserve"> </w:t>
      </w:r>
      <w:r>
        <w:rPr>
          <w:sz w:val="20"/>
        </w:rPr>
        <w:t>31</w:t>
      </w:r>
      <w:r>
        <w:rPr>
          <w:spacing w:val="-2"/>
          <w:sz w:val="20"/>
        </w:rPr>
        <w:t xml:space="preserve"> </w:t>
      </w:r>
      <w:r>
        <w:rPr>
          <w:sz w:val="20"/>
        </w:rPr>
        <w:t>bis,</w:t>
      </w:r>
      <w:r>
        <w:rPr>
          <w:spacing w:val="-1"/>
          <w:sz w:val="20"/>
        </w:rPr>
        <w:t xml:space="preserve"> </w:t>
      </w:r>
      <w:r>
        <w:rPr>
          <w:sz w:val="20"/>
        </w:rPr>
        <w:t>una</w:t>
      </w:r>
      <w:r>
        <w:rPr>
          <w:spacing w:val="-3"/>
          <w:sz w:val="20"/>
        </w:rPr>
        <w:t xml:space="preserve"> </w:t>
      </w:r>
      <w:r>
        <w:rPr>
          <w:sz w:val="20"/>
        </w:rPr>
        <w:t>persona</w:t>
      </w:r>
      <w:r>
        <w:rPr>
          <w:spacing w:val="-1"/>
          <w:sz w:val="20"/>
        </w:rPr>
        <w:t xml:space="preserve"> </w:t>
      </w:r>
      <w:r>
        <w:rPr>
          <w:sz w:val="20"/>
        </w:rPr>
        <w:t>jurídica</w:t>
      </w:r>
      <w:r>
        <w:rPr>
          <w:spacing w:val="-1"/>
          <w:sz w:val="20"/>
        </w:rPr>
        <w:t xml:space="preserve"> </w:t>
      </w:r>
      <w:r>
        <w:rPr>
          <w:sz w:val="20"/>
        </w:rPr>
        <w:t>sea</w:t>
      </w:r>
      <w:r>
        <w:rPr>
          <w:spacing w:val="-1"/>
          <w:sz w:val="20"/>
        </w:rPr>
        <w:t xml:space="preserve"> </w:t>
      </w:r>
      <w:r>
        <w:rPr>
          <w:sz w:val="20"/>
        </w:rPr>
        <w:t>responsable</w:t>
      </w:r>
      <w:r>
        <w:rPr>
          <w:spacing w:val="-3"/>
          <w:sz w:val="20"/>
        </w:rPr>
        <w:t xml:space="preserve"> </w:t>
      </w:r>
      <w:r>
        <w:rPr>
          <w:sz w:val="20"/>
        </w:rPr>
        <w:t>de</w:t>
      </w:r>
      <w:r>
        <w:rPr>
          <w:spacing w:val="-2"/>
          <w:sz w:val="20"/>
        </w:rPr>
        <w:t xml:space="preserve"> </w:t>
      </w:r>
      <w:r>
        <w:rPr>
          <w:sz w:val="20"/>
        </w:rPr>
        <w:t xml:space="preserve">este delito, se le impondrá </w:t>
      </w:r>
      <w:r>
        <w:rPr>
          <w:sz w:val="20"/>
        </w:rPr>
        <w:t>la pena de multa de seis meses a dos años. Atenidas las reglas establecidas en el artículo</w:t>
      </w:r>
      <w:r>
        <w:rPr>
          <w:spacing w:val="-3"/>
          <w:sz w:val="20"/>
        </w:rPr>
        <w:t xml:space="preserve"> </w:t>
      </w:r>
      <w:r>
        <w:rPr>
          <w:sz w:val="20"/>
        </w:rPr>
        <w:t>66</w:t>
      </w:r>
      <w:r>
        <w:rPr>
          <w:spacing w:val="-4"/>
          <w:sz w:val="20"/>
        </w:rPr>
        <w:t xml:space="preserve"> </w:t>
      </w:r>
      <w:r>
        <w:rPr>
          <w:sz w:val="20"/>
        </w:rPr>
        <w:t>bis,</w:t>
      </w:r>
      <w:r>
        <w:rPr>
          <w:spacing w:val="-3"/>
          <w:sz w:val="20"/>
        </w:rPr>
        <w:t xml:space="preserve"> </w:t>
      </w:r>
      <w:r>
        <w:rPr>
          <w:sz w:val="20"/>
        </w:rPr>
        <w:t>los</w:t>
      </w:r>
      <w:r>
        <w:rPr>
          <w:spacing w:val="-3"/>
          <w:sz w:val="20"/>
        </w:rPr>
        <w:t xml:space="preserve"> </w:t>
      </w:r>
      <w:r>
        <w:rPr>
          <w:sz w:val="20"/>
        </w:rPr>
        <w:t>jueces</w:t>
      </w:r>
      <w:r>
        <w:rPr>
          <w:spacing w:val="-3"/>
          <w:sz w:val="20"/>
        </w:rPr>
        <w:t xml:space="preserve"> </w:t>
      </w:r>
      <w:r>
        <w:rPr>
          <w:sz w:val="20"/>
        </w:rPr>
        <w:t>y</w:t>
      </w:r>
      <w:r>
        <w:rPr>
          <w:spacing w:val="-2"/>
          <w:sz w:val="20"/>
        </w:rPr>
        <w:t xml:space="preserve"> </w:t>
      </w:r>
      <w:r>
        <w:rPr>
          <w:sz w:val="20"/>
        </w:rPr>
        <w:t>tribunales</w:t>
      </w:r>
      <w:r>
        <w:rPr>
          <w:spacing w:val="-3"/>
          <w:sz w:val="20"/>
        </w:rPr>
        <w:t xml:space="preserve"> </w:t>
      </w:r>
      <w:r>
        <w:rPr>
          <w:sz w:val="20"/>
        </w:rPr>
        <w:t>podrán</w:t>
      </w:r>
      <w:r>
        <w:rPr>
          <w:spacing w:val="-5"/>
          <w:sz w:val="20"/>
        </w:rPr>
        <w:t xml:space="preserve"> </w:t>
      </w:r>
      <w:r>
        <w:rPr>
          <w:sz w:val="20"/>
        </w:rPr>
        <w:t>asimismo</w:t>
      </w:r>
      <w:r>
        <w:rPr>
          <w:spacing w:val="-3"/>
          <w:sz w:val="20"/>
        </w:rPr>
        <w:t xml:space="preserve"> </w:t>
      </w:r>
      <w:r>
        <w:rPr>
          <w:sz w:val="20"/>
        </w:rPr>
        <w:t>imponer</w:t>
      </w:r>
      <w:r>
        <w:rPr>
          <w:spacing w:val="-3"/>
          <w:sz w:val="20"/>
        </w:rPr>
        <w:t xml:space="preserve"> </w:t>
      </w:r>
      <w:r>
        <w:rPr>
          <w:sz w:val="20"/>
        </w:rPr>
        <w:t>las</w:t>
      </w:r>
      <w:r>
        <w:rPr>
          <w:spacing w:val="-2"/>
          <w:sz w:val="20"/>
        </w:rPr>
        <w:t xml:space="preserve"> </w:t>
      </w:r>
      <w:r>
        <w:rPr>
          <w:sz w:val="20"/>
        </w:rPr>
        <w:t>penas</w:t>
      </w:r>
      <w:r>
        <w:rPr>
          <w:spacing w:val="-2"/>
          <w:sz w:val="20"/>
        </w:rPr>
        <w:t xml:space="preserve"> </w:t>
      </w:r>
      <w:r>
        <w:rPr>
          <w:sz w:val="20"/>
        </w:rPr>
        <w:t>recogidas</w:t>
      </w:r>
      <w:r>
        <w:rPr>
          <w:spacing w:val="-2"/>
          <w:sz w:val="20"/>
        </w:rPr>
        <w:t xml:space="preserve"> </w:t>
      </w:r>
      <w:r>
        <w:rPr>
          <w:sz w:val="20"/>
        </w:rPr>
        <w:t>en</w:t>
      </w:r>
      <w:r>
        <w:rPr>
          <w:spacing w:val="-3"/>
          <w:sz w:val="20"/>
        </w:rPr>
        <w:t xml:space="preserve"> </w:t>
      </w:r>
      <w:r>
        <w:rPr>
          <w:sz w:val="20"/>
        </w:rPr>
        <w:t>las</w:t>
      </w:r>
      <w:r>
        <w:rPr>
          <w:spacing w:val="-3"/>
          <w:sz w:val="20"/>
        </w:rPr>
        <w:t xml:space="preserve"> </w:t>
      </w:r>
      <w:r>
        <w:rPr>
          <w:sz w:val="20"/>
        </w:rPr>
        <w:t>letras</w:t>
      </w:r>
      <w:r>
        <w:rPr>
          <w:spacing w:val="-3"/>
          <w:sz w:val="20"/>
        </w:rPr>
        <w:t xml:space="preserve"> </w:t>
      </w:r>
      <w:r>
        <w:rPr>
          <w:sz w:val="20"/>
        </w:rPr>
        <w:t>b)</w:t>
      </w:r>
      <w:r>
        <w:rPr>
          <w:spacing w:val="-4"/>
          <w:sz w:val="20"/>
        </w:rPr>
        <w:t xml:space="preserve"> </w:t>
      </w:r>
      <w:r>
        <w:rPr>
          <w:sz w:val="20"/>
        </w:rPr>
        <w:t>a</w:t>
      </w:r>
      <w:r>
        <w:rPr>
          <w:spacing w:val="-3"/>
          <w:sz w:val="20"/>
        </w:rPr>
        <w:t xml:space="preserve"> </w:t>
      </w:r>
      <w:r>
        <w:rPr>
          <w:sz w:val="20"/>
        </w:rPr>
        <w:t>g)</w:t>
      </w:r>
      <w:r>
        <w:rPr>
          <w:spacing w:val="-4"/>
          <w:sz w:val="20"/>
        </w:rPr>
        <w:t xml:space="preserve"> </w:t>
      </w:r>
      <w:r>
        <w:rPr>
          <w:sz w:val="20"/>
        </w:rPr>
        <w:t>del apartado 7 del artículo 33.”.</w:t>
      </w:r>
    </w:p>
    <w:p w:rsidR="00AD7446" w:rsidRDefault="00AD7446">
      <w:pPr>
        <w:rPr>
          <w:sz w:val="20"/>
        </w:rPr>
        <w:sectPr w:rsidR="00AD7446">
          <w:pgSz w:w="12240" w:h="18720"/>
          <w:pgMar w:top="1340" w:right="1560" w:bottom="280" w:left="1560" w:header="720" w:footer="720" w:gutter="0"/>
          <w:cols w:space="720"/>
        </w:sectPr>
      </w:pPr>
    </w:p>
    <w:p w:rsidR="00AD7446" w:rsidRDefault="000E0598">
      <w:pPr>
        <w:pStyle w:val="Textoindependiente"/>
        <w:spacing w:before="76" w:line="360" w:lineRule="auto"/>
        <w:ind w:right="141"/>
        <w:jc w:val="both"/>
      </w:pPr>
      <w:r>
        <w:t>de estas conductas lesivas de bienes jurídicos, que en el caso del derecho penal, especifican la condena pública existente detrás de la tipificación de un delito que parece relevante para nuestra comunidad política.</w:t>
      </w:r>
    </w:p>
    <w:p w:rsidR="00AD7446" w:rsidRDefault="00AD7446">
      <w:pPr>
        <w:pStyle w:val="Textoindependiente"/>
        <w:ind w:left="0"/>
        <w:rPr>
          <w:sz w:val="28"/>
        </w:rPr>
      </w:pPr>
    </w:p>
    <w:p w:rsidR="00AD7446" w:rsidRDefault="00AD7446">
      <w:pPr>
        <w:pStyle w:val="Textoindependiente"/>
        <w:spacing w:before="9"/>
        <w:ind w:left="0"/>
        <w:rPr>
          <w:sz w:val="33"/>
        </w:rPr>
      </w:pPr>
    </w:p>
    <w:p w:rsidR="00AD7446" w:rsidRDefault="000E0598">
      <w:pPr>
        <w:pStyle w:val="Ttulo1"/>
        <w:numPr>
          <w:ilvl w:val="0"/>
          <w:numId w:val="3"/>
        </w:numPr>
        <w:tabs>
          <w:tab w:val="left" w:pos="1221"/>
          <w:tab w:val="left" w:pos="1222"/>
        </w:tabs>
        <w:ind w:hanging="721"/>
      </w:pPr>
      <w:r>
        <w:t>OBJETO</w:t>
      </w:r>
      <w:r>
        <w:rPr>
          <w:spacing w:val="-4"/>
        </w:rPr>
        <w:t xml:space="preserve"> </w:t>
      </w:r>
      <w:r>
        <w:t>DEL</w:t>
      </w:r>
      <w:r>
        <w:rPr>
          <w:spacing w:val="-3"/>
        </w:rPr>
        <w:t xml:space="preserve"> </w:t>
      </w:r>
      <w:r>
        <w:t>PROYECTO</w:t>
      </w:r>
      <w:r>
        <w:rPr>
          <w:spacing w:val="-4"/>
        </w:rPr>
        <w:t xml:space="preserve"> </w:t>
      </w:r>
      <w:r>
        <w:t>DE</w:t>
      </w:r>
      <w:r>
        <w:rPr>
          <w:spacing w:val="-2"/>
        </w:rPr>
        <w:t xml:space="preserve"> </w:t>
      </w:r>
      <w:r>
        <w:rPr>
          <w:spacing w:val="-4"/>
        </w:rPr>
        <w:t>LEY.</w:t>
      </w:r>
    </w:p>
    <w:p w:rsidR="00AD7446" w:rsidRDefault="00AD7446">
      <w:pPr>
        <w:pStyle w:val="Textoindependiente"/>
        <w:spacing w:before="5"/>
        <w:ind w:left="0"/>
        <w:rPr>
          <w:b/>
          <w:sz w:val="25"/>
        </w:rPr>
      </w:pPr>
    </w:p>
    <w:p w:rsidR="00AD7446" w:rsidRDefault="000E0598">
      <w:pPr>
        <w:pStyle w:val="Textoindependiente"/>
        <w:spacing w:line="360" w:lineRule="auto"/>
        <w:ind w:right="136" w:firstLine="359"/>
        <w:jc w:val="both"/>
      </w:pPr>
      <w:r>
        <w:t>La idea matriz de este proyecto busca modificar el Código Penal para incorporar, y por tanto, tipificar como nuevos delitos el acoso sexual, diferenciándolo del acoso sexual en espacios públicos y el chantaje sexual, especialmente cuando se hace uso de med</w:t>
      </w:r>
      <w:r>
        <w:t xml:space="preserve">ios electrónicos a distancia para su </w:t>
      </w:r>
      <w:r>
        <w:rPr>
          <w:spacing w:val="-2"/>
        </w:rPr>
        <w:t>comisión.</w:t>
      </w:r>
    </w:p>
    <w:p w:rsidR="00AD7446" w:rsidRDefault="00AD7446">
      <w:pPr>
        <w:pStyle w:val="Textoindependiente"/>
        <w:ind w:left="0"/>
        <w:rPr>
          <w:sz w:val="28"/>
        </w:rPr>
      </w:pPr>
    </w:p>
    <w:p w:rsidR="00AD7446" w:rsidRDefault="00AD7446">
      <w:pPr>
        <w:pStyle w:val="Textoindependiente"/>
        <w:spacing w:before="10"/>
        <w:ind w:left="0"/>
        <w:rPr>
          <w:sz w:val="33"/>
        </w:rPr>
      </w:pPr>
    </w:p>
    <w:p w:rsidR="00AD7446" w:rsidRDefault="000E0598">
      <w:pPr>
        <w:pStyle w:val="Ttulo1"/>
        <w:numPr>
          <w:ilvl w:val="0"/>
          <w:numId w:val="3"/>
        </w:numPr>
        <w:tabs>
          <w:tab w:val="left" w:pos="1221"/>
          <w:tab w:val="left" w:pos="1222"/>
        </w:tabs>
        <w:ind w:hanging="721"/>
      </w:pPr>
      <w:r>
        <w:t>PROYECTO</w:t>
      </w:r>
      <w:r>
        <w:rPr>
          <w:spacing w:val="-5"/>
        </w:rPr>
        <w:t xml:space="preserve"> </w:t>
      </w:r>
      <w:r>
        <w:t>DE</w:t>
      </w:r>
      <w:r>
        <w:rPr>
          <w:spacing w:val="-2"/>
        </w:rPr>
        <w:t xml:space="preserve"> </w:t>
      </w:r>
      <w:r>
        <w:rPr>
          <w:spacing w:val="-4"/>
        </w:rPr>
        <w:t>LEY.</w:t>
      </w:r>
    </w:p>
    <w:p w:rsidR="00AD7446" w:rsidRDefault="00AD7446">
      <w:pPr>
        <w:pStyle w:val="Textoindependiente"/>
        <w:spacing w:before="2"/>
        <w:ind w:left="0"/>
        <w:rPr>
          <w:b/>
          <w:sz w:val="25"/>
        </w:rPr>
      </w:pPr>
    </w:p>
    <w:p w:rsidR="00AD7446" w:rsidRDefault="000E0598">
      <w:pPr>
        <w:spacing w:before="1"/>
        <w:ind w:left="501"/>
        <w:rPr>
          <w:sz w:val="24"/>
        </w:rPr>
      </w:pPr>
      <w:r>
        <w:rPr>
          <w:b/>
          <w:sz w:val="24"/>
        </w:rPr>
        <w:t>Artículo</w:t>
      </w:r>
      <w:r>
        <w:rPr>
          <w:b/>
          <w:spacing w:val="-2"/>
          <w:sz w:val="24"/>
        </w:rPr>
        <w:t xml:space="preserve"> </w:t>
      </w:r>
      <w:r>
        <w:rPr>
          <w:b/>
          <w:sz w:val="24"/>
        </w:rPr>
        <w:t>Único.</w:t>
      </w:r>
      <w:r>
        <w:rPr>
          <w:b/>
          <w:spacing w:val="-2"/>
          <w:sz w:val="24"/>
        </w:rPr>
        <w:t xml:space="preserve"> </w:t>
      </w:r>
      <w:r>
        <w:rPr>
          <w:sz w:val="24"/>
        </w:rPr>
        <w:t>Introdúcense</w:t>
      </w:r>
      <w:r>
        <w:rPr>
          <w:spacing w:val="-1"/>
          <w:sz w:val="24"/>
        </w:rPr>
        <w:t xml:space="preserve"> </w:t>
      </w:r>
      <w:r>
        <w:rPr>
          <w:sz w:val="24"/>
        </w:rPr>
        <w:t>las</w:t>
      </w:r>
      <w:r>
        <w:rPr>
          <w:spacing w:val="-3"/>
          <w:sz w:val="24"/>
        </w:rPr>
        <w:t xml:space="preserve"> </w:t>
      </w:r>
      <w:r>
        <w:rPr>
          <w:sz w:val="24"/>
        </w:rPr>
        <w:t>siguientes</w:t>
      </w:r>
      <w:r>
        <w:rPr>
          <w:spacing w:val="-1"/>
          <w:sz w:val="24"/>
        </w:rPr>
        <w:t xml:space="preserve"> </w:t>
      </w:r>
      <w:r>
        <w:rPr>
          <w:sz w:val="24"/>
        </w:rPr>
        <w:t>modificaciones</w:t>
      </w:r>
      <w:r>
        <w:rPr>
          <w:spacing w:val="-3"/>
          <w:sz w:val="24"/>
        </w:rPr>
        <w:t xml:space="preserve"> </w:t>
      </w:r>
      <w:r>
        <w:rPr>
          <w:sz w:val="24"/>
        </w:rPr>
        <w:t xml:space="preserve">en Código </w:t>
      </w:r>
      <w:r>
        <w:rPr>
          <w:spacing w:val="-2"/>
          <w:sz w:val="24"/>
        </w:rPr>
        <w:t>Penal:</w:t>
      </w:r>
    </w:p>
    <w:p w:rsidR="00AD7446" w:rsidRDefault="00AD7446">
      <w:pPr>
        <w:pStyle w:val="Textoindependiente"/>
        <w:spacing w:before="10"/>
        <w:ind w:left="0"/>
      </w:pPr>
    </w:p>
    <w:p w:rsidR="00AD7446" w:rsidRDefault="000E0598">
      <w:pPr>
        <w:pStyle w:val="Prrafodelista"/>
        <w:numPr>
          <w:ilvl w:val="0"/>
          <w:numId w:val="1"/>
        </w:numPr>
        <w:tabs>
          <w:tab w:val="left" w:pos="759"/>
        </w:tabs>
        <w:spacing w:before="1" w:line="360" w:lineRule="auto"/>
        <w:ind w:right="135" w:firstLine="359"/>
        <w:jc w:val="both"/>
        <w:rPr>
          <w:rFonts w:ascii="Book Antiqua" w:hAnsi="Book Antiqua"/>
          <w:sz w:val="24"/>
        </w:rPr>
      </w:pPr>
      <w:r>
        <w:rPr>
          <w:rFonts w:ascii="Book Antiqua" w:hAnsi="Book Antiqua"/>
          <w:sz w:val="24"/>
        </w:rPr>
        <w:t xml:space="preserve">Incorpórase, a continuación del artículo 367 octies, el siguiente Párrafo 6 ter, </w:t>
      </w:r>
      <w:r>
        <w:rPr>
          <w:rFonts w:ascii="Book Antiqua" w:hAnsi="Book Antiqua"/>
          <w:spacing w:val="-2"/>
          <w:sz w:val="24"/>
        </w:rPr>
        <w:t>nuevo:</w:t>
      </w:r>
    </w:p>
    <w:p w:rsidR="00AD7446" w:rsidRDefault="000E0598">
      <w:pPr>
        <w:pStyle w:val="Textoindependiente"/>
        <w:spacing w:before="161"/>
        <w:ind w:left="501"/>
      </w:pPr>
      <w:r>
        <w:t>"§</w:t>
      </w:r>
      <w:r>
        <w:rPr>
          <w:spacing w:val="-3"/>
        </w:rPr>
        <w:t xml:space="preserve"> </w:t>
      </w:r>
      <w:r>
        <w:t>6</w:t>
      </w:r>
      <w:r>
        <w:rPr>
          <w:spacing w:val="-1"/>
        </w:rPr>
        <w:t xml:space="preserve"> </w:t>
      </w:r>
      <w:r>
        <w:t>bis.</w:t>
      </w:r>
      <w:r>
        <w:rPr>
          <w:spacing w:val="-1"/>
        </w:rPr>
        <w:t xml:space="preserve"> </w:t>
      </w:r>
      <w:r>
        <w:t>Del</w:t>
      </w:r>
      <w:r>
        <w:rPr>
          <w:spacing w:val="-1"/>
        </w:rPr>
        <w:t xml:space="preserve"> </w:t>
      </w:r>
      <w:r>
        <w:t>acoso</w:t>
      </w:r>
      <w:r>
        <w:rPr>
          <w:spacing w:val="-1"/>
        </w:rPr>
        <w:t xml:space="preserve"> </w:t>
      </w:r>
      <w:r>
        <w:t>sexual</w:t>
      </w:r>
      <w:r>
        <w:rPr>
          <w:spacing w:val="-1"/>
        </w:rPr>
        <w:t xml:space="preserve"> </w:t>
      </w:r>
      <w:r>
        <w:t>y</w:t>
      </w:r>
      <w:r>
        <w:rPr>
          <w:spacing w:val="-2"/>
        </w:rPr>
        <w:t xml:space="preserve"> </w:t>
      </w:r>
      <w:r>
        <w:t>el</w:t>
      </w:r>
      <w:r>
        <w:rPr>
          <w:spacing w:val="-1"/>
        </w:rPr>
        <w:t xml:space="preserve"> </w:t>
      </w:r>
      <w:r>
        <w:t>chantaje</w:t>
      </w:r>
      <w:r>
        <w:rPr>
          <w:spacing w:val="-1"/>
        </w:rPr>
        <w:t xml:space="preserve"> </w:t>
      </w:r>
      <w:r>
        <w:rPr>
          <w:spacing w:val="-2"/>
        </w:rPr>
        <w:t>sexual.".</w:t>
      </w:r>
    </w:p>
    <w:p w:rsidR="00AD7446" w:rsidRDefault="00AD7446">
      <w:pPr>
        <w:pStyle w:val="Textoindependiente"/>
        <w:spacing w:before="10"/>
        <w:ind w:left="0"/>
      </w:pPr>
    </w:p>
    <w:p w:rsidR="00AD7446" w:rsidRDefault="000E0598">
      <w:pPr>
        <w:pStyle w:val="Prrafodelista"/>
        <w:numPr>
          <w:ilvl w:val="0"/>
          <w:numId w:val="1"/>
        </w:numPr>
        <w:tabs>
          <w:tab w:val="left" w:pos="790"/>
        </w:tabs>
        <w:spacing w:before="1" w:line="360" w:lineRule="auto"/>
        <w:ind w:right="136" w:firstLine="359"/>
        <w:jc w:val="both"/>
        <w:rPr>
          <w:rFonts w:ascii="Book Antiqua" w:hAnsi="Book Antiqua"/>
          <w:sz w:val="24"/>
        </w:rPr>
      </w:pPr>
      <w:r>
        <w:rPr>
          <w:rFonts w:ascii="Book Antiqua" w:hAnsi="Book Antiqua"/>
          <w:sz w:val="24"/>
        </w:rPr>
        <w:t xml:space="preserve">Incorpórase los siguientes artículos 367 nonies y 367 decies, del siguiente </w:t>
      </w:r>
      <w:r>
        <w:rPr>
          <w:rFonts w:ascii="Book Antiqua" w:hAnsi="Book Antiqua"/>
          <w:spacing w:val="-2"/>
          <w:sz w:val="24"/>
        </w:rPr>
        <w:t>tenor:</w:t>
      </w:r>
    </w:p>
    <w:p w:rsidR="00AD7446" w:rsidRDefault="000E0598">
      <w:pPr>
        <w:pStyle w:val="Textoindependiente"/>
        <w:spacing w:before="159" w:line="360" w:lineRule="auto"/>
        <w:ind w:right="135" w:firstLine="359"/>
        <w:jc w:val="both"/>
      </w:pPr>
      <w:r>
        <w:t>“Artículo 367 nonies. El que, por cualquier medio, requiriera o exigiera conductas de naturaleza sexual no consentida en el ámbito de una relación laboral, educacional, mili</w:t>
      </w:r>
      <w:r>
        <w:t>tar o policial, deportiva, de prestación de servicios o análoga, con el fin o efecto de atentar contra la dignidad de la víctima, sus derechos fundamentales, y en particular cuando se crea una situación objetiva y gravemente intimidatoria,</w:t>
      </w:r>
      <w:r>
        <w:rPr>
          <w:spacing w:val="-4"/>
        </w:rPr>
        <w:t xml:space="preserve"> </w:t>
      </w:r>
      <w:r>
        <w:t>hostil,</w:t>
      </w:r>
      <w:r>
        <w:rPr>
          <w:spacing w:val="-3"/>
        </w:rPr>
        <w:t xml:space="preserve"> </w:t>
      </w:r>
      <w:r>
        <w:t>degradan</w:t>
      </w:r>
      <w:r>
        <w:t>te,</w:t>
      </w:r>
      <w:r>
        <w:rPr>
          <w:spacing w:val="-4"/>
        </w:rPr>
        <w:t xml:space="preserve"> </w:t>
      </w:r>
      <w:r>
        <w:t>humillante</w:t>
      </w:r>
      <w:r>
        <w:rPr>
          <w:spacing w:val="-2"/>
        </w:rPr>
        <w:t xml:space="preserve"> </w:t>
      </w:r>
      <w:r>
        <w:t>u</w:t>
      </w:r>
      <w:r>
        <w:rPr>
          <w:spacing w:val="-4"/>
        </w:rPr>
        <w:t xml:space="preserve"> </w:t>
      </w:r>
      <w:r>
        <w:t>ofensiva,</w:t>
      </w:r>
      <w:r>
        <w:rPr>
          <w:spacing w:val="-3"/>
        </w:rPr>
        <w:t xml:space="preserve"> </w:t>
      </w:r>
      <w:r>
        <w:t>comete</w:t>
      </w:r>
      <w:r>
        <w:rPr>
          <w:spacing w:val="-3"/>
        </w:rPr>
        <w:t xml:space="preserve"> </w:t>
      </w:r>
      <w:r>
        <w:t>acoso</w:t>
      </w:r>
      <w:r>
        <w:rPr>
          <w:spacing w:val="-3"/>
        </w:rPr>
        <w:t xml:space="preserve"> </w:t>
      </w:r>
      <w:r>
        <w:t>sexual</w:t>
      </w:r>
      <w:r>
        <w:rPr>
          <w:spacing w:val="-4"/>
        </w:rPr>
        <w:t xml:space="preserve"> </w:t>
      </w:r>
      <w:r>
        <w:t>y será sancionado con la pena de presidio menor en su grado mínimo.</w:t>
      </w:r>
    </w:p>
    <w:p w:rsidR="00AD7446" w:rsidRDefault="000E0598">
      <w:pPr>
        <w:pStyle w:val="Textoindependiente"/>
        <w:spacing w:before="161" w:line="360" w:lineRule="auto"/>
        <w:ind w:right="134" w:firstLine="359"/>
        <w:jc w:val="both"/>
      </w:pPr>
      <w:r>
        <w:t>Si la conducta del inciso anterior se hubiera realizado prevaliéndose de su posición, o como condición expresa o tácita de causar a la víctim</w:t>
      </w:r>
      <w:r>
        <w:t>a un menoscabo</w:t>
      </w:r>
      <w:r>
        <w:rPr>
          <w:spacing w:val="80"/>
        </w:rPr>
        <w:t xml:space="preserve"> </w:t>
      </w:r>
      <w:r>
        <w:t>en su evaluación o situación actual, o para evitar el despido u obtener una mejora,</w:t>
      </w:r>
      <w:r>
        <w:rPr>
          <w:spacing w:val="40"/>
        </w:rPr>
        <w:t xml:space="preserve"> </w:t>
      </w:r>
      <w:r>
        <w:t>o en relación con las</w:t>
      </w:r>
      <w:r>
        <w:rPr>
          <w:spacing w:val="-1"/>
        </w:rPr>
        <w:t xml:space="preserve"> </w:t>
      </w:r>
      <w:r>
        <w:t>legítimas expectativas que la víctima pueda tener en el ámbito de la</w:t>
      </w:r>
      <w:r>
        <w:rPr>
          <w:spacing w:val="-1"/>
        </w:rPr>
        <w:t xml:space="preserve"> </w:t>
      </w:r>
      <w:r>
        <w:t>indicada</w:t>
      </w:r>
      <w:r>
        <w:rPr>
          <w:spacing w:val="-1"/>
        </w:rPr>
        <w:t xml:space="preserve"> </w:t>
      </w:r>
      <w:r>
        <w:t>relación, será sancionado con</w:t>
      </w:r>
      <w:r>
        <w:rPr>
          <w:spacing w:val="-1"/>
        </w:rPr>
        <w:t xml:space="preserve"> </w:t>
      </w:r>
      <w:r>
        <w:t>la pena</w:t>
      </w:r>
      <w:r>
        <w:rPr>
          <w:spacing w:val="-1"/>
        </w:rPr>
        <w:t xml:space="preserve"> </w:t>
      </w:r>
      <w:r>
        <w:t>de presidio menor e</w:t>
      </w:r>
      <w:r>
        <w:t>n</w:t>
      </w:r>
      <w:r>
        <w:rPr>
          <w:spacing w:val="-1"/>
        </w:rPr>
        <w:t xml:space="preserve"> </w:t>
      </w:r>
      <w:r>
        <w:t>su</w:t>
      </w:r>
      <w:r>
        <w:rPr>
          <w:spacing w:val="-1"/>
        </w:rPr>
        <w:t xml:space="preserve"> </w:t>
      </w:r>
      <w:r>
        <w:t xml:space="preserve">grado </w:t>
      </w:r>
      <w:r>
        <w:rPr>
          <w:spacing w:val="-2"/>
        </w:rPr>
        <w:t>medio.”.</w:t>
      </w:r>
    </w:p>
    <w:p w:rsidR="00AD7446" w:rsidRDefault="00AD7446">
      <w:pPr>
        <w:spacing w:line="360" w:lineRule="auto"/>
        <w:jc w:val="both"/>
        <w:sectPr w:rsidR="00AD7446">
          <w:pgSz w:w="12240" w:h="18720"/>
          <w:pgMar w:top="1340" w:right="1560" w:bottom="280" w:left="1560" w:header="720" w:footer="720" w:gutter="0"/>
          <w:cols w:space="720"/>
        </w:sectPr>
      </w:pPr>
    </w:p>
    <w:p w:rsidR="00AD7446" w:rsidRDefault="000E0598">
      <w:pPr>
        <w:pStyle w:val="Textoindependiente"/>
        <w:spacing w:before="76" w:line="360" w:lineRule="auto"/>
        <w:ind w:right="135" w:firstLine="359"/>
        <w:jc w:val="both"/>
      </w:pPr>
      <w:r>
        <w:t>“Artículo 367 decies. El que, para obtener la realización de una conducta o acto de naturaleza sexual no consentida, constriña a otro mediante amenaza o intimidación, por cualquier medio, incluyendo medios electrónicos a dis</w:t>
      </w:r>
      <w:r>
        <w:t>tancia, comete chantaje sexual y será sancionado con la pena de presidio menor en su grado mínimo.</w:t>
      </w:r>
    </w:p>
    <w:p w:rsidR="00AD7446" w:rsidRDefault="000E0598">
      <w:pPr>
        <w:pStyle w:val="Textoindependiente"/>
        <w:spacing w:before="161" w:line="360" w:lineRule="auto"/>
        <w:ind w:right="135" w:firstLine="359"/>
        <w:jc w:val="both"/>
      </w:pPr>
      <w:r>
        <w:t>Si la conducta del inciso anterior se hubiera realizado mediante la amenaza de difundir imágenes, materiales audiovisuales o audios con contenido sexual en l</w:t>
      </w:r>
      <w:r>
        <w:t xml:space="preserve">os que aparezca o participe la víctima, la pena será de presidio menor en su grado </w:t>
      </w:r>
      <w:r>
        <w:rPr>
          <w:spacing w:val="-2"/>
        </w:rPr>
        <w:t>medio.”</w:t>
      </w:r>
    </w:p>
    <w:p w:rsidR="00AD7446" w:rsidRDefault="000E0598">
      <w:pPr>
        <w:pStyle w:val="Prrafodelista"/>
        <w:numPr>
          <w:ilvl w:val="0"/>
          <w:numId w:val="1"/>
        </w:numPr>
        <w:tabs>
          <w:tab w:val="left" w:pos="752"/>
        </w:tabs>
        <w:spacing w:before="160" w:line="360" w:lineRule="auto"/>
        <w:ind w:right="134" w:firstLine="359"/>
        <w:jc w:val="both"/>
        <w:rPr>
          <w:rFonts w:ascii="Book Antiqua" w:hAnsi="Book Antiqua"/>
          <w:sz w:val="24"/>
        </w:rPr>
      </w:pPr>
      <w:r>
        <w:rPr>
          <w:rFonts w:ascii="Book Antiqua" w:hAnsi="Book Antiqua"/>
          <w:sz w:val="24"/>
        </w:rPr>
        <w:t>Reemplázase en el epígrafe del Párrafo VII del Título Séptimo del Libro II, la expresión "Disposiciones comunes a los tres párrafos anteriores" por la locución "Disp</w:t>
      </w:r>
      <w:r>
        <w:rPr>
          <w:rFonts w:ascii="Book Antiqua" w:hAnsi="Book Antiqua"/>
          <w:sz w:val="24"/>
        </w:rPr>
        <w:t>osiciones comunes a los cuatro párrafos anteriores.".</w:t>
      </w:r>
    </w:p>
    <w:p w:rsidR="00AD7446" w:rsidRDefault="000E0598">
      <w:pPr>
        <w:pStyle w:val="Prrafodelista"/>
        <w:numPr>
          <w:ilvl w:val="0"/>
          <w:numId w:val="1"/>
        </w:numPr>
        <w:tabs>
          <w:tab w:val="left" w:pos="749"/>
        </w:tabs>
        <w:spacing w:before="160" w:line="360" w:lineRule="auto"/>
        <w:ind w:right="135" w:firstLine="359"/>
        <w:jc w:val="both"/>
        <w:rPr>
          <w:rFonts w:ascii="Book Antiqua" w:hAnsi="Book Antiqua"/>
          <w:sz w:val="24"/>
        </w:rPr>
      </w:pPr>
      <w:r>
        <w:rPr>
          <w:rFonts w:ascii="Book Antiqua" w:hAnsi="Book Antiqua"/>
          <w:sz w:val="24"/>
        </w:rPr>
        <w:t>Reemplázase en los artículos 368, 368 bis, 369, 370 bis, 371 y 372 la frase “tres párrafos anteriores” por “cuatro párrafos anteriores”.</w:t>
      </w:r>
    </w:p>
    <w:p w:rsidR="00AD7446" w:rsidRDefault="000E0598">
      <w:pPr>
        <w:pStyle w:val="Prrafodelista"/>
        <w:numPr>
          <w:ilvl w:val="0"/>
          <w:numId w:val="1"/>
        </w:numPr>
        <w:tabs>
          <w:tab w:val="left" w:pos="747"/>
        </w:tabs>
        <w:spacing w:before="162" w:line="360" w:lineRule="auto"/>
        <w:ind w:right="137" w:firstLine="359"/>
        <w:jc w:val="both"/>
        <w:rPr>
          <w:rFonts w:ascii="Book Antiqua" w:hAnsi="Book Antiqua"/>
          <w:sz w:val="24"/>
        </w:rPr>
      </w:pPr>
      <w:r>
        <w:rPr>
          <w:rFonts w:ascii="Book Antiqua" w:hAnsi="Book Antiqua"/>
          <w:sz w:val="24"/>
        </w:rPr>
        <w:t>Agrégase en el inciso primero del artículo 494 ter,</w:t>
      </w:r>
      <w:r>
        <w:rPr>
          <w:rFonts w:ascii="Book Antiqua" w:hAnsi="Book Antiqua"/>
          <w:spacing w:val="-1"/>
          <w:sz w:val="24"/>
        </w:rPr>
        <w:t xml:space="preserve"> </w:t>
      </w:r>
      <w:r>
        <w:rPr>
          <w:rFonts w:ascii="Book Antiqua" w:hAnsi="Book Antiqua"/>
          <w:sz w:val="24"/>
        </w:rPr>
        <w:t>tras la</w:t>
      </w:r>
      <w:r>
        <w:rPr>
          <w:rFonts w:ascii="Book Antiqua" w:hAnsi="Book Antiqua"/>
          <w:spacing w:val="-2"/>
          <w:sz w:val="24"/>
        </w:rPr>
        <w:t xml:space="preserve"> </w:t>
      </w:r>
      <w:r>
        <w:rPr>
          <w:rFonts w:ascii="Book Antiqua" w:hAnsi="Book Antiqua"/>
          <w:sz w:val="24"/>
        </w:rPr>
        <w:t>frase “Comete acoso sexual” y antes de la palabra “el” la siguiente frase “en espacios públicos”.</w:t>
      </w:r>
    </w:p>
    <w:p w:rsidR="00AD7446" w:rsidRDefault="00AD7446">
      <w:pPr>
        <w:pStyle w:val="Textoindependiente"/>
        <w:ind w:left="0"/>
        <w:rPr>
          <w:sz w:val="28"/>
        </w:rPr>
      </w:pPr>
    </w:p>
    <w:p w:rsidR="00AD7446" w:rsidRDefault="00AD7446">
      <w:pPr>
        <w:pStyle w:val="Textoindependiente"/>
        <w:ind w:left="0"/>
        <w:rPr>
          <w:sz w:val="28"/>
        </w:rPr>
      </w:pPr>
    </w:p>
    <w:p w:rsidR="00AD7446" w:rsidRDefault="00AD7446">
      <w:pPr>
        <w:pStyle w:val="Textoindependiente"/>
        <w:ind w:left="0"/>
        <w:rPr>
          <w:sz w:val="28"/>
        </w:rPr>
      </w:pPr>
    </w:p>
    <w:p w:rsidR="00AD7446" w:rsidRDefault="00AD7446">
      <w:pPr>
        <w:pStyle w:val="Textoindependiente"/>
        <w:spacing w:before="6"/>
        <w:ind w:left="0"/>
        <w:rPr>
          <w:sz w:val="26"/>
        </w:rPr>
      </w:pPr>
    </w:p>
    <w:p w:rsidR="00AD7446" w:rsidRDefault="000E0598">
      <w:pPr>
        <w:ind w:left="3336" w:right="2978" w:firstLine="4"/>
        <w:jc w:val="center"/>
        <w:rPr>
          <w:b/>
          <w:sz w:val="24"/>
        </w:rPr>
      </w:pPr>
      <w:r>
        <w:rPr>
          <w:b/>
          <w:sz w:val="24"/>
        </w:rPr>
        <w:t>Natalia Romero Talguia Diputada</w:t>
      </w:r>
      <w:r>
        <w:rPr>
          <w:b/>
          <w:spacing w:val="-14"/>
          <w:sz w:val="24"/>
        </w:rPr>
        <w:t xml:space="preserve"> </w:t>
      </w:r>
      <w:r>
        <w:rPr>
          <w:b/>
          <w:sz w:val="24"/>
        </w:rPr>
        <w:t>de</w:t>
      </w:r>
      <w:r>
        <w:rPr>
          <w:b/>
          <w:spacing w:val="-13"/>
          <w:sz w:val="24"/>
        </w:rPr>
        <w:t xml:space="preserve"> </w:t>
      </w:r>
      <w:r>
        <w:rPr>
          <w:b/>
          <w:sz w:val="24"/>
        </w:rPr>
        <w:t>la</w:t>
      </w:r>
      <w:r>
        <w:rPr>
          <w:b/>
          <w:spacing w:val="-14"/>
          <w:sz w:val="24"/>
        </w:rPr>
        <w:t xml:space="preserve"> </w:t>
      </w:r>
      <w:r>
        <w:rPr>
          <w:b/>
          <w:sz w:val="24"/>
        </w:rPr>
        <w:t>República Distrito 15</w:t>
      </w:r>
    </w:p>
    <w:p w:rsidR="00AD7446" w:rsidRDefault="000E0598">
      <w:pPr>
        <w:spacing w:before="1"/>
        <w:ind w:left="3570" w:right="3213"/>
        <w:jc w:val="center"/>
        <w:rPr>
          <w:b/>
          <w:sz w:val="24"/>
        </w:rPr>
      </w:pPr>
      <w:r>
        <w:rPr>
          <w:b/>
          <w:sz w:val="24"/>
        </w:rPr>
        <w:t>Región</w:t>
      </w:r>
      <w:r>
        <w:rPr>
          <w:b/>
          <w:spacing w:val="-4"/>
          <w:sz w:val="24"/>
        </w:rPr>
        <w:t xml:space="preserve"> </w:t>
      </w:r>
      <w:r>
        <w:rPr>
          <w:b/>
          <w:sz w:val="24"/>
        </w:rPr>
        <w:t>de</w:t>
      </w:r>
      <w:r>
        <w:rPr>
          <w:b/>
          <w:spacing w:val="-2"/>
          <w:sz w:val="24"/>
        </w:rPr>
        <w:t xml:space="preserve"> O’Higgins</w:t>
      </w:r>
    </w:p>
    <w:sectPr w:rsidR="00AD7446">
      <w:pgSz w:w="12240" w:h="18720"/>
      <w:pgMar w:top="1340" w:right="156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6182"/>
    <w:multiLevelType w:val="hybridMultilevel"/>
    <w:tmpl w:val="1DCEECEE"/>
    <w:lvl w:ilvl="0" w:tplc="0588B25E">
      <w:start w:val="1"/>
      <w:numFmt w:val="decimal"/>
      <w:lvlText w:val="%1."/>
      <w:lvlJc w:val="left"/>
      <w:pPr>
        <w:ind w:left="142" w:hanging="257"/>
        <w:jc w:val="left"/>
      </w:pPr>
      <w:rPr>
        <w:rFonts w:ascii="Book Antiqua" w:eastAsia="Book Antiqua" w:hAnsi="Book Antiqua" w:cs="Book Antiqua" w:hint="default"/>
        <w:b w:val="0"/>
        <w:bCs w:val="0"/>
        <w:i w:val="0"/>
        <w:iCs w:val="0"/>
        <w:w w:val="100"/>
        <w:sz w:val="24"/>
        <w:szCs w:val="24"/>
        <w:lang w:val="es-ES" w:eastAsia="en-US" w:bidi="ar-SA"/>
      </w:rPr>
    </w:lvl>
    <w:lvl w:ilvl="1" w:tplc="5E10F8FA">
      <w:numFmt w:val="bullet"/>
      <w:lvlText w:val="•"/>
      <w:lvlJc w:val="left"/>
      <w:pPr>
        <w:ind w:left="1038" w:hanging="257"/>
      </w:pPr>
      <w:rPr>
        <w:rFonts w:hint="default"/>
        <w:lang w:val="es-ES" w:eastAsia="en-US" w:bidi="ar-SA"/>
      </w:rPr>
    </w:lvl>
    <w:lvl w:ilvl="2" w:tplc="167E2FCC">
      <w:numFmt w:val="bullet"/>
      <w:lvlText w:val="•"/>
      <w:lvlJc w:val="left"/>
      <w:pPr>
        <w:ind w:left="1936" w:hanging="257"/>
      </w:pPr>
      <w:rPr>
        <w:rFonts w:hint="default"/>
        <w:lang w:val="es-ES" w:eastAsia="en-US" w:bidi="ar-SA"/>
      </w:rPr>
    </w:lvl>
    <w:lvl w:ilvl="3" w:tplc="FAE23698">
      <w:numFmt w:val="bullet"/>
      <w:lvlText w:val="•"/>
      <w:lvlJc w:val="left"/>
      <w:pPr>
        <w:ind w:left="2834" w:hanging="257"/>
      </w:pPr>
      <w:rPr>
        <w:rFonts w:hint="default"/>
        <w:lang w:val="es-ES" w:eastAsia="en-US" w:bidi="ar-SA"/>
      </w:rPr>
    </w:lvl>
    <w:lvl w:ilvl="4" w:tplc="AE104120">
      <w:numFmt w:val="bullet"/>
      <w:lvlText w:val="•"/>
      <w:lvlJc w:val="left"/>
      <w:pPr>
        <w:ind w:left="3732" w:hanging="257"/>
      </w:pPr>
      <w:rPr>
        <w:rFonts w:hint="default"/>
        <w:lang w:val="es-ES" w:eastAsia="en-US" w:bidi="ar-SA"/>
      </w:rPr>
    </w:lvl>
    <w:lvl w:ilvl="5" w:tplc="D44AD66E">
      <w:numFmt w:val="bullet"/>
      <w:lvlText w:val="•"/>
      <w:lvlJc w:val="left"/>
      <w:pPr>
        <w:ind w:left="4630" w:hanging="257"/>
      </w:pPr>
      <w:rPr>
        <w:rFonts w:hint="default"/>
        <w:lang w:val="es-ES" w:eastAsia="en-US" w:bidi="ar-SA"/>
      </w:rPr>
    </w:lvl>
    <w:lvl w:ilvl="6" w:tplc="CB1EE444">
      <w:numFmt w:val="bullet"/>
      <w:lvlText w:val="•"/>
      <w:lvlJc w:val="left"/>
      <w:pPr>
        <w:ind w:left="5528" w:hanging="257"/>
      </w:pPr>
      <w:rPr>
        <w:rFonts w:hint="default"/>
        <w:lang w:val="es-ES" w:eastAsia="en-US" w:bidi="ar-SA"/>
      </w:rPr>
    </w:lvl>
    <w:lvl w:ilvl="7" w:tplc="A34E6708">
      <w:numFmt w:val="bullet"/>
      <w:lvlText w:val="•"/>
      <w:lvlJc w:val="left"/>
      <w:pPr>
        <w:ind w:left="6426" w:hanging="257"/>
      </w:pPr>
      <w:rPr>
        <w:rFonts w:hint="default"/>
        <w:lang w:val="es-ES" w:eastAsia="en-US" w:bidi="ar-SA"/>
      </w:rPr>
    </w:lvl>
    <w:lvl w:ilvl="8" w:tplc="1A822EEA">
      <w:numFmt w:val="bullet"/>
      <w:lvlText w:val="•"/>
      <w:lvlJc w:val="left"/>
      <w:pPr>
        <w:ind w:left="7324" w:hanging="257"/>
      </w:pPr>
      <w:rPr>
        <w:rFonts w:hint="default"/>
        <w:lang w:val="es-ES" w:eastAsia="en-US" w:bidi="ar-SA"/>
      </w:rPr>
    </w:lvl>
  </w:abstractNum>
  <w:abstractNum w:abstractNumId="1" w15:restartNumberingAfterBreak="0">
    <w:nsid w:val="156578FB"/>
    <w:multiLevelType w:val="hybridMultilevel"/>
    <w:tmpl w:val="33349F1C"/>
    <w:lvl w:ilvl="0" w:tplc="A40CCA4E">
      <w:start w:val="2"/>
      <w:numFmt w:val="decimal"/>
      <w:lvlText w:val="%1."/>
      <w:lvlJc w:val="left"/>
      <w:pPr>
        <w:ind w:left="142" w:hanging="197"/>
        <w:jc w:val="left"/>
      </w:pPr>
      <w:rPr>
        <w:rFonts w:ascii="Calibri" w:eastAsia="Calibri" w:hAnsi="Calibri" w:cs="Calibri" w:hint="default"/>
        <w:b w:val="0"/>
        <w:bCs w:val="0"/>
        <w:i w:val="0"/>
        <w:iCs w:val="0"/>
        <w:w w:val="99"/>
        <w:sz w:val="20"/>
        <w:szCs w:val="20"/>
        <w:lang w:val="es-ES" w:eastAsia="en-US" w:bidi="ar-SA"/>
      </w:rPr>
    </w:lvl>
    <w:lvl w:ilvl="1" w:tplc="8E3E6A0E">
      <w:numFmt w:val="bullet"/>
      <w:lvlText w:val="•"/>
      <w:lvlJc w:val="left"/>
      <w:pPr>
        <w:ind w:left="1038" w:hanging="197"/>
      </w:pPr>
      <w:rPr>
        <w:rFonts w:hint="default"/>
        <w:lang w:val="es-ES" w:eastAsia="en-US" w:bidi="ar-SA"/>
      </w:rPr>
    </w:lvl>
    <w:lvl w:ilvl="2" w:tplc="38349D60">
      <w:numFmt w:val="bullet"/>
      <w:lvlText w:val="•"/>
      <w:lvlJc w:val="left"/>
      <w:pPr>
        <w:ind w:left="1936" w:hanging="197"/>
      </w:pPr>
      <w:rPr>
        <w:rFonts w:hint="default"/>
        <w:lang w:val="es-ES" w:eastAsia="en-US" w:bidi="ar-SA"/>
      </w:rPr>
    </w:lvl>
    <w:lvl w:ilvl="3" w:tplc="FFF85874">
      <w:numFmt w:val="bullet"/>
      <w:lvlText w:val="•"/>
      <w:lvlJc w:val="left"/>
      <w:pPr>
        <w:ind w:left="2834" w:hanging="197"/>
      </w:pPr>
      <w:rPr>
        <w:rFonts w:hint="default"/>
        <w:lang w:val="es-ES" w:eastAsia="en-US" w:bidi="ar-SA"/>
      </w:rPr>
    </w:lvl>
    <w:lvl w:ilvl="4" w:tplc="E62CED50">
      <w:numFmt w:val="bullet"/>
      <w:lvlText w:val="•"/>
      <w:lvlJc w:val="left"/>
      <w:pPr>
        <w:ind w:left="3732" w:hanging="197"/>
      </w:pPr>
      <w:rPr>
        <w:rFonts w:hint="default"/>
        <w:lang w:val="es-ES" w:eastAsia="en-US" w:bidi="ar-SA"/>
      </w:rPr>
    </w:lvl>
    <w:lvl w:ilvl="5" w:tplc="C8B2F6EE">
      <w:numFmt w:val="bullet"/>
      <w:lvlText w:val="•"/>
      <w:lvlJc w:val="left"/>
      <w:pPr>
        <w:ind w:left="4630" w:hanging="197"/>
      </w:pPr>
      <w:rPr>
        <w:rFonts w:hint="default"/>
        <w:lang w:val="es-ES" w:eastAsia="en-US" w:bidi="ar-SA"/>
      </w:rPr>
    </w:lvl>
    <w:lvl w:ilvl="6" w:tplc="C9C2C682">
      <w:numFmt w:val="bullet"/>
      <w:lvlText w:val="•"/>
      <w:lvlJc w:val="left"/>
      <w:pPr>
        <w:ind w:left="5528" w:hanging="197"/>
      </w:pPr>
      <w:rPr>
        <w:rFonts w:hint="default"/>
        <w:lang w:val="es-ES" w:eastAsia="en-US" w:bidi="ar-SA"/>
      </w:rPr>
    </w:lvl>
    <w:lvl w:ilvl="7" w:tplc="E8EE8A6A">
      <w:numFmt w:val="bullet"/>
      <w:lvlText w:val="•"/>
      <w:lvlJc w:val="left"/>
      <w:pPr>
        <w:ind w:left="6426" w:hanging="197"/>
      </w:pPr>
      <w:rPr>
        <w:rFonts w:hint="default"/>
        <w:lang w:val="es-ES" w:eastAsia="en-US" w:bidi="ar-SA"/>
      </w:rPr>
    </w:lvl>
    <w:lvl w:ilvl="8" w:tplc="A8AC41A4">
      <w:numFmt w:val="bullet"/>
      <w:lvlText w:val="•"/>
      <w:lvlJc w:val="left"/>
      <w:pPr>
        <w:ind w:left="7324" w:hanging="197"/>
      </w:pPr>
      <w:rPr>
        <w:rFonts w:hint="default"/>
        <w:lang w:val="es-ES" w:eastAsia="en-US" w:bidi="ar-SA"/>
      </w:rPr>
    </w:lvl>
  </w:abstractNum>
  <w:abstractNum w:abstractNumId="2" w15:restartNumberingAfterBreak="0">
    <w:nsid w:val="4CF0486D"/>
    <w:multiLevelType w:val="hybridMultilevel"/>
    <w:tmpl w:val="7D084220"/>
    <w:lvl w:ilvl="0" w:tplc="4BAC5C9E">
      <w:start w:val="1"/>
      <w:numFmt w:val="upperRoman"/>
      <w:lvlText w:val="%1."/>
      <w:lvlJc w:val="left"/>
      <w:pPr>
        <w:ind w:left="1222" w:hanging="720"/>
        <w:jc w:val="left"/>
      </w:pPr>
      <w:rPr>
        <w:rFonts w:ascii="Book Antiqua" w:eastAsia="Book Antiqua" w:hAnsi="Book Antiqua" w:cs="Book Antiqua" w:hint="default"/>
        <w:b/>
        <w:bCs/>
        <w:i w:val="0"/>
        <w:iCs w:val="0"/>
        <w:w w:val="100"/>
        <w:sz w:val="24"/>
        <w:szCs w:val="24"/>
        <w:lang w:val="es-ES" w:eastAsia="en-US" w:bidi="ar-SA"/>
      </w:rPr>
    </w:lvl>
    <w:lvl w:ilvl="1" w:tplc="B0228F72">
      <w:start w:val="1"/>
      <w:numFmt w:val="lowerLetter"/>
      <w:lvlText w:val="%2."/>
      <w:lvlJc w:val="left"/>
      <w:pPr>
        <w:ind w:left="1582" w:hanging="360"/>
        <w:jc w:val="left"/>
      </w:pPr>
      <w:rPr>
        <w:rFonts w:ascii="Book Antiqua" w:eastAsia="Book Antiqua" w:hAnsi="Book Antiqua" w:cs="Book Antiqua" w:hint="default"/>
        <w:b/>
        <w:bCs/>
        <w:i w:val="0"/>
        <w:iCs w:val="0"/>
        <w:w w:val="100"/>
        <w:sz w:val="24"/>
        <w:szCs w:val="24"/>
        <w:lang w:val="es-ES" w:eastAsia="en-US" w:bidi="ar-SA"/>
      </w:rPr>
    </w:lvl>
    <w:lvl w:ilvl="2" w:tplc="9AF06D2C">
      <w:numFmt w:val="bullet"/>
      <w:lvlText w:val="•"/>
      <w:lvlJc w:val="left"/>
      <w:pPr>
        <w:ind w:left="2417" w:hanging="360"/>
      </w:pPr>
      <w:rPr>
        <w:rFonts w:hint="default"/>
        <w:lang w:val="es-ES" w:eastAsia="en-US" w:bidi="ar-SA"/>
      </w:rPr>
    </w:lvl>
    <w:lvl w:ilvl="3" w:tplc="CD969B7E">
      <w:numFmt w:val="bullet"/>
      <w:lvlText w:val="•"/>
      <w:lvlJc w:val="left"/>
      <w:pPr>
        <w:ind w:left="3255" w:hanging="360"/>
      </w:pPr>
      <w:rPr>
        <w:rFonts w:hint="default"/>
        <w:lang w:val="es-ES" w:eastAsia="en-US" w:bidi="ar-SA"/>
      </w:rPr>
    </w:lvl>
    <w:lvl w:ilvl="4" w:tplc="9FCCF844">
      <w:numFmt w:val="bullet"/>
      <w:lvlText w:val="•"/>
      <w:lvlJc w:val="left"/>
      <w:pPr>
        <w:ind w:left="4093" w:hanging="360"/>
      </w:pPr>
      <w:rPr>
        <w:rFonts w:hint="default"/>
        <w:lang w:val="es-ES" w:eastAsia="en-US" w:bidi="ar-SA"/>
      </w:rPr>
    </w:lvl>
    <w:lvl w:ilvl="5" w:tplc="CFF0E614">
      <w:numFmt w:val="bullet"/>
      <w:lvlText w:val="•"/>
      <w:lvlJc w:val="left"/>
      <w:pPr>
        <w:ind w:left="4931" w:hanging="360"/>
      </w:pPr>
      <w:rPr>
        <w:rFonts w:hint="default"/>
        <w:lang w:val="es-ES" w:eastAsia="en-US" w:bidi="ar-SA"/>
      </w:rPr>
    </w:lvl>
    <w:lvl w:ilvl="6" w:tplc="2E2A4DA6">
      <w:numFmt w:val="bullet"/>
      <w:lvlText w:val="•"/>
      <w:lvlJc w:val="left"/>
      <w:pPr>
        <w:ind w:left="5768" w:hanging="360"/>
      </w:pPr>
      <w:rPr>
        <w:rFonts w:hint="default"/>
        <w:lang w:val="es-ES" w:eastAsia="en-US" w:bidi="ar-SA"/>
      </w:rPr>
    </w:lvl>
    <w:lvl w:ilvl="7" w:tplc="66205492">
      <w:numFmt w:val="bullet"/>
      <w:lvlText w:val="•"/>
      <w:lvlJc w:val="left"/>
      <w:pPr>
        <w:ind w:left="6606" w:hanging="360"/>
      </w:pPr>
      <w:rPr>
        <w:rFonts w:hint="default"/>
        <w:lang w:val="es-ES" w:eastAsia="en-US" w:bidi="ar-SA"/>
      </w:rPr>
    </w:lvl>
    <w:lvl w:ilvl="8" w:tplc="CC52FE86">
      <w:numFmt w:val="bullet"/>
      <w:lvlText w:val="•"/>
      <w:lvlJc w:val="left"/>
      <w:pPr>
        <w:ind w:left="7444" w:hanging="360"/>
      </w:pPr>
      <w:rPr>
        <w:rFonts w:hint="default"/>
        <w:lang w:val="es-E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D7446"/>
    <w:rsid w:val="000E0598"/>
    <w:rsid w:val="00AD74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D856BFCF-C254-4DF4-B469-D5F93581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lang w:val="es-ES"/>
    </w:rPr>
  </w:style>
  <w:style w:type="paragraph" w:styleId="Ttulo1">
    <w:name w:val="heading 1"/>
    <w:basedOn w:val="Normal"/>
    <w:uiPriority w:val="9"/>
    <w:qFormat/>
    <w:pPr>
      <w:ind w:left="1222" w:hanging="721"/>
      <w:outlineLvl w:val="0"/>
    </w:pPr>
    <w:rPr>
      <w:b/>
      <w:bCs/>
      <w:sz w:val="24"/>
      <w:szCs w:val="24"/>
    </w:rPr>
  </w:style>
  <w:style w:type="paragraph" w:styleId="Ttulo2">
    <w:name w:val="heading 2"/>
    <w:basedOn w:val="Normal"/>
    <w:uiPriority w:val="9"/>
    <w:unhideWhenUsed/>
    <w:qFormat/>
    <w:pPr>
      <w:ind w:left="1582" w:hanging="361"/>
      <w:jc w:val="center"/>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42"/>
    </w:pPr>
    <w:rPr>
      <w:sz w:val="24"/>
      <w:szCs w:val="24"/>
    </w:rPr>
  </w:style>
  <w:style w:type="paragraph" w:styleId="Prrafodelista">
    <w:name w:val="List Paragraph"/>
    <w:basedOn w:val="Normal"/>
    <w:uiPriority w:val="1"/>
    <w:qFormat/>
    <w:pPr>
      <w:ind w:left="142" w:firstLine="359"/>
    </w:pPr>
    <w:rPr>
      <w:rFonts w:ascii="Calibri" w:eastAsia="Calibri" w:hAnsi="Calibri" w:cs="Calibri"/>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gvm-iefh.belgium.be/sites/default/files/downloads/file_fr_84_-_loi_de_10_mai_2007_tendant_a_lutter_contre_la_discrimination_entre_les_femmes_et_les_hommes.pdf" TargetMode="External"/><Relationship Id="rId3" Type="http://schemas.openxmlformats.org/officeDocument/2006/relationships/settings" Target="settings.xml"/><Relationship Id="rId7" Type="http://schemas.openxmlformats.org/officeDocument/2006/relationships/hyperlink" Target="https://igvm-iefh.belgium.be/sites/default/files/downloads/file_fr_84_-_loi_de_10_mai_2007_tendant_a_lutter_contre_la_discrimination_entre_les_femmes_et_les_homm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umanas.cl/el-acoso-sexual-no-esta-tipificado-como-delito-en-chil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2522</Words>
  <Characters>13876</Characters>
  <Application>Microsoft Office Word</Application>
  <DocSecurity>0</DocSecurity>
  <Lines>115</Lines>
  <Paragraphs>32</Paragraphs>
  <ScaleCrop>false</ScaleCrop>
  <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Murillo Velásquez</dc:creator>
  <cp:lastModifiedBy>Guillermo Diaz Vallejos</cp:lastModifiedBy>
  <cp:revision>1</cp:revision>
  <dcterms:created xsi:type="dcterms:W3CDTF">2023-05-09T20:55:00Z</dcterms:created>
  <dcterms:modified xsi:type="dcterms:W3CDTF">2023-05-10T16:07:00Z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2023-05-04T00:00:00Z</vt:filetime>
  </property>
  <property fmtid="{D5CDD505-2E9C-101B-9397-08002B2CF9AE}" pid="3" name="Creator">
    <vt:lpwstr>Microsoft® Word para Microsoft 365</vt:lpwstr>
  </property>
  <property fmtid="{D5CDD505-2E9C-101B-9397-08002B2CF9AE}" pid="4" name="LastSaved">
    <vt:filetime>2023-05-09T00:00:00Z</vt:filetime>
  </property>
  <property fmtid="{D5CDD505-2E9C-101B-9397-08002B2CF9AE}" pid="5" name="Producer">
    <vt:lpwstr>Microsoft® Word para Microsoft 365</vt:lpwstr>
  </property>
</Properties>
</file>