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F8B" w:rsidRDefault="00860DB1">
      <w:pPr>
        <w:pStyle w:val="Ttulo"/>
        <w:spacing w:line="304" w:lineRule="auto"/>
        <w:rPr>
          <w:b/>
        </w:rPr>
      </w:pPr>
      <w:r>
        <w:rPr>
          <w:b/>
          <w:smallCaps/>
        </w:rPr>
        <w:t>Proyecto que modifica la Ley N°20.084, que establece un sistema de responsabilidad de los adolescentes</w:t>
      </w:r>
      <w:r>
        <w:rPr>
          <w:b/>
          <w:smallCaps/>
          <w:spacing w:val="52"/>
        </w:rPr>
        <w:t xml:space="preserve"> </w:t>
      </w:r>
      <w:r>
        <w:rPr>
          <w:b/>
          <w:smallCaps/>
        </w:rPr>
        <w:t>por</w:t>
      </w:r>
      <w:r>
        <w:rPr>
          <w:b/>
          <w:smallCaps/>
          <w:spacing w:val="53"/>
        </w:rPr>
        <w:t xml:space="preserve"> </w:t>
      </w:r>
      <w:r>
        <w:rPr>
          <w:b/>
          <w:smallCaps/>
        </w:rPr>
        <w:t>infracciones</w:t>
      </w:r>
      <w:r>
        <w:rPr>
          <w:b/>
          <w:smallCaps/>
          <w:spacing w:val="53"/>
        </w:rPr>
        <w:t xml:space="preserve"> </w:t>
      </w:r>
      <w:r>
        <w:rPr>
          <w:b/>
          <w:smallCaps/>
        </w:rPr>
        <w:t>a</w:t>
      </w:r>
      <w:r>
        <w:rPr>
          <w:b/>
          <w:smallCaps/>
          <w:spacing w:val="54"/>
        </w:rPr>
        <w:t xml:space="preserve"> </w:t>
      </w:r>
      <w:r>
        <w:rPr>
          <w:b/>
          <w:smallCaps/>
        </w:rPr>
        <w:t>la</w:t>
      </w:r>
      <w:r>
        <w:rPr>
          <w:b/>
          <w:smallCaps/>
          <w:spacing w:val="53"/>
        </w:rPr>
        <w:t xml:space="preserve"> </w:t>
      </w:r>
      <w:r>
        <w:rPr>
          <w:b/>
          <w:smallCaps/>
        </w:rPr>
        <w:t>ley</w:t>
      </w:r>
      <w:r>
        <w:rPr>
          <w:b/>
          <w:smallCaps/>
          <w:spacing w:val="54"/>
        </w:rPr>
        <w:t xml:space="preserve"> </w:t>
      </w:r>
      <w:r>
        <w:rPr>
          <w:b/>
          <w:smallCaps/>
        </w:rPr>
        <w:t>penal,</w:t>
      </w:r>
      <w:r>
        <w:rPr>
          <w:b/>
          <w:smallCaps/>
          <w:spacing w:val="34"/>
        </w:rPr>
        <w:t xml:space="preserve"> </w:t>
      </w:r>
      <w:r>
        <w:rPr>
          <w:b/>
          <w:smallCaps/>
          <w:spacing w:val="-4"/>
        </w:rPr>
        <w:t>para</w:t>
      </w:r>
    </w:p>
    <w:p w:rsidR="00F95F8B" w:rsidRDefault="00860DB1">
      <w:pPr>
        <w:spacing w:before="11" w:line="340" w:lineRule="auto"/>
        <w:ind w:left="102" w:right="117"/>
        <w:jc w:val="both"/>
        <w:rPr>
          <w:b/>
          <w:sz w:val="26"/>
        </w:rPr>
      </w:pPr>
      <w:r>
        <w:rPr>
          <w:b/>
          <w:sz w:val="26"/>
        </w:rPr>
        <w:t>DISPONER UNA REACCIÓN PENAL AGRAVADA ANTE CRÍMENES Y SIMPLES DELITOS COMETIDOS POR ESTAS PERSONAS</w:t>
      </w:r>
    </w:p>
    <w:p w:rsidR="00F95F8B" w:rsidRDefault="00F95F8B">
      <w:pPr>
        <w:pStyle w:val="Textoindependiente"/>
        <w:rPr>
          <w:b/>
          <w:sz w:val="30"/>
        </w:rPr>
      </w:pPr>
    </w:p>
    <w:p w:rsidR="00F95F8B" w:rsidRDefault="00860DB1">
      <w:pPr>
        <w:pStyle w:val="Textoindependiente"/>
        <w:spacing w:before="235"/>
        <w:ind w:right="16"/>
        <w:jc w:val="center"/>
      </w:pPr>
      <w:r>
        <w:rPr>
          <w:spacing w:val="-2"/>
          <w:u w:val="single"/>
        </w:rPr>
        <w:t>Fundamentos</w:t>
      </w:r>
    </w:p>
    <w:p w:rsidR="00F95F8B" w:rsidRDefault="00F95F8B">
      <w:pPr>
        <w:pStyle w:val="Textoindependiente"/>
        <w:rPr>
          <w:sz w:val="20"/>
        </w:rPr>
      </w:pPr>
    </w:p>
    <w:p w:rsidR="00F95F8B" w:rsidRDefault="00F95F8B">
      <w:pPr>
        <w:pStyle w:val="Textoindependiente"/>
        <w:rPr>
          <w:sz w:val="20"/>
        </w:rPr>
      </w:pPr>
    </w:p>
    <w:p w:rsidR="00F95F8B" w:rsidRDefault="00860DB1">
      <w:pPr>
        <w:pStyle w:val="Textoindependiente"/>
        <w:spacing w:before="222" w:line="276" w:lineRule="auto"/>
        <w:ind w:left="102" w:right="114" w:firstLine="707"/>
        <w:jc w:val="both"/>
      </w:pPr>
      <w:r>
        <w:t>Con fecha 14 de diciembre de 2022 fue presentado el proyecto de ley contenido en Boletín N°15.589-07, suscrito por los diputados Miguel Ángel B</w:t>
      </w:r>
      <w:r>
        <w:t>ecker, José Miguel Castro, Andrés Celis, María Luisa Cordero, Catalina Del Real, Camila Flores, Andrés Longton, Carla Morales, Ximena</w:t>
      </w:r>
      <w:r>
        <w:rPr>
          <w:spacing w:val="80"/>
        </w:rPr>
        <w:t xml:space="preserve"> </w:t>
      </w:r>
      <w:r>
        <w:t>Ossandón y Diego Schalper.</w:t>
      </w:r>
    </w:p>
    <w:p w:rsidR="00F95F8B" w:rsidRDefault="00F95F8B">
      <w:pPr>
        <w:pStyle w:val="Textoindependiente"/>
        <w:spacing w:before="7"/>
        <w:rPr>
          <w:sz w:val="27"/>
        </w:rPr>
      </w:pPr>
    </w:p>
    <w:p w:rsidR="00F95F8B" w:rsidRDefault="00860DB1">
      <w:pPr>
        <w:pStyle w:val="Textoindependiente"/>
        <w:spacing w:line="276" w:lineRule="auto"/>
        <w:ind w:left="102" w:right="116" w:firstLine="707"/>
        <w:jc w:val="both"/>
      </w:pPr>
      <w:r>
        <w:t>Este proyecto tuvo por idea matriz el reformar la Ley N°20.084, que establece un sistema de re</w:t>
      </w:r>
      <w:r>
        <w:t>sponsabilidad de los adolescentes por infracciones de la ley penal, con el objeto de disponer una reacción penal más drástica en materia de crímenes graves que puedan ser cometidos por personas menores de 18 años.</w:t>
      </w:r>
    </w:p>
    <w:p w:rsidR="00F95F8B" w:rsidRDefault="00F95F8B">
      <w:pPr>
        <w:pStyle w:val="Textoindependiente"/>
        <w:spacing w:before="7"/>
        <w:rPr>
          <w:sz w:val="27"/>
        </w:rPr>
      </w:pPr>
    </w:p>
    <w:p w:rsidR="00F95F8B" w:rsidRDefault="00860DB1">
      <w:pPr>
        <w:pStyle w:val="Textoindependiente"/>
        <w:spacing w:before="1" w:line="276" w:lineRule="auto"/>
        <w:ind w:left="102" w:right="115" w:firstLine="707"/>
        <w:jc w:val="both"/>
      </w:pPr>
      <w:r>
        <w:t>En el transcurso de la presentación de di</w:t>
      </w:r>
      <w:r>
        <w:t xml:space="preserve">cha iniciativa y la fecha actual, más específicamente el día 12 de enero de 2023, fue publicada la ley N°21.527, que crea el nuevo Sistema de Reinserción Social Juvenil, la que modifica sustancialmente la mencionada Ley N°20.084, por lo que, en una medida </w:t>
      </w:r>
      <w:r>
        <w:t>no menos importante, los cambios promovidos con la presentación de la iniciativa deben acoplarse a dicha modificación que ya hizo varias la ley.</w:t>
      </w:r>
    </w:p>
    <w:p w:rsidR="00F95F8B" w:rsidRDefault="00F95F8B">
      <w:pPr>
        <w:pStyle w:val="Textoindependiente"/>
        <w:spacing w:before="7"/>
        <w:rPr>
          <w:sz w:val="27"/>
        </w:rPr>
      </w:pPr>
    </w:p>
    <w:p w:rsidR="00F95F8B" w:rsidRDefault="00860DB1">
      <w:pPr>
        <w:pStyle w:val="Textoindependiente"/>
        <w:spacing w:line="276" w:lineRule="auto"/>
        <w:ind w:left="102" w:right="116" w:firstLine="707"/>
        <w:jc w:val="both"/>
      </w:pPr>
      <w:r>
        <w:t xml:space="preserve">En dicho sentido, se citan en esta modificación fundamentos de mérito, para proponer así una nueva versión de </w:t>
      </w:r>
      <w:r>
        <w:t>dicha iniciativa que sea compatible con los cambios ya hechos en la Ley N°20.084:</w:t>
      </w:r>
    </w:p>
    <w:p w:rsidR="00F95F8B" w:rsidRDefault="00F95F8B">
      <w:pPr>
        <w:pStyle w:val="Textoindependiente"/>
        <w:spacing w:before="7"/>
        <w:rPr>
          <w:sz w:val="27"/>
        </w:rPr>
      </w:pPr>
    </w:p>
    <w:p w:rsidR="00F95F8B" w:rsidRDefault="00860DB1">
      <w:pPr>
        <w:pStyle w:val="Prrafodelista"/>
        <w:numPr>
          <w:ilvl w:val="0"/>
          <w:numId w:val="3"/>
        </w:numPr>
        <w:tabs>
          <w:tab w:val="left" w:pos="1518"/>
        </w:tabs>
        <w:spacing w:before="1" w:line="276" w:lineRule="auto"/>
        <w:ind w:right="118" w:firstLine="707"/>
        <w:rPr>
          <w:sz w:val="24"/>
        </w:rPr>
      </w:pPr>
      <w:r>
        <w:rPr>
          <w:sz w:val="24"/>
        </w:rPr>
        <w:t>Respecto a las estadísticas oficiales de Delitos de Mayor Connotación Social (DMCS), creada en base a los hechos delictivos informados por Carabineros y la Policía de Investigaciones de Chile al Ministerio</w:t>
      </w:r>
      <w:r>
        <w:rPr>
          <w:spacing w:val="80"/>
          <w:sz w:val="24"/>
        </w:rPr>
        <w:t xml:space="preserve"> </w:t>
      </w:r>
      <w:r>
        <w:rPr>
          <w:sz w:val="24"/>
        </w:rPr>
        <w:t>del</w:t>
      </w:r>
      <w:r>
        <w:rPr>
          <w:spacing w:val="80"/>
          <w:sz w:val="24"/>
        </w:rPr>
        <w:t xml:space="preserve"> </w:t>
      </w:r>
      <w:r>
        <w:rPr>
          <w:sz w:val="24"/>
        </w:rPr>
        <w:t>Interior</w:t>
      </w:r>
      <w:r>
        <w:rPr>
          <w:spacing w:val="80"/>
          <w:sz w:val="24"/>
        </w:rPr>
        <w:t xml:space="preserve"> </w:t>
      </w:r>
      <w:r>
        <w:rPr>
          <w:sz w:val="24"/>
        </w:rPr>
        <w:t>y</w:t>
      </w:r>
      <w:r>
        <w:rPr>
          <w:spacing w:val="80"/>
          <w:sz w:val="24"/>
        </w:rPr>
        <w:t xml:space="preserve"> </w:t>
      </w:r>
      <w:r>
        <w:rPr>
          <w:sz w:val="24"/>
        </w:rPr>
        <w:t>Seguridad</w:t>
      </w:r>
      <w:r>
        <w:rPr>
          <w:spacing w:val="80"/>
          <w:sz w:val="24"/>
        </w:rPr>
        <w:t xml:space="preserve"> </w:t>
      </w:r>
      <w:r>
        <w:rPr>
          <w:sz w:val="24"/>
        </w:rPr>
        <w:t>Pública,</w:t>
      </w:r>
      <w:r>
        <w:rPr>
          <w:spacing w:val="80"/>
          <w:sz w:val="24"/>
        </w:rPr>
        <w:t xml:space="preserve"> </w:t>
      </w:r>
      <w:r>
        <w:rPr>
          <w:sz w:val="24"/>
        </w:rPr>
        <w:t>podemos</w:t>
      </w:r>
      <w:r>
        <w:rPr>
          <w:spacing w:val="80"/>
          <w:sz w:val="24"/>
        </w:rPr>
        <w:t xml:space="preserve"> </w:t>
      </w:r>
      <w:r>
        <w:rPr>
          <w:sz w:val="24"/>
        </w:rPr>
        <w:t>observar</w:t>
      </w:r>
      <w:r>
        <w:rPr>
          <w:spacing w:val="80"/>
          <w:sz w:val="24"/>
        </w:rPr>
        <w:t xml:space="preserve"> </w:t>
      </w:r>
      <w:r>
        <w:rPr>
          <w:sz w:val="24"/>
        </w:rPr>
        <w:t>que</w:t>
      </w:r>
      <w:r>
        <w:rPr>
          <w:spacing w:val="80"/>
          <w:sz w:val="24"/>
        </w:rPr>
        <w:t xml:space="preserve"> </w:t>
      </w:r>
      <w:r>
        <w:rPr>
          <w:sz w:val="24"/>
        </w:rPr>
        <w:t>el</w:t>
      </w:r>
    </w:p>
    <w:p w:rsidR="00F95F8B" w:rsidRDefault="00F95F8B">
      <w:pPr>
        <w:spacing w:line="276" w:lineRule="auto"/>
        <w:jc w:val="both"/>
        <w:rPr>
          <w:sz w:val="24"/>
        </w:rPr>
        <w:sectPr w:rsidR="00F95F8B">
          <w:type w:val="continuous"/>
          <w:pgSz w:w="12240" w:h="15840"/>
          <w:pgMar w:top="1340" w:right="1580" w:bottom="280" w:left="1600" w:header="720" w:footer="720" w:gutter="0"/>
          <w:cols w:space="720"/>
        </w:sectPr>
      </w:pPr>
    </w:p>
    <w:p w:rsidR="00F95F8B" w:rsidRDefault="00860DB1">
      <w:pPr>
        <w:pStyle w:val="Textoindependiente"/>
        <w:spacing w:before="73" w:line="276" w:lineRule="auto"/>
        <w:ind w:left="102" w:right="115"/>
        <w:jc w:val="both"/>
      </w:pPr>
      <w:r>
        <w:lastRenderedPageBreak/>
        <w:t>porcentaje de participación de delitos en</w:t>
      </w:r>
      <w:r>
        <w:rPr>
          <w:spacing w:val="-1"/>
        </w:rPr>
        <w:t xml:space="preserve"> </w:t>
      </w:r>
      <w:r>
        <w:t>estos de menores de</w:t>
      </w:r>
      <w:r>
        <w:rPr>
          <w:spacing w:val="-1"/>
        </w:rPr>
        <w:t xml:space="preserve"> </w:t>
      </w:r>
      <w:r>
        <w:t>edad alcanza un 9,6% del total.</w:t>
      </w:r>
    </w:p>
    <w:p w:rsidR="00F95F8B" w:rsidRDefault="00F95F8B">
      <w:pPr>
        <w:pStyle w:val="Textoindependiente"/>
        <w:spacing w:before="7"/>
        <w:rPr>
          <w:sz w:val="27"/>
        </w:rPr>
      </w:pPr>
    </w:p>
    <w:p w:rsidR="00F95F8B" w:rsidRDefault="00860DB1">
      <w:pPr>
        <w:pStyle w:val="Prrafodelista"/>
        <w:numPr>
          <w:ilvl w:val="0"/>
          <w:numId w:val="2"/>
        </w:numPr>
        <w:tabs>
          <w:tab w:val="left" w:pos="810"/>
        </w:tabs>
        <w:spacing w:line="276" w:lineRule="auto"/>
        <w:ind w:right="118" w:firstLine="0"/>
        <w:rPr>
          <w:sz w:val="24"/>
        </w:rPr>
      </w:pPr>
      <w:r>
        <w:rPr>
          <w:sz w:val="24"/>
        </w:rPr>
        <w:t>Desde la perspectiva de la concentración territorial de estos casos, las cifras arrojadas por el Centro de Estudios y Análisis del Delito (CEAD), evidencian que estos se encuentran concentrados principalmente en la Región Metropolitana, seguida por la Regi</w:t>
      </w:r>
      <w:r>
        <w:rPr>
          <w:sz w:val="24"/>
        </w:rPr>
        <w:t>ón de Valparaíso y el Biobío en tercer lugar.</w:t>
      </w:r>
    </w:p>
    <w:p w:rsidR="00F95F8B" w:rsidRDefault="00F95F8B">
      <w:pPr>
        <w:pStyle w:val="Textoindependiente"/>
        <w:spacing w:before="7"/>
        <w:rPr>
          <w:sz w:val="27"/>
        </w:rPr>
      </w:pPr>
    </w:p>
    <w:p w:rsidR="00F95F8B" w:rsidRDefault="00860DB1">
      <w:pPr>
        <w:pStyle w:val="Prrafodelista"/>
        <w:numPr>
          <w:ilvl w:val="0"/>
          <w:numId w:val="2"/>
        </w:numPr>
        <w:tabs>
          <w:tab w:val="left" w:pos="810"/>
        </w:tabs>
        <w:spacing w:line="276" w:lineRule="auto"/>
        <w:ind w:right="115" w:firstLine="0"/>
        <w:rPr>
          <w:sz w:val="24"/>
        </w:rPr>
      </w:pPr>
      <w:r>
        <w:rPr>
          <w:sz w:val="24"/>
        </w:rPr>
        <w:t xml:space="preserve">Para el caso particular de la comisión de delitos violentos perpetrados por menores de edad, principalmente contra vehículos en movimiento (encerronas, portonazos y abordazos), en la actualidad -las </w:t>
      </w:r>
      <w:r>
        <w:rPr>
          <w:spacing w:val="-2"/>
          <w:sz w:val="24"/>
        </w:rPr>
        <w:t>cifras</w:t>
      </w:r>
    </w:p>
    <w:p w:rsidR="00F95F8B" w:rsidRDefault="00F95F8B">
      <w:pPr>
        <w:pStyle w:val="Textoindependiente"/>
        <w:spacing w:before="8"/>
        <w:rPr>
          <w:sz w:val="27"/>
        </w:rPr>
      </w:pPr>
    </w:p>
    <w:p w:rsidR="00F95F8B" w:rsidRDefault="00860DB1">
      <w:pPr>
        <w:pStyle w:val="Textoindependiente"/>
        <w:spacing w:line="276" w:lineRule="auto"/>
        <w:ind w:left="102" w:right="115"/>
        <w:jc w:val="both"/>
      </w:pPr>
      <w:r>
        <w:t>fl</w:t>
      </w:r>
      <w:r>
        <w:t>uctúan según el mecanismo de medición que se elija-, la participación de menores de edad en este tipo de delitos fluctúa entre un tercio y la mitad de los hechos denunciados bajo la categoría de robo de vehículo. De acuerdo con la información entregada por</w:t>
      </w:r>
      <w:r>
        <w:t xml:space="preserve"> Carabineros de Chile, el 46% de los detenidos en este tipo de delitos son menores de edad. En tanto, si consideramos la información disponible de la Fiscalía Metropolitana Occidente, de los 113 casos, un 34% eran protagonizados por menores de edad. Dicha </w:t>
      </w:r>
      <w:r>
        <w:t>cifra sube sustantivamente en la Fiscalía Metropolitana Sur, donde un 50% de los imputados durante este año fue menor de edad.</w:t>
      </w:r>
    </w:p>
    <w:p w:rsidR="00F95F8B" w:rsidRDefault="00F95F8B">
      <w:pPr>
        <w:pStyle w:val="Textoindependiente"/>
        <w:spacing w:before="8"/>
        <w:rPr>
          <w:sz w:val="27"/>
        </w:rPr>
      </w:pPr>
    </w:p>
    <w:p w:rsidR="00F95F8B" w:rsidRDefault="00860DB1">
      <w:pPr>
        <w:pStyle w:val="Prrafodelista"/>
        <w:numPr>
          <w:ilvl w:val="0"/>
          <w:numId w:val="2"/>
        </w:numPr>
        <w:tabs>
          <w:tab w:val="left" w:pos="810"/>
        </w:tabs>
        <w:spacing w:line="276" w:lineRule="auto"/>
        <w:ind w:right="116" w:firstLine="0"/>
        <w:rPr>
          <w:sz w:val="24"/>
        </w:rPr>
      </w:pPr>
      <w:r>
        <w:rPr>
          <w:sz w:val="24"/>
        </w:rPr>
        <w:t>Respecto de las denuncias presentadas ante el Ministerio Público, se debe establecer que ha existido una tendencia al alza en lo</w:t>
      </w:r>
      <w:r>
        <w:rPr>
          <w:sz w:val="24"/>
        </w:rPr>
        <w:t>s últimos años en torno al 6,82% promedio respecto de delitos cometidos por menores de edad. Igualmente, y estrechamente relacionado con lo anterior, se evidencia un alza del 7,13% de denuncias entre enero a junio del 2022 e igual periodo del año 2021.</w:t>
      </w:r>
    </w:p>
    <w:p w:rsidR="00F95F8B" w:rsidRDefault="00F95F8B">
      <w:pPr>
        <w:pStyle w:val="Textoindependiente"/>
        <w:spacing w:before="7"/>
        <w:rPr>
          <w:sz w:val="27"/>
        </w:rPr>
      </w:pPr>
    </w:p>
    <w:p w:rsidR="00F95F8B" w:rsidRDefault="00860DB1">
      <w:pPr>
        <w:pStyle w:val="Prrafodelista"/>
        <w:numPr>
          <w:ilvl w:val="0"/>
          <w:numId w:val="2"/>
        </w:numPr>
        <w:tabs>
          <w:tab w:val="left" w:pos="810"/>
        </w:tabs>
        <w:spacing w:line="276" w:lineRule="auto"/>
        <w:ind w:right="118" w:firstLine="0"/>
        <w:rPr>
          <w:sz w:val="24"/>
        </w:rPr>
      </w:pPr>
      <w:r>
        <w:rPr>
          <w:sz w:val="24"/>
        </w:rPr>
        <w:t>De</w:t>
      </w:r>
      <w:r>
        <w:rPr>
          <w:sz w:val="24"/>
        </w:rPr>
        <w:t xml:space="preserve"> igual manera, sorprende el aumento que ha existido en torno al delito de lesiones en un 110,89% o de los delitos sexuales que aumentan un 97,06%, respecto del año 2021. Pero quizás una de las cifras más preocupantes es la del delito de homicidio que aumen</w:t>
      </w:r>
      <w:r>
        <w:rPr>
          <w:sz w:val="24"/>
        </w:rPr>
        <w:t xml:space="preserve">tó un 61,54% respecto de igual periodo del año 2021. Y si bien las estadísticas deben concentrar nuestra preocupación, quizás una de las cuestiones más alarmantes son los grados de violencia que se han visto en el accionar delictual de adolescentes que no </w:t>
      </w:r>
      <w:r>
        <w:rPr>
          <w:sz w:val="24"/>
        </w:rPr>
        <w:t>trepidan en usar armas o incluso matar para consumar sus fines delictivos.</w:t>
      </w:r>
    </w:p>
    <w:p w:rsidR="00F95F8B" w:rsidRDefault="00F95F8B">
      <w:pPr>
        <w:spacing w:line="276" w:lineRule="auto"/>
        <w:jc w:val="both"/>
        <w:rPr>
          <w:sz w:val="24"/>
        </w:rPr>
        <w:sectPr w:rsidR="00F95F8B">
          <w:pgSz w:w="12240" w:h="15840"/>
          <w:pgMar w:top="1340" w:right="1580" w:bottom="280" w:left="1600" w:header="720" w:footer="720" w:gutter="0"/>
          <w:cols w:space="720"/>
        </w:sectPr>
      </w:pPr>
    </w:p>
    <w:p w:rsidR="00F95F8B" w:rsidRDefault="00860DB1">
      <w:pPr>
        <w:pStyle w:val="Prrafodelista"/>
        <w:numPr>
          <w:ilvl w:val="0"/>
          <w:numId w:val="2"/>
        </w:numPr>
        <w:tabs>
          <w:tab w:val="left" w:pos="810"/>
        </w:tabs>
        <w:spacing w:before="77" w:line="276" w:lineRule="auto"/>
        <w:ind w:right="115" w:firstLine="0"/>
        <w:rPr>
          <w:sz w:val="24"/>
        </w:rPr>
      </w:pPr>
      <w:r>
        <w:rPr>
          <w:sz w:val="24"/>
        </w:rPr>
        <w:lastRenderedPageBreak/>
        <w:t>Si tenemos a la vista los datos del Boletín Estadístico del primer semestre (enero-junio) de los años 2020, 2021 y 2022 del Ministerio Público, se puede inferir que, si bien la participación de menores de edad en delitos menos graves bajó, en los delitos v</w:t>
      </w:r>
      <w:r>
        <w:rPr>
          <w:sz w:val="24"/>
        </w:rPr>
        <w:t>iolentos o con uso de armas las cifras van al alza, observándose no solo un recrudecimiento de los métodos violentos sino también un perfeccionamiento de las técnicas delictuales y de los medios utilizados.</w:t>
      </w:r>
    </w:p>
    <w:p w:rsidR="00F95F8B" w:rsidRDefault="00F95F8B">
      <w:pPr>
        <w:pStyle w:val="Textoindependiente"/>
        <w:spacing w:before="7"/>
        <w:rPr>
          <w:sz w:val="27"/>
        </w:rPr>
      </w:pPr>
    </w:p>
    <w:p w:rsidR="00F95F8B" w:rsidRDefault="00860DB1">
      <w:pPr>
        <w:pStyle w:val="Prrafodelista"/>
        <w:numPr>
          <w:ilvl w:val="0"/>
          <w:numId w:val="2"/>
        </w:numPr>
        <w:tabs>
          <w:tab w:val="left" w:pos="810"/>
        </w:tabs>
        <w:spacing w:line="276" w:lineRule="auto"/>
        <w:ind w:right="115" w:firstLine="0"/>
        <w:rPr>
          <w:sz w:val="24"/>
        </w:rPr>
      </w:pPr>
      <w:r>
        <w:rPr>
          <w:sz w:val="24"/>
        </w:rPr>
        <w:t>Desde la perspectiva iusfundamental, la ley N° 2</w:t>
      </w:r>
      <w:r>
        <w:rPr>
          <w:sz w:val="24"/>
        </w:rPr>
        <w:t>0.084 fue celebrada como un gran avance y permitió concretar los compromisos adquiridos en el marco de la Convención sobre Derechos del Niño. Esta normativa, que entró en vigencia el 8 de junio del 2007, después de cinco años de debate parlamentario, mater</w:t>
      </w:r>
      <w:r>
        <w:rPr>
          <w:sz w:val="24"/>
        </w:rPr>
        <w:t>ializaba específicamente el mandato del artículo 40</w:t>
      </w:r>
      <w:r>
        <w:rPr>
          <w:spacing w:val="80"/>
          <w:sz w:val="24"/>
        </w:rPr>
        <w:t xml:space="preserve"> </w:t>
      </w:r>
      <w:r>
        <w:rPr>
          <w:sz w:val="24"/>
        </w:rPr>
        <w:t>de la Convención sobre Derechos del Niño. Se trata de una normativa que buscaba hacer efectiva la responsabilidad de los adolescentes con sanciones que constituyeran una intervención socioeducativa amplia</w:t>
      </w:r>
      <w:r>
        <w:rPr>
          <w:sz w:val="24"/>
        </w:rPr>
        <w:t xml:space="preserve">, orientada a la plena integración social. Pero a poco menos de dos décadas la norma ya muestra signos evidentes de fatiga desde diversas </w:t>
      </w:r>
      <w:r>
        <w:rPr>
          <w:spacing w:val="-2"/>
          <w:sz w:val="24"/>
        </w:rPr>
        <w:t>perspectivas.</w:t>
      </w:r>
    </w:p>
    <w:p w:rsidR="00F95F8B" w:rsidRDefault="00F95F8B">
      <w:pPr>
        <w:pStyle w:val="Textoindependiente"/>
        <w:spacing w:before="8"/>
        <w:rPr>
          <w:sz w:val="27"/>
        </w:rPr>
      </w:pPr>
    </w:p>
    <w:p w:rsidR="00F95F8B" w:rsidRDefault="00860DB1">
      <w:pPr>
        <w:pStyle w:val="Prrafodelista"/>
        <w:numPr>
          <w:ilvl w:val="0"/>
          <w:numId w:val="2"/>
        </w:numPr>
        <w:tabs>
          <w:tab w:val="left" w:pos="810"/>
        </w:tabs>
        <w:spacing w:line="276" w:lineRule="auto"/>
        <w:ind w:right="115" w:firstLine="0"/>
        <w:rPr>
          <w:sz w:val="24"/>
        </w:rPr>
      </w:pPr>
      <w:r>
        <w:rPr>
          <w:sz w:val="24"/>
        </w:rPr>
        <w:t>El Mensaje por el cual se Crea el Servicio Nacional de Reinserción Social Juvenil e introduce modificac</w:t>
      </w:r>
      <w:r>
        <w:rPr>
          <w:sz w:val="24"/>
        </w:rPr>
        <w:t>iones a la ley N° 20.084, sobre responsabilidad penal de adolescentes, y a otras normas que indica, que ingresó el 4 de abril del año 2017 la ex Presidenta Bachelet, que era uno</w:t>
      </w:r>
      <w:r>
        <w:rPr>
          <w:spacing w:val="40"/>
          <w:sz w:val="24"/>
        </w:rPr>
        <w:t xml:space="preserve"> </w:t>
      </w:r>
      <w:r>
        <w:rPr>
          <w:sz w:val="24"/>
        </w:rPr>
        <w:t>de los dos mensaje que se encargaba de la separación del Sename en dos órganos</w:t>
      </w:r>
      <w:r>
        <w:rPr>
          <w:sz w:val="24"/>
        </w:rPr>
        <w:t xml:space="preserve"> -uno para abordar la protección especializada y otro para hacerse cargo de la reinserción de infractores de ley- es un esfuerzo reciente por especializar la respuesta estatal frente a este fenómeno. En sus fundamentos, queda en evidencia la insuficiencia </w:t>
      </w:r>
      <w:r>
        <w:rPr>
          <w:sz w:val="24"/>
        </w:rPr>
        <w:t>del marco normativo de la ley N° 20.084:</w:t>
      </w:r>
    </w:p>
    <w:p w:rsidR="00F95F8B" w:rsidRDefault="00F95F8B">
      <w:pPr>
        <w:pStyle w:val="Textoindependiente"/>
        <w:spacing w:before="10"/>
        <w:rPr>
          <w:sz w:val="27"/>
        </w:rPr>
      </w:pPr>
    </w:p>
    <w:p w:rsidR="00F95F8B" w:rsidRDefault="00860DB1">
      <w:pPr>
        <w:spacing w:line="276" w:lineRule="auto"/>
        <w:ind w:left="102" w:right="122"/>
        <w:jc w:val="both"/>
        <w:rPr>
          <w:sz w:val="24"/>
        </w:rPr>
      </w:pPr>
      <w:r>
        <w:rPr>
          <w:sz w:val="24"/>
        </w:rPr>
        <w:t>“</w:t>
      </w:r>
      <w:r>
        <w:rPr>
          <w:i/>
          <w:sz w:val="24"/>
        </w:rPr>
        <w:t>No obstante, la</w:t>
      </w:r>
      <w:r>
        <w:rPr>
          <w:i/>
          <w:spacing w:val="-1"/>
          <w:sz w:val="24"/>
        </w:rPr>
        <w:t xml:space="preserve"> </w:t>
      </w:r>
      <w:r>
        <w:rPr>
          <w:i/>
          <w:sz w:val="24"/>
        </w:rPr>
        <w:t>ley N° 20.084 ha</w:t>
      </w:r>
      <w:r>
        <w:rPr>
          <w:i/>
          <w:spacing w:val="-1"/>
          <w:sz w:val="24"/>
        </w:rPr>
        <w:t xml:space="preserve"> </w:t>
      </w:r>
      <w:r>
        <w:rPr>
          <w:i/>
          <w:sz w:val="24"/>
        </w:rPr>
        <w:t>demostrado ser insuficiente para alcanzar los resultados esperados. El actual sistema penal de adolescentes no logra reinsertar ni se muestra eficaz en términos preventivos. No sol</w:t>
      </w:r>
      <w:r>
        <w:rPr>
          <w:i/>
          <w:sz w:val="24"/>
        </w:rPr>
        <w:t>o por cuanto refleja los problemas que enfrenta el proceso penal para aclarar o resolver los diversos casos denunciados, sino que, además, por la total ausencia de contenidos realmente disuasivos en las sanciones dispuestas</w:t>
      </w:r>
      <w:r>
        <w:rPr>
          <w:sz w:val="24"/>
        </w:rPr>
        <w:t>.”</w:t>
      </w:r>
    </w:p>
    <w:p w:rsidR="00F95F8B" w:rsidRDefault="00F95F8B">
      <w:pPr>
        <w:spacing w:line="276" w:lineRule="auto"/>
        <w:jc w:val="both"/>
        <w:rPr>
          <w:sz w:val="24"/>
        </w:rPr>
        <w:sectPr w:rsidR="00F95F8B">
          <w:pgSz w:w="12240" w:h="15840"/>
          <w:pgMar w:top="1660" w:right="1580" w:bottom="280" w:left="1600" w:header="720" w:footer="720" w:gutter="0"/>
          <w:cols w:space="720"/>
        </w:sectPr>
      </w:pPr>
    </w:p>
    <w:p w:rsidR="00F95F8B" w:rsidRDefault="00860DB1">
      <w:pPr>
        <w:pStyle w:val="Prrafodelista"/>
        <w:numPr>
          <w:ilvl w:val="0"/>
          <w:numId w:val="2"/>
        </w:numPr>
        <w:tabs>
          <w:tab w:val="left" w:pos="810"/>
        </w:tabs>
        <w:spacing w:before="73" w:line="276" w:lineRule="auto"/>
        <w:ind w:right="116" w:firstLine="0"/>
        <w:rPr>
          <w:sz w:val="24"/>
        </w:rPr>
      </w:pPr>
      <w:r>
        <w:rPr>
          <w:sz w:val="24"/>
        </w:rPr>
        <w:t xml:space="preserve">De cualquier forma, </w:t>
      </w:r>
      <w:r>
        <w:rPr>
          <w:sz w:val="24"/>
        </w:rPr>
        <w:t>las modificaciones que introduce el Mensaje antes citado, y que se encuentra próximo a su publicación en el Diario Oficial</w:t>
      </w:r>
      <w:r>
        <w:rPr>
          <w:spacing w:val="-2"/>
          <w:sz w:val="24"/>
        </w:rPr>
        <w:t xml:space="preserve"> </w:t>
      </w:r>
      <w:r>
        <w:rPr>
          <w:sz w:val="24"/>
        </w:rPr>
        <w:t>luego</w:t>
      </w:r>
      <w:r>
        <w:rPr>
          <w:spacing w:val="-2"/>
          <w:sz w:val="24"/>
        </w:rPr>
        <w:t xml:space="preserve"> </w:t>
      </w:r>
      <w:r>
        <w:rPr>
          <w:sz w:val="24"/>
        </w:rPr>
        <w:t>de</w:t>
      </w:r>
      <w:r>
        <w:rPr>
          <w:spacing w:val="-2"/>
          <w:sz w:val="24"/>
        </w:rPr>
        <w:t xml:space="preserve"> </w:t>
      </w:r>
      <w:r>
        <w:rPr>
          <w:sz w:val="24"/>
        </w:rPr>
        <w:t>ser</w:t>
      </w:r>
      <w:r>
        <w:rPr>
          <w:spacing w:val="-2"/>
          <w:sz w:val="24"/>
        </w:rPr>
        <w:t xml:space="preserve"> </w:t>
      </w:r>
      <w:r>
        <w:rPr>
          <w:sz w:val="24"/>
        </w:rPr>
        <w:t>conocido</w:t>
      </w:r>
      <w:r>
        <w:rPr>
          <w:spacing w:val="-2"/>
          <w:sz w:val="24"/>
        </w:rPr>
        <w:t xml:space="preserve"> </w:t>
      </w:r>
      <w:r>
        <w:rPr>
          <w:sz w:val="24"/>
        </w:rPr>
        <w:t>por</w:t>
      </w:r>
      <w:r>
        <w:rPr>
          <w:spacing w:val="-2"/>
          <w:sz w:val="24"/>
        </w:rPr>
        <w:t xml:space="preserve"> </w:t>
      </w:r>
      <w:r>
        <w:rPr>
          <w:sz w:val="24"/>
        </w:rPr>
        <w:t>el</w:t>
      </w:r>
      <w:r>
        <w:rPr>
          <w:spacing w:val="-2"/>
          <w:sz w:val="24"/>
        </w:rPr>
        <w:t xml:space="preserve"> </w:t>
      </w:r>
      <w:r>
        <w:rPr>
          <w:sz w:val="24"/>
        </w:rPr>
        <w:t>Tribunal</w:t>
      </w:r>
      <w:r>
        <w:rPr>
          <w:spacing w:val="-2"/>
          <w:sz w:val="24"/>
        </w:rPr>
        <w:t xml:space="preserve"> </w:t>
      </w:r>
      <w:r>
        <w:rPr>
          <w:sz w:val="24"/>
        </w:rPr>
        <w:t>Constitucional</w:t>
      </w:r>
      <w:r>
        <w:rPr>
          <w:spacing w:val="-2"/>
          <w:sz w:val="24"/>
        </w:rPr>
        <w:t xml:space="preserve"> </w:t>
      </w:r>
      <w:r>
        <w:rPr>
          <w:sz w:val="24"/>
        </w:rPr>
        <w:t>en</w:t>
      </w:r>
      <w:r>
        <w:rPr>
          <w:spacing w:val="-2"/>
          <w:sz w:val="24"/>
        </w:rPr>
        <w:t xml:space="preserve"> </w:t>
      </w:r>
      <w:r>
        <w:rPr>
          <w:sz w:val="24"/>
        </w:rPr>
        <w:t>el</w:t>
      </w:r>
      <w:r>
        <w:rPr>
          <w:spacing w:val="-2"/>
          <w:sz w:val="24"/>
        </w:rPr>
        <w:t xml:space="preserve"> </w:t>
      </w:r>
      <w:r>
        <w:rPr>
          <w:sz w:val="24"/>
        </w:rPr>
        <w:t>marco</w:t>
      </w:r>
      <w:r>
        <w:rPr>
          <w:spacing w:val="-2"/>
          <w:sz w:val="24"/>
        </w:rPr>
        <w:t xml:space="preserve"> </w:t>
      </w:r>
      <w:r>
        <w:rPr>
          <w:sz w:val="24"/>
        </w:rPr>
        <w:t>del control preventivo, aborda muchas de las inquietudes que fue alb</w:t>
      </w:r>
      <w:r>
        <w:rPr>
          <w:sz w:val="24"/>
        </w:rPr>
        <w:t>ergando la academia en la última década.</w:t>
      </w:r>
    </w:p>
    <w:p w:rsidR="00F95F8B" w:rsidRDefault="00F95F8B">
      <w:pPr>
        <w:pStyle w:val="Textoindependiente"/>
        <w:spacing w:before="7"/>
        <w:rPr>
          <w:sz w:val="27"/>
        </w:rPr>
      </w:pPr>
    </w:p>
    <w:p w:rsidR="00F95F8B" w:rsidRDefault="00860DB1">
      <w:pPr>
        <w:pStyle w:val="Prrafodelista"/>
        <w:numPr>
          <w:ilvl w:val="0"/>
          <w:numId w:val="2"/>
        </w:numPr>
        <w:tabs>
          <w:tab w:val="left" w:pos="810"/>
        </w:tabs>
        <w:spacing w:line="276" w:lineRule="auto"/>
        <w:ind w:right="117" w:firstLine="0"/>
        <w:rPr>
          <w:sz w:val="24"/>
        </w:rPr>
      </w:pPr>
      <w:r>
        <w:rPr>
          <w:sz w:val="24"/>
        </w:rPr>
        <w:t xml:space="preserve">Y si bien unos de los cimientos de la justicia penal juvenil es distinguir la intensidad de la respuesta estatal, lo cierto es que, a partir de los perfiles delictivos que evidencian muchos infractores juveniles o </w:t>
      </w:r>
      <w:r>
        <w:rPr>
          <w:sz w:val="24"/>
        </w:rPr>
        <w:t>los niveles de organización y violencia de los ilícitos perpetrados por los mismos, bien puede la sociedad aumentar el quantum de la sanción en casos</w:t>
      </w:r>
      <w:r>
        <w:rPr>
          <w:spacing w:val="-3"/>
          <w:sz w:val="24"/>
        </w:rPr>
        <w:t xml:space="preserve"> </w:t>
      </w:r>
      <w:r>
        <w:rPr>
          <w:sz w:val="24"/>
        </w:rPr>
        <w:t>de</w:t>
      </w:r>
      <w:r>
        <w:rPr>
          <w:spacing w:val="-4"/>
          <w:sz w:val="24"/>
        </w:rPr>
        <w:t xml:space="preserve"> </w:t>
      </w:r>
      <w:r>
        <w:rPr>
          <w:sz w:val="24"/>
        </w:rPr>
        <w:t>especial</w:t>
      </w:r>
      <w:r>
        <w:rPr>
          <w:spacing w:val="-3"/>
          <w:sz w:val="24"/>
        </w:rPr>
        <w:t xml:space="preserve"> </w:t>
      </w:r>
      <w:r>
        <w:rPr>
          <w:sz w:val="24"/>
        </w:rPr>
        <w:t>gravedad,</w:t>
      </w:r>
      <w:r>
        <w:rPr>
          <w:spacing w:val="-3"/>
          <w:sz w:val="24"/>
        </w:rPr>
        <w:t xml:space="preserve"> </w:t>
      </w:r>
      <w:r>
        <w:rPr>
          <w:sz w:val="24"/>
        </w:rPr>
        <w:t>siempre</w:t>
      </w:r>
      <w:r>
        <w:rPr>
          <w:spacing w:val="-3"/>
          <w:sz w:val="24"/>
        </w:rPr>
        <w:t xml:space="preserve"> </w:t>
      </w:r>
      <w:r>
        <w:rPr>
          <w:sz w:val="24"/>
        </w:rPr>
        <w:t>con</w:t>
      </w:r>
      <w:r>
        <w:rPr>
          <w:spacing w:val="-2"/>
          <w:sz w:val="24"/>
        </w:rPr>
        <w:t xml:space="preserve"> </w:t>
      </w:r>
      <w:r>
        <w:rPr>
          <w:sz w:val="24"/>
        </w:rPr>
        <w:t>un</w:t>
      </w:r>
      <w:r>
        <w:rPr>
          <w:spacing w:val="-4"/>
          <w:sz w:val="24"/>
        </w:rPr>
        <w:t xml:space="preserve"> </w:t>
      </w:r>
      <w:r>
        <w:rPr>
          <w:sz w:val="24"/>
        </w:rPr>
        <w:t>tratamiento</w:t>
      </w:r>
      <w:r>
        <w:rPr>
          <w:spacing w:val="-3"/>
          <w:sz w:val="24"/>
        </w:rPr>
        <w:t xml:space="preserve"> </w:t>
      </w:r>
      <w:r>
        <w:rPr>
          <w:sz w:val="24"/>
        </w:rPr>
        <w:t>diferenciado</w:t>
      </w:r>
      <w:r>
        <w:rPr>
          <w:spacing w:val="-3"/>
          <w:sz w:val="24"/>
        </w:rPr>
        <w:t xml:space="preserve"> </w:t>
      </w:r>
      <w:r>
        <w:rPr>
          <w:sz w:val="24"/>
        </w:rPr>
        <w:t>de</w:t>
      </w:r>
      <w:r>
        <w:rPr>
          <w:spacing w:val="-4"/>
          <w:sz w:val="24"/>
        </w:rPr>
        <w:t xml:space="preserve"> </w:t>
      </w:r>
      <w:r>
        <w:rPr>
          <w:sz w:val="24"/>
        </w:rPr>
        <w:t xml:space="preserve">los </w:t>
      </w:r>
      <w:r>
        <w:rPr>
          <w:spacing w:val="-2"/>
          <w:sz w:val="24"/>
        </w:rPr>
        <w:t>adultos.</w:t>
      </w:r>
    </w:p>
    <w:p w:rsidR="00F95F8B" w:rsidRDefault="00F95F8B">
      <w:pPr>
        <w:pStyle w:val="Textoindependiente"/>
        <w:spacing w:before="8"/>
        <w:rPr>
          <w:sz w:val="27"/>
        </w:rPr>
      </w:pPr>
    </w:p>
    <w:p w:rsidR="00F95F8B" w:rsidRDefault="00860DB1">
      <w:pPr>
        <w:pStyle w:val="Prrafodelista"/>
        <w:numPr>
          <w:ilvl w:val="0"/>
          <w:numId w:val="2"/>
        </w:numPr>
        <w:tabs>
          <w:tab w:val="left" w:pos="810"/>
        </w:tabs>
        <w:spacing w:line="276" w:lineRule="auto"/>
        <w:ind w:right="115" w:firstLine="0"/>
        <w:rPr>
          <w:sz w:val="24"/>
        </w:rPr>
      </w:pPr>
      <w:r>
        <w:rPr>
          <w:sz w:val="24"/>
        </w:rPr>
        <w:t>La presente moción busca formular una respuesta penal contundente</w:t>
      </w:r>
      <w:r>
        <w:rPr>
          <w:spacing w:val="-2"/>
          <w:sz w:val="24"/>
        </w:rPr>
        <w:t xml:space="preserve"> </w:t>
      </w:r>
      <w:r>
        <w:rPr>
          <w:sz w:val="24"/>
        </w:rPr>
        <w:t>respecto</w:t>
      </w:r>
      <w:r>
        <w:rPr>
          <w:spacing w:val="-2"/>
          <w:sz w:val="24"/>
        </w:rPr>
        <w:t xml:space="preserve"> </w:t>
      </w:r>
      <w:r>
        <w:rPr>
          <w:sz w:val="24"/>
        </w:rPr>
        <w:t>de</w:t>
      </w:r>
      <w:r>
        <w:rPr>
          <w:spacing w:val="-2"/>
          <w:sz w:val="24"/>
        </w:rPr>
        <w:t xml:space="preserve"> </w:t>
      </w:r>
      <w:r>
        <w:rPr>
          <w:sz w:val="24"/>
        </w:rPr>
        <w:t>menores</w:t>
      </w:r>
      <w:r>
        <w:rPr>
          <w:spacing w:val="-2"/>
          <w:sz w:val="24"/>
        </w:rPr>
        <w:t xml:space="preserve"> </w:t>
      </w:r>
      <w:r>
        <w:rPr>
          <w:sz w:val="24"/>
        </w:rPr>
        <w:t>infractores</w:t>
      </w:r>
      <w:r>
        <w:rPr>
          <w:spacing w:val="-2"/>
          <w:sz w:val="24"/>
        </w:rPr>
        <w:t xml:space="preserve"> </w:t>
      </w:r>
      <w:r>
        <w:rPr>
          <w:sz w:val="24"/>
        </w:rPr>
        <w:t>de</w:t>
      </w:r>
      <w:r>
        <w:rPr>
          <w:spacing w:val="-2"/>
          <w:sz w:val="24"/>
        </w:rPr>
        <w:t xml:space="preserve"> </w:t>
      </w:r>
      <w:r>
        <w:rPr>
          <w:sz w:val="24"/>
        </w:rPr>
        <w:t>ley</w:t>
      </w:r>
      <w:r>
        <w:rPr>
          <w:spacing w:val="-2"/>
          <w:sz w:val="24"/>
        </w:rPr>
        <w:t xml:space="preserve"> </w:t>
      </w:r>
      <w:r>
        <w:rPr>
          <w:sz w:val="24"/>
        </w:rPr>
        <w:t>que</w:t>
      </w:r>
      <w:r>
        <w:rPr>
          <w:spacing w:val="-2"/>
          <w:sz w:val="24"/>
        </w:rPr>
        <w:t xml:space="preserve"> </w:t>
      </w:r>
      <w:r>
        <w:rPr>
          <w:sz w:val="24"/>
        </w:rPr>
        <w:t>cometan</w:t>
      </w:r>
      <w:r>
        <w:rPr>
          <w:spacing w:val="-2"/>
          <w:sz w:val="24"/>
        </w:rPr>
        <w:t xml:space="preserve"> </w:t>
      </w:r>
      <w:r>
        <w:rPr>
          <w:sz w:val="24"/>
        </w:rPr>
        <w:t>delitos</w:t>
      </w:r>
      <w:r>
        <w:rPr>
          <w:spacing w:val="-2"/>
          <w:sz w:val="24"/>
        </w:rPr>
        <w:t xml:space="preserve"> </w:t>
      </w:r>
      <w:r>
        <w:rPr>
          <w:sz w:val="24"/>
        </w:rPr>
        <w:t>de especial gravedad como el homicidio, el secuestro, la tortura y otros que reciben pena de presidio o reclusión perpetua o presid</w:t>
      </w:r>
      <w:r>
        <w:rPr>
          <w:sz w:val="24"/>
        </w:rPr>
        <w:t>io perpetuo</w:t>
      </w:r>
      <w:r>
        <w:rPr>
          <w:spacing w:val="40"/>
          <w:sz w:val="24"/>
        </w:rPr>
        <w:t xml:space="preserve"> </w:t>
      </w:r>
      <w:r>
        <w:rPr>
          <w:sz w:val="24"/>
        </w:rPr>
        <w:t>calificado como, por ejemplo, de violación con homicidio, el secuestro con homicidio o el homicidio de miembros de las policías o de Gendarmería de Chile en ejercicio de sus funciones, entre otros. Esta respuesta agravada tiene</w:t>
      </w:r>
      <w:r>
        <w:rPr>
          <w:spacing w:val="-2"/>
          <w:sz w:val="24"/>
        </w:rPr>
        <w:t xml:space="preserve"> </w:t>
      </w:r>
      <w:r>
        <w:rPr>
          <w:sz w:val="24"/>
        </w:rPr>
        <w:t>lugar</w:t>
      </w:r>
      <w:r>
        <w:rPr>
          <w:spacing w:val="-2"/>
          <w:sz w:val="24"/>
        </w:rPr>
        <w:t xml:space="preserve"> </w:t>
      </w:r>
      <w:r>
        <w:rPr>
          <w:sz w:val="24"/>
        </w:rPr>
        <w:t>particular</w:t>
      </w:r>
      <w:r>
        <w:rPr>
          <w:sz w:val="24"/>
        </w:rPr>
        <w:t>mente</w:t>
      </w:r>
      <w:r>
        <w:rPr>
          <w:spacing w:val="-2"/>
          <w:sz w:val="24"/>
        </w:rPr>
        <w:t xml:space="preserve"> </w:t>
      </w:r>
      <w:r>
        <w:rPr>
          <w:sz w:val="24"/>
        </w:rPr>
        <w:t>respecto</w:t>
      </w:r>
      <w:r>
        <w:rPr>
          <w:spacing w:val="-2"/>
          <w:sz w:val="24"/>
        </w:rPr>
        <w:t xml:space="preserve"> </w:t>
      </w:r>
      <w:r>
        <w:rPr>
          <w:sz w:val="24"/>
        </w:rPr>
        <w:t>de</w:t>
      </w:r>
      <w:r>
        <w:rPr>
          <w:spacing w:val="-5"/>
          <w:sz w:val="24"/>
        </w:rPr>
        <w:t xml:space="preserve"> </w:t>
      </w:r>
      <w:r>
        <w:rPr>
          <w:sz w:val="24"/>
        </w:rPr>
        <w:t>adolescentes</w:t>
      </w:r>
      <w:r>
        <w:rPr>
          <w:spacing w:val="-2"/>
          <w:sz w:val="24"/>
        </w:rPr>
        <w:t xml:space="preserve"> </w:t>
      </w:r>
      <w:r>
        <w:rPr>
          <w:sz w:val="24"/>
        </w:rPr>
        <w:t>mayores</w:t>
      </w:r>
      <w:r>
        <w:rPr>
          <w:spacing w:val="-2"/>
          <w:sz w:val="24"/>
        </w:rPr>
        <w:t xml:space="preserve"> </w:t>
      </w:r>
      <w:r>
        <w:rPr>
          <w:sz w:val="24"/>
        </w:rPr>
        <w:t>de</w:t>
      </w:r>
      <w:r>
        <w:rPr>
          <w:spacing w:val="-2"/>
          <w:sz w:val="24"/>
        </w:rPr>
        <w:t xml:space="preserve"> </w:t>
      </w:r>
      <w:r>
        <w:rPr>
          <w:sz w:val="24"/>
        </w:rPr>
        <w:t>16</w:t>
      </w:r>
      <w:r>
        <w:rPr>
          <w:spacing w:val="-2"/>
          <w:sz w:val="24"/>
        </w:rPr>
        <w:t xml:space="preserve"> </w:t>
      </w:r>
      <w:r>
        <w:rPr>
          <w:sz w:val="24"/>
        </w:rPr>
        <w:t>años</w:t>
      </w:r>
      <w:r>
        <w:rPr>
          <w:spacing w:val="-4"/>
          <w:sz w:val="24"/>
        </w:rPr>
        <w:t xml:space="preserve"> </w:t>
      </w:r>
      <w:r>
        <w:rPr>
          <w:sz w:val="24"/>
        </w:rPr>
        <w:t>y considera, no solamente la gravedad de los delitos, sino también la reincidencia respecto de conductas de similar gravedad.</w:t>
      </w:r>
    </w:p>
    <w:p w:rsidR="00F95F8B" w:rsidRDefault="00F95F8B">
      <w:pPr>
        <w:pStyle w:val="Textoindependiente"/>
        <w:spacing w:before="8"/>
        <w:rPr>
          <w:sz w:val="27"/>
        </w:rPr>
      </w:pPr>
    </w:p>
    <w:p w:rsidR="00F95F8B" w:rsidRDefault="00860DB1">
      <w:pPr>
        <w:pStyle w:val="Textoindependiente"/>
        <w:spacing w:line="276" w:lineRule="auto"/>
        <w:ind w:left="102" w:right="116"/>
        <w:jc w:val="both"/>
      </w:pPr>
      <w:r>
        <w:t xml:space="preserve">Asimismo, respecto del catálogo de crímenes graves al que nos referimos precedentemente, se proponen reglas especiales en materia de los efectos del recurso de apelación respecto de medidas cautelares, con el objeto de que aquellos menores infractores que </w:t>
      </w:r>
      <w:r>
        <w:t>se encuentran en internación provisoria permanezcan internados mientras no se resuelva la suerte de</w:t>
      </w:r>
      <w:r>
        <w:rPr>
          <w:spacing w:val="40"/>
        </w:rPr>
        <w:t xml:space="preserve"> </w:t>
      </w:r>
      <w:r>
        <w:t>los recursos deducidos.</w:t>
      </w:r>
    </w:p>
    <w:p w:rsidR="00F95F8B" w:rsidRDefault="00F95F8B">
      <w:pPr>
        <w:pStyle w:val="Textoindependiente"/>
        <w:spacing w:before="7"/>
        <w:rPr>
          <w:sz w:val="27"/>
        </w:rPr>
      </w:pPr>
    </w:p>
    <w:p w:rsidR="00F95F8B" w:rsidRDefault="00860DB1">
      <w:pPr>
        <w:pStyle w:val="Textoindependiente"/>
        <w:spacing w:line="276" w:lineRule="auto"/>
        <w:ind w:left="102" w:right="115"/>
        <w:jc w:val="both"/>
      </w:pPr>
      <w:r>
        <w:t>En la misma línea avanzan las modificaciones que se introducen a la regulación del quebrantamiento, particularmente de sanciones en</w:t>
      </w:r>
      <w:r>
        <w:t xml:space="preserve"> régimen cerrado -por tanto, aquellas por infracciones de especial gravedad-, disponiéndose el cumplimiento de un período idéntico luego de culminado el término de la condena originalmente impuesta. De cualquier manera, dicha internación no puede superar e</w:t>
      </w:r>
      <w:r>
        <w:t>l año, cualquiera fuere el tiempo que duro el quebrantamiento.</w:t>
      </w:r>
    </w:p>
    <w:p w:rsidR="00F95F8B" w:rsidRDefault="00F95F8B">
      <w:pPr>
        <w:spacing w:line="276" w:lineRule="auto"/>
        <w:jc w:val="both"/>
        <w:sectPr w:rsidR="00F95F8B">
          <w:pgSz w:w="12240" w:h="15840"/>
          <w:pgMar w:top="1340" w:right="1580" w:bottom="280" w:left="1600" w:header="720" w:footer="720" w:gutter="0"/>
          <w:cols w:space="720"/>
        </w:sectPr>
      </w:pPr>
    </w:p>
    <w:p w:rsidR="00F95F8B" w:rsidRDefault="00860DB1">
      <w:pPr>
        <w:pStyle w:val="Textoindependiente"/>
        <w:spacing w:before="73" w:line="276" w:lineRule="auto"/>
        <w:ind w:left="102" w:right="117" w:firstLine="707"/>
        <w:jc w:val="both"/>
      </w:pPr>
      <w:r>
        <w:t>En función de lo expuesto y de los antecedentes del Boletín N°15.589-07 citado, los diputados y diputadas que suscriben venimos en proponer el siguiente:</w:t>
      </w:r>
    </w:p>
    <w:p w:rsidR="00F95F8B" w:rsidRDefault="00F95F8B">
      <w:pPr>
        <w:pStyle w:val="Textoindependiente"/>
        <w:spacing w:before="7"/>
        <w:rPr>
          <w:sz w:val="27"/>
        </w:rPr>
      </w:pPr>
    </w:p>
    <w:p w:rsidR="00F95F8B" w:rsidRDefault="00860DB1">
      <w:pPr>
        <w:pStyle w:val="Textoindependiente"/>
        <w:tabs>
          <w:tab w:val="left" w:pos="2231"/>
          <w:tab w:val="left" w:pos="2918"/>
        </w:tabs>
        <w:ind w:right="15"/>
        <w:jc w:val="center"/>
        <w:rPr>
          <w:b/>
        </w:rPr>
      </w:pPr>
      <w:r>
        <w:rPr>
          <w:b/>
        </w:rPr>
        <w:t>P</w:t>
      </w:r>
      <w:r>
        <w:rPr>
          <w:b/>
          <w:spacing w:val="-1"/>
        </w:rPr>
        <w:t xml:space="preserve"> </w:t>
      </w:r>
      <w:r>
        <w:rPr>
          <w:b/>
        </w:rPr>
        <w:t>R O Y</w:t>
      </w:r>
      <w:r>
        <w:rPr>
          <w:b/>
          <w:spacing w:val="-1"/>
        </w:rPr>
        <w:t xml:space="preserve"> </w:t>
      </w:r>
      <w:r>
        <w:rPr>
          <w:b/>
        </w:rPr>
        <w:t>E</w:t>
      </w:r>
      <w:r>
        <w:rPr>
          <w:b/>
          <w:spacing w:val="-1"/>
        </w:rPr>
        <w:t xml:space="preserve"> </w:t>
      </w:r>
      <w:r>
        <w:rPr>
          <w:b/>
        </w:rPr>
        <w:t>C T</w:t>
      </w:r>
      <w:r>
        <w:rPr>
          <w:b/>
          <w:spacing w:val="-1"/>
        </w:rPr>
        <w:t xml:space="preserve"> </w:t>
      </w:r>
      <w:r>
        <w:rPr>
          <w:b/>
          <w:spacing w:val="-10"/>
        </w:rPr>
        <w:t>O</w:t>
      </w:r>
      <w:r>
        <w:rPr>
          <w:b/>
        </w:rPr>
        <w:tab/>
        <w:t xml:space="preserve">D </w:t>
      </w:r>
      <w:r>
        <w:rPr>
          <w:b/>
          <w:spacing w:val="-10"/>
        </w:rPr>
        <w:t>E</w:t>
      </w:r>
      <w:r>
        <w:rPr>
          <w:b/>
        </w:rPr>
        <w:tab/>
        <w:t>L</w:t>
      </w:r>
      <w:r>
        <w:rPr>
          <w:b/>
          <w:spacing w:val="-3"/>
        </w:rPr>
        <w:t xml:space="preserve"> </w:t>
      </w:r>
      <w:r>
        <w:rPr>
          <w:b/>
        </w:rPr>
        <w:t>E</w:t>
      </w:r>
      <w:r>
        <w:rPr>
          <w:b/>
          <w:spacing w:val="-1"/>
        </w:rPr>
        <w:t xml:space="preserve"> </w:t>
      </w:r>
      <w:r>
        <w:rPr>
          <w:b/>
          <w:spacing w:val="-10"/>
        </w:rPr>
        <w:t>Y</w:t>
      </w:r>
    </w:p>
    <w:p w:rsidR="00F95F8B" w:rsidRDefault="00F95F8B">
      <w:pPr>
        <w:pStyle w:val="Textoindependiente"/>
        <w:spacing w:before="2"/>
        <w:rPr>
          <w:b/>
          <w:sz w:val="31"/>
        </w:rPr>
      </w:pPr>
    </w:p>
    <w:p w:rsidR="00F95F8B" w:rsidRDefault="00860DB1">
      <w:pPr>
        <w:pStyle w:val="Textoindependiente"/>
        <w:spacing w:before="1" w:line="276" w:lineRule="auto"/>
        <w:ind w:left="102" w:right="119"/>
        <w:jc w:val="both"/>
      </w:pPr>
      <w:r>
        <w:t>Artículo</w:t>
      </w:r>
      <w:r>
        <w:rPr>
          <w:spacing w:val="-1"/>
        </w:rPr>
        <w:t xml:space="preserve"> </w:t>
      </w:r>
      <w:r>
        <w:t>Único.</w:t>
      </w:r>
      <w:r>
        <w:rPr>
          <w:spacing w:val="-1"/>
        </w:rPr>
        <w:t xml:space="preserve"> </w:t>
      </w:r>
      <w:r>
        <w:t>- Introdúcense</w:t>
      </w:r>
      <w:r>
        <w:rPr>
          <w:spacing w:val="-1"/>
        </w:rPr>
        <w:t xml:space="preserve"> </w:t>
      </w:r>
      <w:r>
        <w:t>a</w:t>
      </w:r>
      <w:r>
        <w:rPr>
          <w:spacing w:val="-1"/>
        </w:rPr>
        <w:t xml:space="preserve"> </w:t>
      </w:r>
      <w:r>
        <w:t>la</w:t>
      </w:r>
      <w:r>
        <w:rPr>
          <w:spacing w:val="-1"/>
        </w:rPr>
        <w:t xml:space="preserve"> </w:t>
      </w:r>
      <w:r>
        <w:t>Ley</w:t>
      </w:r>
      <w:r>
        <w:rPr>
          <w:spacing w:val="-1"/>
        </w:rPr>
        <w:t xml:space="preserve"> </w:t>
      </w:r>
      <w:r>
        <w:t>N°20.084,</w:t>
      </w:r>
      <w:r>
        <w:rPr>
          <w:spacing w:val="-1"/>
        </w:rPr>
        <w:t xml:space="preserve"> </w:t>
      </w:r>
      <w:r>
        <w:t>que</w:t>
      </w:r>
      <w:r>
        <w:rPr>
          <w:spacing w:val="-1"/>
        </w:rPr>
        <w:t xml:space="preserve"> </w:t>
      </w:r>
      <w:r>
        <w:t>establece</w:t>
      </w:r>
      <w:r>
        <w:rPr>
          <w:spacing w:val="-1"/>
        </w:rPr>
        <w:t xml:space="preserve"> </w:t>
      </w:r>
      <w:r>
        <w:t>un</w:t>
      </w:r>
      <w:r>
        <w:rPr>
          <w:spacing w:val="-1"/>
        </w:rPr>
        <w:t xml:space="preserve"> </w:t>
      </w:r>
      <w:r>
        <w:t>sistema de responsabilidad de los adolescentes por infracciones a la ley penal, las siguientes modificaciones:</w:t>
      </w:r>
    </w:p>
    <w:p w:rsidR="00F95F8B" w:rsidRDefault="00F95F8B">
      <w:pPr>
        <w:pStyle w:val="Textoindependiente"/>
        <w:rPr>
          <w:sz w:val="28"/>
        </w:rPr>
      </w:pPr>
    </w:p>
    <w:p w:rsidR="00F95F8B" w:rsidRDefault="00F95F8B">
      <w:pPr>
        <w:pStyle w:val="Textoindependiente"/>
        <w:spacing w:before="2"/>
        <w:rPr>
          <w:sz w:val="27"/>
        </w:rPr>
      </w:pPr>
    </w:p>
    <w:p w:rsidR="00F95F8B" w:rsidRDefault="00860DB1">
      <w:pPr>
        <w:pStyle w:val="Prrafodelista"/>
        <w:numPr>
          <w:ilvl w:val="0"/>
          <w:numId w:val="1"/>
        </w:numPr>
        <w:tabs>
          <w:tab w:val="left" w:pos="809"/>
          <w:tab w:val="left" w:pos="810"/>
        </w:tabs>
        <w:spacing w:before="1"/>
        <w:rPr>
          <w:sz w:val="24"/>
        </w:rPr>
      </w:pPr>
      <w:r>
        <w:rPr>
          <w:sz w:val="24"/>
        </w:rPr>
        <w:t>Modificase</w:t>
      </w:r>
      <w:r>
        <w:rPr>
          <w:spacing w:val="-2"/>
          <w:sz w:val="24"/>
        </w:rPr>
        <w:t xml:space="preserve"> </w:t>
      </w:r>
      <w:r>
        <w:rPr>
          <w:sz w:val="24"/>
        </w:rPr>
        <w:t>el</w:t>
      </w:r>
      <w:r>
        <w:rPr>
          <w:spacing w:val="-1"/>
          <w:sz w:val="24"/>
        </w:rPr>
        <w:t xml:space="preserve"> </w:t>
      </w:r>
      <w:r>
        <w:rPr>
          <w:sz w:val="24"/>
        </w:rPr>
        <w:t>artículo</w:t>
      </w:r>
      <w:r>
        <w:rPr>
          <w:spacing w:val="-1"/>
          <w:sz w:val="24"/>
        </w:rPr>
        <w:t xml:space="preserve"> </w:t>
      </w:r>
      <w:r>
        <w:rPr>
          <w:sz w:val="24"/>
        </w:rPr>
        <w:t>18</w:t>
      </w:r>
      <w:r>
        <w:rPr>
          <w:spacing w:val="-3"/>
          <w:sz w:val="24"/>
        </w:rPr>
        <w:t xml:space="preserve"> </w:t>
      </w:r>
      <w:r>
        <w:rPr>
          <w:sz w:val="24"/>
        </w:rPr>
        <w:t>de</w:t>
      </w:r>
      <w:r>
        <w:rPr>
          <w:spacing w:val="-2"/>
          <w:sz w:val="24"/>
        </w:rPr>
        <w:t xml:space="preserve"> </w:t>
      </w:r>
      <w:r>
        <w:rPr>
          <w:sz w:val="24"/>
        </w:rPr>
        <w:t>la</w:t>
      </w:r>
      <w:r>
        <w:rPr>
          <w:spacing w:val="-1"/>
          <w:sz w:val="24"/>
        </w:rPr>
        <w:t xml:space="preserve"> </w:t>
      </w:r>
      <w:r>
        <w:rPr>
          <w:sz w:val="24"/>
        </w:rPr>
        <w:t>siguiente</w:t>
      </w:r>
      <w:r>
        <w:rPr>
          <w:spacing w:val="-1"/>
          <w:sz w:val="24"/>
        </w:rPr>
        <w:t xml:space="preserve"> </w:t>
      </w:r>
      <w:r>
        <w:rPr>
          <w:spacing w:val="-2"/>
          <w:sz w:val="24"/>
        </w:rPr>
        <w:t>manera:</w:t>
      </w:r>
    </w:p>
    <w:p w:rsidR="00F95F8B" w:rsidRDefault="00F95F8B">
      <w:pPr>
        <w:pStyle w:val="Textoindependiente"/>
        <w:spacing w:before="2"/>
        <w:rPr>
          <w:sz w:val="31"/>
        </w:rPr>
      </w:pPr>
    </w:p>
    <w:p w:rsidR="00F95F8B" w:rsidRDefault="00860DB1">
      <w:pPr>
        <w:pStyle w:val="Prrafodelista"/>
        <w:numPr>
          <w:ilvl w:val="1"/>
          <w:numId w:val="1"/>
        </w:numPr>
        <w:tabs>
          <w:tab w:val="left" w:pos="809"/>
          <w:tab w:val="left" w:pos="810"/>
        </w:tabs>
        <w:spacing w:line="276" w:lineRule="auto"/>
        <w:ind w:right="120" w:firstLine="0"/>
        <w:rPr>
          <w:sz w:val="24"/>
        </w:rPr>
      </w:pPr>
      <w:r>
        <w:rPr>
          <w:sz w:val="24"/>
        </w:rPr>
        <w:t>Sustitúyase</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inciso</w:t>
      </w:r>
      <w:r>
        <w:rPr>
          <w:spacing w:val="40"/>
          <w:sz w:val="24"/>
        </w:rPr>
        <w:t xml:space="preserve"> </w:t>
      </w:r>
      <w:r>
        <w:rPr>
          <w:sz w:val="24"/>
        </w:rPr>
        <w:t>primero</w:t>
      </w:r>
      <w:r>
        <w:rPr>
          <w:spacing w:val="40"/>
          <w:sz w:val="24"/>
        </w:rPr>
        <w:t xml:space="preserve"> </w:t>
      </w:r>
      <w:r>
        <w:rPr>
          <w:sz w:val="24"/>
        </w:rPr>
        <w:t>la</w:t>
      </w:r>
      <w:r>
        <w:rPr>
          <w:spacing w:val="40"/>
          <w:sz w:val="24"/>
        </w:rPr>
        <w:t xml:space="preserve"> </w:t>
      </w:r>
      <w:r>
        <w:rPr>
          <w:sz w:val="24"/>
        </w:rPr>
        <w:t>palabra</w:t>
      </w:r>
      <w:r>
        <w:rPr>
          <w:spacing w:val="40"/>
          <w:sz w:val="24"/>
        </w:rPr>
        <w:t xml:space="preserve"> </w:t>
      </w:r>
      <w:r>
        <w:rPr>
          <w:sz w:val="24"/>
        </w:rPr>
        <w:t>“cinco”</w:t>
      </w:r>
      <w:r>
        <w:rPr>
          <w:spacing w:val="40"/>
          <w:sz w:val="24"/>
        </w:rPr>
        <w:t xml:space="preserve"> </w:t>
      </w:r>
      <w:r>
        <w:rPr>
          <w:sz w:val="24"/>
        </w:rPr>
        <w:t>por</w:t>
      </w:r>
      <w:r>
        <w:rPr>
          <w:spacing w:val="40"/>
          <w:sz w:val="24"/>
        </w:rPr>
        <w:t xml:space="preserve"> </w:t>
      </w:r>
      <w:r>
        <w:rPr>
          <w:sz w:val="24"/>
        </w:rPr>
        <w:t>la</w:t>
      </w:r>
      <w:r>
        <w:rPr>
          <w:spacing w:val="40"/>
          <w:sz w:val="24"/>
        </w:rPr>
        <w:t xml:space="preserve"> </w:t>
      </w:r>
      <w:r>
        <w:rPr>
          <w:sz w:val="24"/>
        </w:rPr>
        <w:t>palabra “ocho” y la palabra “diez” por la palabra “quince”.</w:t>
      </w:r>
    </w:p>
    <w:p w:rsidR="00F95F8B" w:rsidRDefault="00F95F8B">
      <w:pPr>
        <w:pStyle w:val="Textoindependiente"/>
        <w:spacing w:before="7"/>
        <w:rPr>
          <w:sz w:val="27"/>
        </w:rPr>
      </w:pPr>
    </w:p>
    <w:p w:rsidR="00F95F8B" w:rsidRDefault="00860DB1">
      <w:pPr>
        <w:pStyle w:val="Prrafodelista"/>
        <w:numPr>
          <w:ilvl w:val="1"/>
          <w:numId w:val="1"/>
        </w:numPr>
        <w:tabs>
          <w:tab w:val="left" w:pos="809"/>
          <w:tab w:val="left" w:pos="810"/>
        </w:tabs>
        <w:ind w:left="810"/>
        <w:rPr>
          <w:sz w:val="24"/>
        </w:rPr>
      </w:pPr>
      <w:r>
        <w:rPr>
          <w:sz w:val="24"/>
        </w:rPr>
        <w:t>Incorpórese</w:t>
      </w:r>
      <w:r>
        <w:rPr>
          <w:spacing w:val="-6"/>
          <w:sz w:val="24"/>
        </w:rPr>
        <w:t xml:space="preserve"> </w:t>
      </w:r>
      <w:r>
        <w:rPr>
          <w:sz w:val="24"/>
        </w:rPr>
        <w:t>el</w:t>
      </w:r>
      <w:r>
        <w:rPr>
          <w:spacing w:val="-2"/>
          <w:sz w:val="24"/>
        </w:rPr>
        <w:t xml:space="preserve"> </w:t>
      </w:r>
      <w:r>
        <w:rPr>
          <w:sz w:val="24"/>
        </w:rPr>
        <w:t>siguiente</w:t>
      </w:r>
      <w:r>
        <w:rPr>
          <w:spacing w:val="-4"/>
          <w:sz w:val="24"/>
        </w:rPr>
        <w:t xml:space="preserve"> </w:t>
      </w:r>
      <w:r>
        <w:rPr>
          <w:sz w:val="24"/>
        </w:rPr>
        <w:t>inciso</w:t>
      </w:r>
      <w:r>
        <w:rPr>
          <w:spacing w:val="-2"/>
          <w:sz w:val="24"/>
        </w:rPr>
        <w:t xml:space="preserve"> </w:t>
      </w:r>
      <w:r>
        <w:rPr>
          <w:sz w:val="24"/>
        </w:rPr>
        <w:t>final</w:t>
      </w:r>
      <w:r>
        <w:rPr>
          <w:spacing w:val="-2"/>
          <w:sz w:val="24"/>
        </w:rPr>
        <w:t xml:space="preserve"> nuevo:</w:t>
      </w:r>
    </w:p>
    <w:p w:rsidR="00F95F8B" w:rsidRDefault="00F95F8B">
      <w:pPr>
        <w:pStyle w:val="Textoindependiente"/>
        <w:rPr>
          <w:sz w:val="28"/>
        </w:rPr>
      </w:pPr>
    </w:p>
    <w:p w:rsidR="00F95F8B" w:rsidRDefault="00F95F8B">
      <w:pPr>
        <w:pStyle w:val="Textoindependiente"/>
        <w:spacing w:before="9"/>
        <w:rPr>
          <w:sz w:val="30"/>
        </w:rPr>
      </w:pPr>
    </w:p>
    <w:p w:rsidR="00F95F8B" w:rsidRDefault="00860DB1">
      <w:pPr>
        <w:pStyle w:val="Textoindependiente"/>
        <w:spacing w:before="1" w:line="276" w:lineRule="auto"/>
        <w:ind w:left="102" w:right="115"/>
        <w:jc w:val="both"/>
      </w:pPr>
      <w:r>
        <w:t>“Tratándose de los delitos previstos en los artículos 141, incisos tercero, cuarto</w:t>
      </w:r>
      <w:r>
        <w:rPr>
          <w:spacing w:val="-1"/>
        </w:rPr>
        <w:t xml:space="preserve"> </w:t>
      </w:r>
      <w:r>
        <w:t>y</w:t>
      </w:r>
      <w:r>
        <w:rPr>
          <w:spacing w:val="-1"/>
        </w:rPr>
        <w:t xml:space="preserve"> </w:t>
      </w:r>
      <w:r>
        <w:t>quinto;</w:t>
      </w:r>
      <w:r>
        <w:rPr>
          <w:spacing w:val="-1"/>
        </w:rPr>
        <w:t xml:space="preserve"> </w:t>
      </w:r>
      <w:r>
        <w:t>142,</w:t>
      </w:r>
      <w:r>
        <w:rPr>
          <w:spacing w:val="-1"/>
        </w:rPr>
        <w:t xml:space="preserve"> </w:t>
      </w:r>
      <w:r>
        <w:t>361,</w:t>
      </w:r>
      <w:r>
        <w:rPr>
          <w:spacing w:val="-1"/>
        </w:rPr>
        <w:t xml:space="preserve"> </w:t>
      </w:r>
      <w:r>
        <w:t>362,</w:t>
      </w:r>
      <w:r>
        <w:rPr>
          <w:spacing w:val="-1"/>
        </w:rPr>
        <w:t xml:space="preserve"> </w:t>
      </w:r>
      <w:r>
        <w:t>365</w:t>
      </w:r>
      <w:r>
        <w:rPr>
          <w:spacing w:val="-1"/>
        </w:rPr>
        <w:t xml:space="preserve"> </w:t>
      </w:r>
      <w:r>
        <w:t>bis,</w:t>
      </w:r>
      <w:r>
        <w:rPr>
          <w:spacing w:val="-1"/>
        </w:rPr>
        <w:t xml:space="preserve"> </w:t>
      </w:r>
      <w:r>
        <w:t>372</w:t>
      </w:r>
      <w:r>
        <w:rPr>
          <w:spacing w:val="-1"/>
        </w:rPr>
        <w:t xml:space="preserve"> </w:t>
      </w:r>
      <w:r>
        <w:t>bis,</w:t>
      </w:r>
      <w:r>
        <w:rPr>
          <w:spacing w:val="-1"/>
        </w:rPr>
        <w:t xml:space="preserve"> </w:t>
      </w:r>
      <w:r>
        <w:t>390,</w:t>
      </w:r>
      <w:r>
        <w:rPr>
          <w:spacing w:val="-1"/>
        </w:rPr>
        <w:t xml:space="preserve"> </w:t>
      </w:r>
      <w:r>
        <w:t>391,</w:t>
      </w:r>
      <w:r>
        <w:rPr>
          <w:spacing w:val="-1"/>
        </w:rPr>
        <w:t xml:space="preserve"> </w:t>
      </w:r>
      <w:r>
        <w:t>433,</w:t>
      </w:r>
      <w:r>
        <w:rPr>
          <w:spacing w:val="-1"/>
        </w:rPr>
        <w:t xml:space="preserve"> </w:t>
      </w:r>
      <w:r>
        <w:t>436</w:t>
      </w:r>
      <w:r>
        <w:rPr>
          <w:spacing w:val="-1"/>
        </w:rPr>
        <w:t xml:space="preserve"> </w:t>
      </w:r>
      <w:r>
        <w:t>inciso primero, 474 y 475 del Código Penal; en el inciso primero del artículo 14 D de la ley Nº17.798; en los a</w:t>
      </w:r>
      <w:r>
        <w:t>rtículos 416, 416 bis N° 1 y 2 y 416 ter del Código</w:t>
      </w:r>
      <w:r>
        <w:rPr>
          <w:spacing w:val="-2"/>
        </w:rPr>
        <w:t xml:space="preserve"> </w:t>
      </w:r>
      <w:r>
        <w:t>de</w:t>
      </w:r>
      <w:r>
        <w:rPr>
          <w:spacing w:val="-3"/>
        </w:rPr>
        <w:t xml:space="preserve"> </w:t>
      </w:r>
      <w:r>
        <w:t>Justicia</w:t>
      </w:r>
      <w:r>
        <w:rPr>
          <w:spacing w:val="-2"/>
        </w:rPr>
        <w:t xml:space="preserve"> </w:t>
      </w:r>
      <w:r>
        <w:t>Militar;</w:t>
      </w:r>
      <w:r>
        <w:rPr>
          <w:spacing w:val="-2"/>
        </w:rPr>
        <w:t xml:space="preserve"> </w:t>
      </w:r>
      <w:r>
        <w:t>en</w:t>
      </w:r>
      <w:r>
        <w:rPr>
          <w:spacing w:val="-2"/>
        </w:rPr>
        <w:t xml:space="preserve"> </w:t>
      </w:r>
      <w:r>
        <w:t>los</w:t>
      </w:r>
      <w:r>
        <w:rPr>
          <w:spacing w:val="-2"/>
        </w:rPr>
        <w:t xml:space="preserve"> </w:t>
      </w:r>
      <w:r>
        <w:t>artículos</w:t>
      </w:r>
      <w:r>
        <w:rPr>
          <w:spacing w:val="-2"/>
        </w:rPr>
        <w:t xml:space="preserve"> </w:t>
      </w:r>
      <w:r>
        <w:t>17,</w:t>
      </w:r>
      <w:r>
        <w:rPr>
          <w:spacing w:val="-3"/>
        </w:rPr>
        <w:t xml:space="preserve"> </w:t>
      </w:r>
      <w:r>
        <w:t>17</w:t>
      </w:r>
      <w:r>
        <w:rPr>
          <w:spacing w:val="-3"/>
        </w:rPr>
        <w:t xml:space="preserve"> </w:t>
      </w:r>
      <w:r>
        <w:t>bis</w:t>
      </w:r>
      <w:r>
        <w:rPr>
          <w:spacing w:val="-3"/>
        </w:rPr>
        <w:t xml:space="preserve"> </w:t>
      </w:r>
      <w:r>
        <w:t>N°</w:t>
      </w:r>
      <w:r>
        <w:rPr>
          <w:spacing w:val="-2"/>
        </w:rPr>
        <w:t xml:space="preserve"> </w:t>
      </w:r>
      <w:r>
        <w:t>1 y</w:t>
      </w:r>
      <w:r>
        <w:rPr>
          <w:spacing w:val="-2"/>
        </w:rPr>
        <w:t xml:space="preserve"> </w:t>
      </w:r>
      <w:r>
        <w:t>2 y</w:t>
      </w:r>
      <w:r>
        <w:rPr>
          <w:spacing w:val="-2"/>
        </w:rPr>
        <w:t xml:space="preserve"> </w:t>
      </w:r>
      <w:r>
        <w:t>17</w:t>
      </w:r>
      <w:r>
        <w:rPr>
          <w:spacing w:val="-3"/>
        </w:rPr>
        <w:t xml:space="preserve"> </w:t>
      </w:r>
      <w:r>
        <w:t>ter</w:t>
      </w:r>
      <w:r>
        <w:rPr>
          <w:spacing w:val="-2"/>
        </w:rPr>
        <w:t xml:space="preserve"> </w:t>
      </w:r>
      <w:r>
        <w:t>de</w:t>
      </w:r>
      <w:r>
        <w:rPr>
          <w:spacing w:val="-3"/>
        </w:rPr>
        <w:t xml:space="preserve"> </w:t>
      </w:r>
      <w:r>
        <w:t>la Ley Orgánica de la Policía de Investigaciones de Chile; en los artículos 15 A, 15 B N° 1 y 2 y 15 C de la Ley Orgánica de Gendarmería de Chile o cualquier otro delito sancionado con presidio o reclusión perpetua, o presidio perpetuo calificado cometidos</w:t>
      </w:r>
      <w:r>
        <w:t xml:space="preserve"> por menores de dieciséis años, las sanciones establecidas en las letras a) y b) del artículo 6° no podrán exceder de quince años.”.</w:t>
      </w:r>
    </w:p>
    <w:p w:rsidR="00F95F8B" w:rsidRDefault="00F95F8B">
      <w:pPr>
        <w:pStyle w:val="Textoindependiente"/>
        <w:spacing w:before="7"/>
        <w:rPr>
          <w:sz w:val="27"/>
        </w:rPr>
      </w:pPr>
    </w:p>
    <w:p w:rsidR="00F95F8B" w:rsidRDefault="00860DB1">
      <w:pPr>
        <w:pStyle w:val="Prrafodelista"/>
        <w:numPr>
          <w:ilvl w:val="0"/>
          <w:numId w:val="1"/>
        </w:numPr>
        <w:tabs>
          <w:tab w:val="left" w:pos="809"/>
          <w:tab w:val="left" w:pos="810"/>
        </w:tabs>
        <w:rPr>
          <w:sz w:val="24"/>
        </w:rPr>
      </w:pPr>
      <w:r>
        <w:rPr>
          <w:sz w:val="24"/>
        </w:rPr>
        <w:t>Incorpórese</w:t>
      </w:r>
      <w:r>
        <w:rPr>
          <w:spacing w:val="-4"/>
          <w:sz w:val="24"/>
        </w:rPr>
        <w:t xml:space="preserve"> </w:t>
      </w:r>
      <w:r>
        <w:rPr>
          <w:sz w:val="24"/>
        </w:rPr>
        <w:t>al</w:t>
      </w:r>
      <w:r>
        <w:rPr>
          <w:spacing w:val="-2"/>
          <w:sz w:val="24"/>
        </w:rPr>
        <w:t xml:space="preserve"> </w:t>
      </w:r>
      <w:r>
        <w:rPr>
          <w:sz w:val="24"/>
        </w:rPr>
        <w:t>artículo</w:t>
      </w:r>
      <w:r>
        <w:rPr>
          <w:spacing w:val="-2"/>
          <w:sz w:val="24"/>
        </w:rPr>
        <w:t xml:space="preserve"> </w:t>
      </w:r>
      <w:r>
        <w:rPr>
          <w:sz w:val="24"/>
        </w:rPr>
        <w:t>21</w:t>
      </w:r>
      <w:r>
        <w:rPr>
          <w:spacing w:val="-3"/>
          <w:sz w:val="24"/>
        </w:rPr>
        <w:t xml:space="preserve"> </w:t>
      </w:r>
      <w:r>
        <w:rPr>
          <w:sz w:val="24"/>
        </w:rPr>
        <w:t>el</w:t>
      </w:r>
      <w:r>
        <w:rPr>
          <w:spacing w:val="-2"/>
          <w:sz w:val="24"/>
        </w:rPr>
        <w:t xml:space="preserve"> </w:t>
      </w:r>
      <w:r>
        <w:rPr>
          <w:sz w:val="24"/>
        </w:rPr>
        <w:t>siguiente</w:t>
      </w:r>
      <w:r>
        <w:rPr>
          <w:spacing w:val="-2"/>
          <w:sz w:val="24"/>
        </w:rPr>
        <w:t xml:space="preserve"> </w:t>
      </w:r>
      <w:r>
        <w:rPr>
          <w:sz w:val="24"/>
        </w:rPr>
        <w:t>inciso</w:t>
      </w:r>
      <w:r>
        <w:rPr>
          <w:spacing w:val="-2"/>
          <w:sz w:val="24"/>
        </w:rPr>
        <w:t xml:space="preserve"> </w:t>
      </w:r>
      <w:r>
        <w:rPr>
          <w:sz w:val="24"/>
        </w:rPr>
        <w:t>final</w:t>
      </w:r>
      <w:r>
        <w:rPr>
          <w:spacing w:val="-2"/>
          <w:sz w:val="24"/>
        </w:rPr>
        <w:t xml:space="preserve"> nuevo:</w:t>
      </w:r>
    </w:p>
    <w:p w:rsidR="00F95F8B" w:rsidRDefault="00F95F8B">
      <w:pPr>
        <w:pStyle w:val="Textoindependiente"/>
        <w:spacing w:before="3"/>
        <w:rPr>
          <w:sz w:val="31"/>
        </w:rPr>
      </w:pPr>
    </w:p>
    <w:p w:rsidR="00F95F8B" w:rsidRDefault="00860DB1">
      <w:pPr>
        <w:pStyle w:val="Textoindependiente"/>
        <w:spacing w:line="276" w:lineRule="auto"/>
        <w:ind w:left="102" w:right="116"/>
        <w:jc w:val="both"/>
      </w:pPr>
      <w:r>
        <w:t>“La regla dispuesta en el inciso precedente no resultará apli</w:t>
      </w:r>
      <w:r>
        <w:t>cable tratándose de adolescentes mayores de dieciséis años respecto de aquellos delitos previstos en los artículos 141, incisos tercero, cuarto y quinto; 142, 361, 362, 365 bis, 372 bis, 390, 391, 433, 436 inciso primero, 474 y 475, todos del Código Penal;</w:t>
      </w:r>
      <w:r>
        <w:t xml:space="preserve"> en el inciso primero del artículo 14 D de la ley Nº 17.798; en los artículos 416, 416 bis N° 1 y 2 y 416 ter del Código de Justicia</w:t>
      </w:r>
      <w:r>
        <w:rPr>
          <w:spacing w:val="42"/>
        </w:rPr>
        <w:t xml:space="preserve"> </w:t>
      </w:r>
      <w:r>
        <w:t>Militar;</w:t>
      </w:r>
      <w:r>
        <w:rPr>
          <w:spacing w:val="43"/>
        </w:rPr>
        <w:t xml:space="preserve"> </w:t>
      </w:r>
      <w:r>
        <w:t>en</w:t>
      </w:r>
      <w:r>
        <w:rPr>
          <w:spacing w:val="41"/>
        </w:rPr>
        <w:t xml:space="preserve"> </w:t>
      </w:r>
      <w:r>
        <w:t>los</w:t>
      </w:r>
      <w:r>
        <w:rPr>
          <w:spacing w:val="42"/>
        </w:rPr>
        <w:t xml:space="preserve"> </w:t>
      </w:r>
      <w:r>
        <w:t>artículos</w:t>
      </w:r>
      <w:r>
        <w:rPr>
          <w:spacing w:val="43"/>
        </w:rPr>
        <w:t xml:space="preserve"> </w:t>
      </w:r>
      <w:r>
        <w:t>17,</w:t>
      </w:r>
      <w:r>
        <w:rPr>
          <w:spacing w:val="43"/>
        </w:rPr>
        <w:t xml:space="preserve"> </w:t>
      </w:r>
      <w:r>
        <w:t>17</w:t>
      </w:r>
      <w:r>
        <w:rPr>
          <w:spacing w:val="40"/>
        </w:rPr>
        <w:t xml:space="preserve"> </w:t>
      </w:r>
      <w:r>
        <w:t>bis</w:t>
      </w:r>
      <w:r>
        <w:rPr>
          <w:spacing w:val="43"/>
        </w:rPr>
        <w:t xml:space="preserve"> </w:t>
      </w:r>
      <w:r>
        <w:t>N°</w:t>
      </w:r>
      <w:r>
        <w:rPr>
          <w:spacing w:val="43"/>
        </w:rPr>
        <w:t xml:space="preserve"> </w:t>
      </w:r>
      <w:r>
        <w:t>1</w:t>
      </w:r>
      <w:r>
        <w:rPr>
          <w:spacing w:val="43"/>
        </w:rPr>
        <w:t xml:space="preserve"> </w:t>
      </w:r>
      <w:r>
        <w:t>y</w:t>
      </w:r>
      <w:r>
        <w:rPr>
          <w:spacing w:val="40"/>
        </w:rPr>
        <w:t xml:space="preserve"> </w:t>
      </w:r>
      <w:r>
        <w:t>2</w:t>
      </w:r>
      <w:r>
        <w:rPr>
          <w:spacing w:val="43"/>
        </w:rPr>
        <w:t xml:space="preserve"> </w:t>
      </w:r>
      <w:r>
        <w:t>y</w:t>
      </w:r>
      <w:r>
        <w:rPr>
          <w:spacing w:val="41"/>
        </w:rPr>
        <w:t xml:space="preserve"> </w:t>
      </w:r>
      <w:r>
        <w:t>17</w:t>
      </w:r>
      <w:r>
        <w:rPr>
          <w:spacing w:val="40"/>
        </w:rPr>
        <w:t xml:space="preserve"> </w:t>
      </w:r>
      <w:r>
        <w:t>ter</w:t>
      </w:r>
      <w:r>
        <w:rPr>
          <w:spacing w:val="43"/>
        </w:rPr>
        <w:t xml:space="preserve"> </w:t>
      </w:r>
      <w:r>
        <w:t>de</w:t>
      </w:r>
      <w:r>
        <w:rPr>
          <w:spacing w:val="43"/>
        </w:rPr>
        <w:t xml:space="preserve"> </w:t>
      </w:r>
      <w:r>
        <w:t>la</w:t>
      </w:r>
      <w:r>
        <w:rPr>
          <w:spacing w:val="43"/>
        </w:rPr>
        <w:t xml:space="preserve"> </w:t>
      </w:r>
      <w:r>
        <w:rPr>
          <w:spacing w:val="-5"/>
        </w:rPr>
        <w:t>Ley</w:t>
      </w:r>
    </w:p>
    <w:p w:rsidR="00F95F8B" w:rsidRDefault="00F95F8B">
      <w:pPr>
        <w:spacing w:line="276" w:lineRule="auto"/>
        <w:jc w:val="both"/>
        <w:sectPr w:rsidR="00F95F8B">
          <w:pgSz w:w="12240" w:h="15840"/>
          <w:pgMar w:top="1340" w:right="1580" w:bottom="280" w:left="1600" w:header="720" w:footer="720" w:gutter="0"/>
          <w:cols w:space="720"/>
        </w:sectPr>
      </w:pPr>
    </w:p>
    <w:p w:rsidR="00F95F8B" w:rsidRDefault="00860DB1">
      <w:pPr>
        <w:pStyle w:val="Textoindependiente"/>
        <w:spacing w:before="73" w:line="276" w:lineRule="auto"/>
        <w:ind w:left="102" w:right="122"/>
        <w:jc w:val="both"/>
      </w:pPr>
      <w:r>
        <w:t>Orgánica</w:t>
      </w:r>
      <w:r>
        <w:rPr>
          <w:spacing w:val="-1"/>
        </w:rPr>
        <w:t xml:space="preserve"> </w:t>
      </w:r>
      <w:r>
        <w:t>de</w:t>
      </w:r>
      <w:r>
        <w:rPr>
          <w:spacing w:val="-1"/>
        </w:rPr>
        <w:t xml:space="preserve"> </w:t>
      </w:r>
      <w:r>
        <w:t>la</w:t>
      </w:r>
      <w:r>
        <w:rPr>
          <w:spacing w:val="-1"/>
        </w:rPr>
        <w:t xml:space="preserve"> </w:t>
      </w:r>
      <w:r>
        <w:t>Policía</w:t>
      </w:r>
      <w:r>
        <w:rPr>
          <w:spacing w:val="-1"/>
        </w:rPr>
        <w:t xml:space="preserve"> </w:t>
      </w:r>
      <w:r>
        <w:t>de</w:t>
      </w:r>
      <w:r>
        <w:rPr>
          <w:spacing w:val="-1"/>
        </w:rPr>
        <w:t xml:space="preserve"> </w:t>
      </w:r>
      <w:r>
        <w:t>Investigaciones</w:t>
      </w:r>
      <w:r>
        <w:rPr>
          <w:spacing w:val="-1"/>
        </w:rPr>
        <w:t xml:space="preserve"> </w:t>
      </w:r>
      <w:r>
        <w:t>de</w:t>
      </w:r>
      <w:r>
        <w:rPr>
          <w:spacing w:val="-1"/>
        </w:rPr>
        <w:t xml:space="preserve"> </w:t>
      </w:r>
      <w:r>
        <w:t>Chile;</w:t>
      </w:r>
      <w:r>
        <w:rPr>
          <w:spacing w:val="-1"/>
        </w:rPr>
        <w:t xml:space="preserve"> </w:t>
      </w:r>
      <w:r>
        <w:t>en</w:t>
      </w:r>
      <w:r>
        <w:rPr>
          <w:spacing w:val="-1"/>
        </w:rPr>
        <w:t xml:space="preserve"> </w:t>
      </w:r>
      <w:r>
        <w:t>los</w:t>
      </w:r>
      <w:r>
        <w:rPr>
          <w:spacing w:val="-1"/>
        </w:rPr>
        <w:t xml:space="preserve"> </w:t>
      </w:r>
      <w:r>
        <w:t>artículos</w:t>
      </w:r>
      <w:r>
        <w:rPr>
          <w:spacing w:val="-1"/>
        </w:rPr>
        <w:t xml:space="preserve"> </w:t>
      </w:r>
      <w:r>
        <w:t>15</w:t>
      </w:r>
      <w:r>
        <w:rPr>
          <w:spacing w:val="-1"/>
        </w:rPr>
        <w:t xml:space="preserve"> </w:t>
      </w:r>
      <w:r>
        <w:t>A,</w:t>
      </w:r>
      <w:r>
        <w:rPr>
          <w:spacing w:val="-1"/>
        </w:rPr>
        <w:t xml:space="preserve"> </w:t>
      </w:r>
      <w:r>
        <w:t>15 B N° 1 y 2 y 15 C de la Ley Orgánica de Gendarmería de Chile o cualquier otro delito sancionado con presidio o reclusión perpetua, o presidio perpetuo calificado.”</w:t>
      </w:r>
    </w:p>
    <w:p w:rsidR="00F95F8B" w:rsidRDefault="00F95F8B">
      <w:pPr>
        <w:pStyle w:val="Textoindependiente"/>
        <w:rPr>
          <w:sz w:val="28"/>
        </w:rPr>
      </w:pPr>
    </w:p>
    <w:p w:rsidR="00F95F8B" w:rsidRDefault="00F95F8B">
      <w:pPr>
        <w:pStyle w:val="Textoindependiente"/>
        <w:spacing w:before="2"/>
        <w:rPr>
          <w:sz w:val="27"/>
        </w:rPr>
      </w:pPr>
    </w:p>
    <w:p w:rsidR="00F95F8B" w:rsidRDefault="00860DB1">
      <w:pPr>
        <w:pStyle w:val="Prrafodelista"/>
        <w:numPr>
          <w:ilvl w:val="0"/>
          <w:numId w:val="1"/>
        </w:numPr>
        <w:tabs>
          <w:tab w:val="left" w:pos="809"/>
          <w:tab w:val="left" w:pos="810"/>
        </w:tabs>
        <w:rPr>
          <w:sz w:val="24"/>
        </w:rPr>
      </w:pPr>
      <w:r>
        <w:rPr>
          <w:sz w:val="24"/>
        </w:rPr>
        <w:t>Agréguese</w:t>
      </w:r>
      <w:r>
        <w:rPr>
          <w:spacing w:val="-6"/>
          <w:sz w:val="24"/>
        </w:rPr>
        <w:t xml:space="preserve"> </w:t>
      </w:r>
      <w:r>
        <w:rPr>
          <w:sz w:val="24"/>
        </w:rPr>
        <w:t>en</w:t>
      </w:r>
      <w:r>
        <w:rPr>
          <w:spacing w:val="-2"/>
          <w:sz w:val="24"/>
        </w:rPr>
        <w:t xml:space="preserve"> </w:t>
      </w:r>
      <w:r>
        <w:rPr>
          <w:sz w:val="24"/>
        </w:rPr>
        <w:t>el</w:t>
      </w:r>
      <w:r>
        <w:rPr>
          <w:spacing w:val="-2"/>
          <w:sz w:val="24"/>
        </w:rPr>
        <w:t xml:space="preserve"> </w:t>
      </w:r>
      <w:r>
        <w:rPr>
          <w:sz w:val="24"/>
        </w:rPr>
        <w:t>artículo</w:t>
      </w:r>
      <w:r>
        <w:rPr>
          <w:spacing w:val="-2"/>
          <w:sz w:val="24"/>
        </w:rPr>
        <w:t xml:space="preserve"> </w:t>
      </w:r>
      <w:r>
        <w:rPr>
          <w:sz w:val="24"/>
        </w:rPr>
        <w:t>23</w:t>
      </w:r>
      <w:r>
        <w:rPr>
          <w:spacing w:val="-3"/>
          <w:sz w:val="24"/>
        </w:rPr>
        <w:t xml:space="preserve"> </w:t>
      </w:r>
      <w:r>
        <w:rPr>
          <w:sz w:val="24"/>
        </w:rPr>
        <w:t>un</w:t>
      </w:r>
      <w:r>
        <w:rPr>
          <w:spacing w:val="-3"/>
          <w:sz w:val="24"/>
        </w:rPr>
        <w:t xml:space="preserve"> </w:t>
      </w:r>
      <w:r>
        <w:rPr>
          <w:sz w:val="24"/>
        </w:rPr>
        <w:t>inciso</w:t>
      </w:r>
      <w:r>
        <w:rPr>
          <w:spacing w:val="-2"/>
          <w:sz w:val="24"/>
        </w:rPr>
        <w:t xml:space="preserve"> </w:t>
      </w:r>
      <w:r>
        <w:rPr>
          <w:sz w:val="24"/>
        </w:rPr>
        <w:t>final</w:t>
      </w:r>
      <w:r>
        <w:rPr>
          <w:spacing w:val="-2"/>
          <w:sz w:val="24"/>
        </w:rPr>
        <w:t xml:space="preserve"> </w:t>
      </w:r>
      <w:r>
        <w:rPr>
          <w:sz w:val="24"/>
        </w:rPr>
        <w:t>nuevo</w:t>
      </w:r>
      <w:r>
        <w:rPr>
          <w:spacing w:val="-3"/>
          <w:sz w:val="24"/>
        </w:rPr>
        <w:t xml:space="preserve"> </w:t>
      </w:r>
      <w:r>
        <w:rPr>
          <w:sz w:val="24"/>
        </w:rPr>
        <w:t>del</w:t>
      </w:r>
      <w:r>
        <w:rPr>
          <w:spacing w:val="-3"/>
          <w:sz w:val="24"/>
        </w:rPr>
        <w:t xml:space="preserve"> </w:t>
      </w:r>
      <w:r>
        <w:rPr>
          <w:sz w:val="24"/>
        </w:rPr>
        <w:t>siguiente</w:t>
      </w:r>
      <w:r>
        <w:rPr>
          <w:spacing w:val="-2"/>
          <w:sz w:val="24"/>
        </w:rPr>
        <w:t xml:space="preserve"> tenor:</w:t>
      </w:r>
    </w:p>
    <w:p w:rsidR="00F95F8B" w:rsidRDefault="00F95F8B">
      <w:pPr>
        <w:pStyle w:val="Textoindependiente"/>
        <w:spacing w:before="3"/>
        <w:rPr>
          <w:sz w:val="31"/>
        </w:rPr>
      </w:pPr>
    </w:p>
    <w:p w:rsidR="00F95F8B" w:rsidRDefault="00860DB1">
      <w:pPr>
        <w:pStyle w:val="Textoindependiente"/>
        <w:spacing w:line="276" w:lineRule="auto"/>
        <w:ind w:left="102" w:right="115"/>
        <w:jc w:val="both"/>
      </w:pPr>
      <w:r>
        <w:t>“Sin perjuicio de lo dispuesto en los incisos precedentes, tratándose de adolescentes infractores que hubieren sido sancionados previamente de conformidad a las normas de esta ley por algún delito que tenga asignada</w:t>
      </w:r>
      <w:r>
        <w:t xml:space="preserve"> pena de crimen, si fueren condenados por los delitos previstos en los artículos 141, incisos tercero, cuarto y quinto; 142, 361, 362, 365 bis, 372</w:t>
      </w:r>
    </w:p>
    <w:p w:rsidR="00F95F8B" w:rsidRDefault="00860DB1">
      <w:pPr>
        <w:pStyle w:val="Textoindependiente"/>
        <w:spacing w:before="1" w:line="276" w:lineRule="auto"/>
        <w:ind w:left="102" w:right="117"/>
        <w:jc w:val="both"/>
      </w:pPr>
      <w:r>
        <w:t>bis, 390, 391, 433, 436 inciso primero, 474 y 475 del Código Penal; en el inciso primero del artículo 14 D d</w:t>
      </w:r>
      <w:r>
        <w:t xml:space="preserve">e la ley Nº 17.798; en los artículos 416, 416 bis N° 1 y 2 y 416 ter del Código de Justicia Militar; en los artículos 17, 17 bis N° 1 y 2 y 17 ter de la Ley Orgánica de la Policía de Investigaciones de Chile; en los artículos 15 A, 15 B N° 1 y 2 y 15 C de </w:t>
      </w:r>
      <w:r>
        <w:t>la Ley Orgánica de Gendarmería de Chile o cualquier otro delito sancionado con presidio o reclusión perpetua, o presidio perpetuo calificado, se deberá aplicar la sanción más gravosa dispuesta para el tramo respectivo.”.</w:t>
      </w:r>
    </w:p>
    <w:p w:rsidR="00F95F8B" w:rsidRDefault="00F95F8B">
      <w:pPr>
        <w:pStyle w:val="Textoindependiente"/>
        <w:rPr>
          <w:sz w:val="28"/>
        </w:rPr>
      </w:pPr>
    </w:p>
    <w:p w:rsidR="00F95F8B" w:rsidRDefault="00F95F8B">
      <w:pPr>
        <w:pStyle w:val="Textoindependiente"/>
        <w:spacing w:before="2"/>
        <w:rPr>
          <w:sz w:val="27"/>
        </w:rPr>
      </w:pPr>
    </w:p>
    <w:p w:rsidR="00F95F8B" w:rsidRDefault="00860DB1">
      <w:pPr>
        <w:pStyle w:val="Prrafodelista"/>
        <w:numPr>
          <w:ilvl w:val="0"/>
          <w:numId w:val="1"/>
        </w:numPr>
        <w:tabs>
          <w:tab w:val="left" w:pos="809"/>
          <w:tab w:val="left" w:pos="810"/>
        </w:tabs>
        <w:spacing w:before="1" w:line="276" w:lineRule="auto"/>
        <w:ind w:left="102" w:right="119" w:firstLine="0"/>
        <w:rPr>
          <w:sz w:val="24"/>
        </w:rPr>
      </w:pPr>
      <w:r>
        <w:rPr>
          <w:sz w:val="24"/>
        </w:rPr>
        <w:t>Agréguense</w:t>
      </w:r>
      <w:r>
        <w:rPr>
          <w:spacing w:val="40"/>
          <w:sz w:val="24"/>
        </w:rPr>
        <w:t xml:space="preserve"> </w:t>
      </w:r>
      <w:r>
        <w:rPr>
          <w:sz w:val="24"/>
        </w:rPr>
        <w:t>al</w:t>
      </w:r>
      <w:r>
        <w:rPr>
          <w:spacing w:val="40"/>
          <w:sz w:val="24"/>
        </w:rPr>
        <w:t xml:space="preserve"> </w:t>
      </w:r>
      <w:r>
        <w:rPr>
          <w:sz w:val="24"/>
        </w:rPr>
        <w:t>artículo</w:t>
      </w:r>
      <w:r>
        <w:rPr>
          <w:spacing w:val="40"/>
          <w:sz w:val="24"/>
        </w:rPr>
        <w:t xml:space="preserve"> </w:t>
      </w:r>
      <w:r>
        <w:rPr>
          <w:sz w:val="24"/>
        </w:rPr>
        <w:t>32</w:t>
      </w:r>
      <w:r>
        <w:rPr>
          <w:spacing w:val="40"/>
          <w:sz w:val="24"/>
        </w:rPr>
        <w:t xml:space="preserve"> </w:t>
      </w:r>
      <w:r>
        <w:rPr>
          <w:sz w:val="24"/>
        </w:rPr>
        <w:t>los</w:t>
      </w:r>
      <w:r>
        <w:rPr>
          <w:spacing w:val="40"/>
          <w:sz w:val="24"/>
        </w:rPr>
        <w:t xml:space="preserve"> </w:t>
      </w:r>
      <w:r>
        <w:rPr>
          <w:sz w:val="24"/>
        </w:rPr>
        <w:t>sig</w:t>
      </w:r>
      <w:r>
        <w:rPr>
          <w:sz w:val="24"/>
        </w:rPr>
        <w:t>uientes</w:t>
      </w:r>
      <w:r>
        <w:rPr>
          <w:spacing w:val="40"/>
          <w:sz w:val="24"/>
        </w:rPr>
        <w:t xml:space="preserve"> </w:t>
      </w:r>
      <w:r>
        <w:rPr>
          <w:sz w:val="24"/>
        </w:rPr>
        <w:t>incisos</w:t>
      </w:r>
      <w:r>
        <w:rPr>
          <w:spacing w:val="40"/>
          <w:sz w:val="24"/>
        </w:rPr>
        <w:t xml:space="preserve"> </w:t>
      </w:r>
      <w:r>
        <w:rPr>
          <w:sz w:val="24"/>
        </w:rPr>
        <w:t>segundo</w:t>
      </w:r>
      <w:r>
        <w:rPr>
          <w:spacing w:val="40"/>
          <w:sz w:val="24"/>
        </w:rPr>
        <w:t xml:space="preserve"> </w:t>
      </w:r>
      <w:r>
        <w:rPr>
          <w:sz w:val="24"/>
        </w:rPr>
        <w:t>y</w:t>
      </w:r>
      <w:r>
        <w:rPr>
          <w:spacing w:val="40"/>
          <w:sz w:val="24"/>
        </w:rPr>
        <w:t xml:space="preserve"> </w:t>
      </w:r>
      <w:r>
        <w:rPr>
          <w:sz w:val="24"/>
        </w:rPr>
        <w:t xml:space="preserve">tercero </w:t>
      </w:r>
      <w:r>
        <w:rPr>
          <w:spacing w:val="-2"/>
          <w:sz w:val="24"/>
        </w:rPr>
        <w:t>nuevos:</w:t>
      </w:r>
    </w:p>
    <w:p w:rsidR="00F95F8B" w:rsidRDefault="00F95F8B">
      <w:pPr>
        <w:pStyle w:val="Textoindependiente"/>
        <w:spacing w:before="7"/>
        <w:rPr>
          <w:sz w:val="27"/>
        </w:rPr>
      </w:pPr>
    </w:p>
    <w:p w:rsidR="00F95F8B" w:rsidRDefault="00860DB1">
      <w:pPr>
        <w:pStyle w:val="Textoindependiente"/>
        <w:spacing w:line="276" w:lineRule="auto"/>
        <w:ind w:left="102" w:right="2"/>
      </w:pPr>
      <w:r>
        <w:t>“La</w:t>
      </w:r>
      <w:r>
        <w:rPr>
          <w:spacing w:val="80"/>
        </w:rPr>
        <w:t xml:space="preserve"> </w:t>
      </w:r>
      <w:r>
        <w:t>resolución</w:t>
      </w:r>
      <w:r>
        <w:rPr>
          <w:spacing w:val="80"/>
        </w:rPr>
        <w:t xml:space="preserve"> </w:t>
      </w:r>
      <w:r>
        <w:t>que</w:t>
      </w:r>
      <w:r>
        <w:rPr>
          <w:spacing w:val="80"/>
        </w:rPr>
        <w:t xml:space="preserve"> </w:t>
      </w:r>
      <w:r>
        <w:t>ordenare,</w:t>
      </w:r>
      <w:r>
        <w:rPr>
          <w:spacing w:val="80"/>
        </w:rPr>
        <w:t xml:space="preserve"> </w:t>
      </w:r>
      <w:r>
        <w:t>mantuviere,</w:t>
      </w:r>
      <w:r>
        <w:rPr>
          <w:spacing w:val="80"/>
        </w:rPr>
        <w:t xml:space="preserve"> </w:t>
      </w:r>
      <w:r>
        <w:t>negare</w:t>
      </w:r>
      <w:r>
        <w:rPr>
          <w:spacing w:val="80"/>
        </w:rPr>
        <w:t xml:space="preserve"> </w:t>
      </w:r>
      <w:r>
        <w:t>lugar</w:t>
      </w:r>
      <w:r>
        <w:rPr>
          <w:spacing w:val="80"/>
        </w:rPr>
        <w:t xml:space="preserve"> </w:t>
      </w:r>
      <w:r>
        <w:t>o</w:t>
      </w:r>
      <w:r>
        <w:rPr>
          <w:spacing w:val="80"/>
        </w:rPr>
        <w:t xml:space="preserve"> </w:t>
      </w:r>
      <w:r>
        <w:t>revocare</w:t>
      </w:r>
      <w:r>
        <w:rPr>
          <w:spacing w:val="80"/>
        </w:rPr>
        <w:t xml:space="preserve"> </w:t>
      </w:r>
      <w:r>
        <w:t>la internación provisoria en un centro cerrado será apelable cuando hubiere sido dictada en una audiencia. No obstará a la procedencia del recurso, la circunstancia</w:t>
      </w:r>
      <w:r>
        <w:rPr>
          <w:spacing w:val="80"/>
        </w:rPr>
        <w:t xml:space="preserve"> </w:t>
      </w:r>
      <w:r>
        <w:t>de</w:t>
      </w:r>
      <w:r>
        <w:rPr>
          <w:spacing w:val="80"/>
        </w:rPr>
        <w:t xml:space="preserve"> </w:t>
      </w:r>
      <w:r>
        <w:t>haberse</w:t>
      </w:r>
      <w:r>
        <w:rPr>
          <w:spacing w:val="80"/>
        </w:rPr>
        <w:t xml:space="preserve"> </w:t>
      </w:r>
      <w:r>
        <w:t>decretado,</w:t>
      </w:r>
      <w:r>
        <w:rPr>
          <w:spacing w:val="80"/>
        </w:rPr>
        <w:t xml:space="preserve"> </w:t>
      </w:r>
      <w:r>
        <w:t>a</w:t>
      </w:r>
      <w:r>
        <w:rPr>
          <w:spacing w:val="80"/>
        </w:rPr>
        <w:t xml:space="preserve"> </w:t>
      </w:r>
      <w:r>
        <w:t>petición</w:t>
      </w:r>
      <w:r>
        <w:rPr>
          <w:spacing w:val="80"/>
        </w:rPr>
        <w:t xml:space="preserve"> </w:t>
      </w:r>
      <w:r>
        <w:t>de</w:t>
      </w:r>
      <w:r>
        <w:rPr>
          <w:spacing w:val="80"/>
        </w:rPr>
        <w:t xml:space="preserve"> </w:t>
      </w:r>
      <w:r>
        <w:t>cualquiera</w:t>
      </w:r>
      <w:r>
        <w:rPr>
          <w:spacing w:val="80"/>
        </w:rPr>
        <w:t xml:space="preserve"> </w:t>
      </w:r>
      <w:r>
        <w:t>de</w:t>
      </w:r>
      <w:r>
        <w:rPr>
          <w:spacing w:val="80"/>
        </w:rPr>
        <w:t xml:space="preserve"> </w:t>
      </w:r>
      <w:r>
        <w:t>los intervinientes, alguna de las medidas</w:t>
      </w:r>
      <w:r>
        <w:t xml:space="preserve"> cautelares señaladas en el artículo</w:t>
      </w:r>
      <w:r>
        <w:rPr>
          <w:spacing w:val="80"/>
        </w:rPr>
        <w:t xml:space="preserve"> </w:t>
      </w:r>
      <w:r>
        <w:t>155 del Código Procesal Penal. En los demás casos no será susceptible de recurso alguno.</w:t>
      </w:r>
    </w:p>
    <w:p w:rsidR="00F95F8B" w:rsidRDefault="00F95F8B">
      <w:pPr>
        <w:pStyle w:val="Textoindependiente"/>
        <w:spacing w:before="7"/>
        <w:rPr>
          <w:sz w:val="27"/>
        </w:rPr>
      </w:pPr>
    </w:p>
    <w:p w:rsidR="00F95F8B" w:rsidRDefault="00860DB1">
      <w:pPr>
        <w:pStyle w:val="Textoindependiente"/>
        <w:spacing w:before="1"/>
        <w:ind w:left="102"/>
        <w:jc w:val="both"/>
      </w:pPr>
      <w:r>
        <w:t>Tratándose</w:t>
      </w:r>
      <w:r>
        <w:rPr>
          <w:spacing w:val="9"/>
        </w:rPr>
        <w:t xml:space="preserve"> </w:t>
      </w:r>
      <w:r>
        <w:t>de</w:t>
      </w:r>
      <w:r>
        <w:rPr>
          <w:spacing w:val="11"/>
        </w:rPr>
        <w:t xml:space="preserve"> </w:t>
      </w:r>
      <w:r>
        <w:t>los</w:t>
      </w:r>
      <w:r>
        <w:rPr>
          <w:spacing w:val="10"/>
        </w:rPr>
        <w:t xml:space="preserve"> </w:t>
      </w:r>
      <w:r>
        <w:t>delitos</w:t>
      </w:r>
      <w:r>
        <w:rPr>
          <w:spacing w:val="9"/>
        </w:rPr>
        <w:t xml:space="preserve"> </w:t>
      </w:r>
      <w:r>
        <w:t>establecidos</w:t>
      </w:r>
      <w:r>
        <w:rPr>
          <w:spacing w:val="10"/>
        </w:rPr>
        <w:t xml:space="preserve"> </w:t>
      </w:r>
      <w:r>
        <w:t>en</w:t>
      </w:r>
      <w:r>
        <w:rPr>
          <w:spacing w:val="9"/>
        </w:rPr>
        <w:t xml:space="preserve"> </w:t>
      </w:r>
      <w:r>
        <w:t>los</w:t>
      </w:r>
      <w:r>
        <w:rPr>
          <w:spacing w:val="10"/>
        </w:rPr>
        <w:t xml:space="preserve"> </w:t>
      </w:r>
      <w:r>
        <w:t>artículos</w:t>
      </w:r>
      <w:r>
        <w:rPr>
          <w:spacing w:val="9"/>
        </w:rPr>
        <w:t xml:space="preserve"> </w:t>
      </w:r>
      <w:r>
        <w:t>141,</w:t>
      </w:r>
      <w:r>
        <w:rPr>
          <w:spacing w:val="13"/>
        </w:rPr>
        <w:t xml:space="preserve"> </w:t>
      </w:r>
      <w:r>
        <w:t>142,</w:t>
      </w:r>
      <w:r>
        <w:rPr>
          <w:spacing w:val="9"/>
        </w:rPr>
        <w:t xml:space="preserve"> </w:t>
      </w:r>
      <w:r>
        <w:t>361,</w:t>
      </w:r>
      <w:r>
        <w:rPr>
          <w:spacing w:val="10"/>
        </w:rPr>
        <w:t xml:space="preserve"> </w:t>
      </w:r>
      <w:r>
        <w:rPr>
          <w:spacing w:val="-4"/>
        </w:rPr>
        <w:t>362,</w:t>
      </w:r>
    </w:p>
    <w:p w:rsidR="00F95F8B" w:rsidRDefault="00860DB1">
      <w:pPr>
        <w:pStyle w:val="Textoindependiente"/>
        <w:spacing w:before="42" w:line="276" w:lineRule="auto"/>
        <w:ind w:left="102" w:right="120"/>
        <w:jc w:val="both"/>
      </w:pPr>
      <w:r>
        <w:t>365</w:t>
      </w:r>
      <w:r>
        <w:rPr>
          <w:spacing w:val="-1"/>
        </w:rPr>
        <w:t xml:space="preserve"> </w:t>
      </w:r>
      <w:r>
        <w:t>bis,</w:t>
      </w:r>
      <w:r>
        <w:rPr>
          <w:spacing w:val="-1"/>
        </w:rPr>
        <w:t xml:space="preserve"> </w:t>
      </w:r>
      <w:r>
        <w:t>390,</w:t>
      </w:r>
      <w:r>
        <w:rPr>
          <w:spacing w:val="-1"/>
        </w:rPr>
        <w:t xml:space="preserve"> </w:t>
      </w:r>
      <w:r>
        <w:t>391,</w:t>
      </w:r>
      <w:r>
        <w:rPr>
          <w:spacing w:val="-1"/>
        </w:rPr>
        <w:t xml:space="preserve"> </w:t>
      </w:r>
      <w:r>
        <w:t>433,</w:t>
      </w:r>
      <w:r>
        <w:rPr>
          <w:spacing w:val="-1"/>
        </w:rPr>
        <w:t xml:space="preserve"> </w:t>
      </w:r>
      <w:r>
        <w:t>436</w:t>
      </w:r>
      <w:r>
        <w:rPr>
          <w:spacing w:val="-1"/>
        </w:rPr>
        <w:t xml:space="preserve"> </w:t>
      </w:r>
      <w:r>
        <w:t>inciso</w:t>
      </w:r>
      <w:r>
        <w:rPr>
          <w:spacing w:val="-1"/>
        </w:rPr>
        <w:t xml:space="preserve"> </w:t>
      </w:r>
      <w:r>
        <w:t>primero,</w:t>
      </w:r>
      <w:r>
        <w:rPr>
          <w:spacing w:val="-1"/>
        </w:rPr>
        <w:t xml:space="preserve"> </w:t>
      </w:r>
      <w:r>
        <w:t>474</w:t>
      </w:r>
      <w:r>
        <w:rPr>
          <w:spacing w:val="-1"/>
        </w:rPr>
        <w:t xml:space="preserve"> </w:t>
      </w:r>
      <w:r>
        <w:t>y</w:t>
      </w:r>
      <w:r>
        <w:rPr>
          <w:spacing w:val="-1"/>
        </w:rPr>
        <w:t xml:space="preserve"> </w:t>
      </w:r>
      <w:r>
        <w:t>475</w:t>
      </w:r>
      <w:r>
        <w:rPr>
          <w:spacing w:val="-1"/>
        </w:rPr>
        <w:t xml:space="preserve"> </w:t>
      </w:r>
      <w:r>
        <w:t>del</w:t>
      </w:r>
      <w:r>
        <w:rPr>
          <w:spacing w:val="-1"/>
        </w:rPr>
        <w:t xml:space="preserve"> </w:t>
      </w:r>
      <w:r>
        <w:t>Código</w:t>
      </w:r>
      <w:r>
        <w:rPr>
          <w:spacing w:val="-1"/>
        </w:rPr>
        <w:t xml:space="preserve"> </w:t>
      </w:r>
      <w:r>
        <w:t>Penal;</w:t>
      </w:r>
      <w:r>
        <w:rPr>
          <w:spacing w:val="-1"/>
        </w:rPr>
        <w:t xml:space="preserve"> </w:t>
      </w:r>
      <w:r>
        <w:t>en el inciso primero del artículo 14 D de la ley Nº17.798; en los artículos 416, 416 bis N° 1 y 2 y 416 ter del Código de Justicia Militar; en los artículos 17, 17 bis N° 1 y 2 y 17 ter de la Ley Orgánica de la Policía de Investigacio</w:t>
      </w:r>
      <w:r>
        <w:t>nes</w:t>
      </w:r>
      <w:r>
        <w:rPr>
          <w:spacing w:val="10"/>
        </w:rPr>
        <w:t xml:space="preserve"> </w:t>
      </w:r>
      <w:r>
        <w:t>de</w:t>
      </w:r>
      <w:r>
        <w:rPr>
          <w:spacing w:val="13"/>
        </w:rPr>
        <w:t xml:space="preserve"> </w:t>
      </w:r>
      <w:r>
        <w:t>Chile;</w:t>
      </w:r>
      <w:r>
        <w:rPr>
          <w:spacing w:val="12"/>
        </w:rPr>
        <w:t xml:space="preserve"> </w:t>
      </w:r>
      <w:r>
        <w:t>en</w:t>
      </w:r>
      <w:r>
        <w:rPr>
          <w:spacing w:val="13"/>
        </w:rPr>
        <w:t xml:space="preserve"> </w:t>
      </w:r>
      <w:r>
        <w:t>los</w:t>
      </w:r>
      <w:r>
        <w:rPr>
          <w:spacing w:val="13"/>
        </w:rPr>
        <w:t xml:space="preserve"> </w:t>
      </w:r>
      <w:r>
        <w:t>artículos</w:t>
      </w:r>
      <w:r>
        <w:rPr>
          <w:spacing w:val="14"/>
        </w:rPr>
        <w:t xml:space="preserve"> </w:t>
      </w:r>
      <w:r>
        <w:t>15</w:t>
      </w:r>
      <w:r>
        <w:rPr>
          <w:spacing w:val="13"/>
        </w:rPr>
        <w:t xml:space="preserve"> </w:t>
      </w:r>
      <w:r>
        <w:t>A,</w:t>
      </w:r>
      <w:r>
        <w:rPr>
          <w:spacing w:val="12"/>
        </w:rPr>
        <w:t xml:space="preserve"> </w:t>
      </w:r>
      <w:r>
        <w:t>15</w:t>
      </w:r>
      <w:r>
        <w:rPr>
          <w:spacing w:val="13"/>
        </w:rPr>
        <w:t xml:space="preserve"> </w:t>
      </w:r>
      <w:r>
        <w:t>B</w:t>
      </w:r>
      <w:r>
        <w:rPr>
          <w:spacing w:val="13"/>
        </w:rPr>
        <w:t xml:space="preserve"> </w:t>
      </w:r>
      <w:r>
        <w:t>N°</w:t>
      </w:r>
      <w:r>
        <w:rPr>
          <w:spacing w:val="14"/>
        </w:rPr>
        <w:t xml:space="preserve"> </w:t>
      </w:r>
      <w:r>
        <w:t>1</w:t>
      </w:r>
      <w:r>
        <w:rPr>
          <w:spacing w:val="13"/>
        </w:rPr>
        <w:t xml:space="preserve"> </w:t>
      </w:r>
      <w:r>
        <w:t>y</w:t>
      </w:r>
      <w:r>
        <w:rPr>
          <w:spacing w:val="12"/>
        </w:rPr>
        <w:t xml:space="preserve"> </w:t>
      </w:r>
      <w:r>
        <w:t>2</w:t>
      </w:r>
      <w:r>
        <w:rPr>
          <w:spacing w:val="15"/>
        </w:rPr>
        <w:t xml:space="preserve"> </w:t>
      </w:r>
      <w:r>
        <w:t>y</w:t>
      </w:r>
      <w:r>
        <w:rPr>
          <w:spacing w:val="13"/>
        </w:rPr>
        <w:t xml:space="preserve"> </w:t>
      </w:r>
      <w:r>
        <w:t>15</w:t>
      </w:r>
      <w:r>
        <w:rPr>
          <w:spacing w:val="12"/>
        </w:rPr>
        <w:t xml:space="preserve"> </w:t>
      </w:r>
      <w:r>
        <w:t>C</w:t>
      </w:r>
      <w:r>
        <w:rPr>
          <w:spacing w:val="13"/>
        </w:rPr>
        <w:t xml:space="preserve"> </w:t>
      </w:r>
      <w:r>
        <w:t>de</w:t>
      </w:r>
      <w:r>
        <w:rPr>
          <w:spacing w:val="13"/>
        </w:rPr>
        <w:t xml:space="preserve"> </w:t>
      </w:r>
      <w:r>
        <w:rPr>
          <w:spacing w:val="-5"/>
        </w:rPr>
        <w:t>la</w:t>
      </w:r>
    </w:p>
    <w:p w:rsidR="00F95F8B" w:rsidRDefault="00F95F8B">
      <w:pPr>
        <w:spacing w:line="276" w:lineRule="auto"/>
        <w:jc w:val="both"/>
        <w:sectPr w:rsidR="00F95F8B">
          <w:pgSz w:w="12240" w:h="15840"/>
          <w:pgMar w:top="1340" w:right="1580" w:bottom="280" w:left="1600" w:header="720" w:footer="720" w:gutter="0"/>
          <w:cols w:space="720"/>
        </w:sectPr>
      </w:pPr>
    </w:p>
    <w:p w:rsidR="00F95F8B" w:rsidRDefault="00860DB1">
      <w:pPr>
        <w:pStyle w:val="Textoindependiente"/>
        <w:spacing w:before="73" w:line="276" w:lineRule="auto"/>
        <w:ind w:left="102" w:right="117"/>
        <w:jc w:val="both"/>
      </w:pPr>
      <w:r>
        <w:t>Ley Orgánica de Gendarmería de Chile o cualquier otro delito sancionado con presidio o reclusión perpetua, o presidio perpetuo calificado, el adolescente que hubiere sido puesto a disposición del tribunal en calidad de detenido o se encontrare ya en intern</w:t>
      </w:r>
      <w:r>
        <w:t>ación provisoria, no podrá ser puesto en libertad mientras no se encontrare ejecutoriada la resolución que negare, sustituyere o revocare la internación provisoria. El recurso de apelación contra esta resolución deberá interponerse en la misma audiencia, g</w:t>
      </w:r>
      <w:r>
        <w:t>ozará de preferencia para su vista y fallo y será agregado extraordinariamente a la tabla el mismo día de su ingreso al Tribunal de Alzada, o a más tardar a la del día siguiente hábil. Cada Corte de Apelaciones deberá establecer una sala de turno que conoz</w:t>
      </w:r>
      <w:r>
        <w:t>ca estas apelaciones en días feriados.”.</w:t>
      </w:r>
    </w:p>
    <w:p w:rsidR="00F95F8B" w:rsidRDefault="00F95F8B">
      <w:pPr>
        <w:pStyle w:val="Textoindependiente"/>
        <w:rPr>
          <w:sz w:val="28"/>
        </w:rPr>
      </w:pPr>
    </w:p>
    <w:p w:rsidR="00F95F8B" w:rsidRDefault="00F95F8B">
      <w:pPr>
        <w:pStyle w:val="Textoindependiente"/>
        <w:spacing w:before="3"/>
        <w:rPr>
          <w:sz w:val="27"/>
        </w:rPr>
      </w:pPr>
    </w:p>
    <w:p w:rsidR="00F95F8B" w:rsidRDefault="00860DB1">
      <w:pPr>
        <w:pStyle w:val="Prrafodelista"/>
        <w:numPr>
          <w:ilvl w:val="0"/>
          <w:numId w:val="1"/>
        </w:numPr>
        <w:tabs>
          <w:tab w:val="left" w:pos="809"/>
          <w:tab w:val="left" w:pos="810"/>
        </w:tabs>
        <w:rPr>
          <w:sz w:val="24"/>
        </w:rPr>
      </w:pPr>
      <w:r>
        <w:rPr>
          <w:sz w:val="24"/>
        </w:rPr>
        <w:t>Incorpórense</w:t>
      </w:r>
      <w:r>
        <w:rPr>
          <w:spacing w:val="-8"/>
          <w:sz w:val="24"/>
        </w:rPr>
        <w:t xml:space="preserve"> </w:t>
      </w:r>
      <w:r>
        <w:rPr>
          <w:sz w:val="24"/>
        </w:rPr>
        <w:t>las</w:t>
      </w:r>
      <w:r>
        <w:rPr>
          <w:spacing w:val="-4"/>
          <w:sz w:val="24"/>
        </w:rPr>
        <w:t xml:space="preserve"> </w:t>
      </w:r>
      <w:r>
        <w:rPr>
          <w:sz w:val="24"/>
        </w:rPr>
        <w:t>siguientes</w:t>
      </w:r>
      <w:r>
        <w:rPr>
          <w:spacing w:val="-5"/>
          <w:sz w:val="24"/>
        </w:rPr>
        <w:t xml:space="preserve"> </w:t>
      </w:r>
      <w:r>
        <w:rPr>
          <w:sz w:val="24"/>
        </w:rPr>
        <w:t>modificaciones</w:t>
      </w:r>
      <w:r>
        <w:rPr>
          <w:spacing w:val="-4"/>
          <w:sz w:val="24"/>
        </w:rPr>
        <w:t xml:space="preserve"> </w:t>
      </w:r>
      <w:r>
        <w:rPr>
          <w:sz w:val="24"/>
        </w:rPr>
        <w:t>al</w:t>
      </w:r>
      <w:r>
        <w:rPr>
          <w:spacing w:val="-4"/>
          <w:sz w:val="24"/>
        </w:rPr>
        <w:t xml:space="preserve"> </w:t>
      </w:r>
      <w:r>
        <w:rPr>
          <w:sz w:val="24"/>
        </w:rPr>
        <w:t>artículo</w:t>
      </w:r>
      <w:r>
        <w:rPr>
          <w:spacing w:val="-4"/>
          <w:sz w:val="24"/>
        </w:rPr>
        <w:t xml:space="preserve"> </w:t>
      </w:r>
      <w:r>
        <w:rPr>
          <w:spacing w:val="-5"/>
          <w:sz w:val="24"/>
        </w:rPr>
        <w:t>52:</w:t>
      </w:r>
    </w:p>
    <w:p w:rsidR="00F95F8B" w:rsidRDefault="00F95F8B">
      <w:pPr>
        <w:pStyle w:val="Textoindependiente"/>
        <w:rPr>
          <w:sz w:val="28"/>
        </w:rPr>
      </w:pPr>
    </w:p>
    <w:p w:rsidR="00F95F8B" w:rsidRDefault="00F95F8B">
      <w:pPr>
        <w:pStyle w:val="Textoindependiente"/>
        <w:spacing w:before="10"/>
        <w:rPr>
          <w:sz w:val="30"/>
        </w:rPr>
      </w:pPr>
    </w:p>
    <w:p w:rsidR="00F95F8B" w:rsidRDefault="00860DB1">
      <w:pPr>
        <w:pStyle w:val="Prrafodelista"/>
        <w:numPr>
          <w:ilvl w:val="1"/>
          <w:numId w:val="1"/>
        </w:numPr>
        <w:tabs>
          <w:tab w:val="left" w:pos="809"/>
          <w:tab w:val="left" w:pos="810"/>
        </w:tabs>
        <w:spacing w:line="276" w:lineRule="auto"/>
        <w:ind w:right="117" w:firstLine="0"/>
        <w:rPr>
          <w:sz w:val="24"/>
        </w:rPr>
      </w:pPr>
      <w:r>
        <w:rPr>
          <w:sz w:val="24"/>
        </w:rPr>
        <w:t>Suprímase</w:t>
      </w:r>
      <w:r>
        <w:rPr>
          <w:spacing w:val="40"/>
          <w:sz w:val="24"/>
        </w:rPr>
        <w:t xml:space="preserve"> </w:t>
      </w:r>
      <w:r>
        <w:rPr>
          <w:sz w:val="24"/>
        </w:rPr>
        <w:t>en</w:t>
      </w:r>
      <w:r>
        <w:rPr>
          <w:spacing w:val="40"/>
          <w:sz w:val="24"/>
        </w:rPr>
        <w:t xml:space="preserve"> </w:t>
      </w:r>
      <w:r>
        <w:rPr>
          <w:sz w:val="24"/>
        </w:rPr>
        <w:t>el</w:t>
      </w:r>
      <w:r>
        <w:rPr>
          <w:spacing w:val="40"/>
          <w:sz w:val="24"/>
        </w:rPr>
        <w:t xml:space="preserve"> </w:t>
      </w:r>
      <w:r>
        <w:rPr>
          <w:sz w:val="24"/>
        </w:rPr>
        <w:t>inciso</w:t>
      </w:r>
      <w:r>
        <w:rPr>
          <w:spacing w:val="40"/>
          <w:sz w:val="24"/>
        </w:rPr>
        <w:t xml:space="preserve"> </w:t>
      </w:r>
      <w:r>
        <w:rPr>
          <w:sz w:val="24"/>
        </w:rPr>
        <w:t>primero</w:t>
      </w:r>
      <w:r>
        <w:rPr>
          <w:spacing w:val="40"/>
          <w:sz w:val="24"/>
        </w:rPr>
        <w:t xml:space="preserve"> </w:t>
      </w:r>
      <w:r>
        <w:rPr>
          <w:sz w:val="24"/>
        </w:rPr>
        <w:t>la</w:t>
      </w:r>
      <w:r>
        <w:rPr>
          <w:spacing w:val="40"/>
          <w:sz w:val="24"/>
        </w:rPr>
        <w:t xml:space="preserve"> </w:t>
      </w:r>
      <w:r>
        <w:rPr>
          <w:sz w:val="24"/>
        </w:rPr>
        <w:t>frase</w:t>
      </w:r>
      <w:r>
        <w:rPr>
          <w:spacing w:val="40"/>
          <w:sz w:val="24"/>
        </w:rPr>
        <w:t xml:space="preserve"> </w:t>
      </w:r>
      <w:r>
        <w:rPr>
          <w:sz w:val="24"/>
        </w:rPr>
        <w:t>“y</w:t>
      </w:r>
      <w:r>
        <w:rPr>
          <w:spacing w:val="40"/>
          <w:sz w:val="24"/>
        </w:rPr>
        <w:t xml:space="preserve"> </w:t>
      </w:r>
      <w:r>
        <w:rPr>
          <w:sz w:val="24"/>
        </w:rPr>
        <w:t>según</w:t>
      </w:r>
      <w:r>
        <w:rPr>
          <w:spacing w:val="40"/>
          <w:sz w:val="24"/>
        </w:rPr>
        <w:t xml:space="preserve"> </w:t>
      </w:r>
      <w:r>
        <w:rPr>
          <w:sz w:val="24"/>
        </w:rPr>
        <w:t>la</w:t>
      </w:r>
      <w:r>
        <w:rPr>
          <w:spacing w:val="40"/>
          <w:sz w:val="24"/>
        </w:rPr>
        <w:t xml:space="preserve"> </w:t>
      </w:r>
      <w:r>
        <w:rPr>
          <w:sz w:val="24"/>
        </w:rPr>
        <w:t>gravedad</w:t>
      </w:r>
      <w:r>
        <w:rPr>
          <w:spacing w:val="40"/>
          <w:sz w:val="24"/>
        </w:rPr>
        <w:t xml:space="preserve"> </w:t>
      </w:r>
      <w:r>
        <w:rPr>
          <w:sz w:val="24"/>
        </w:rPr>
        <w:t xml:space="preserve">del </w:t>
      </w:r>
      <w:r>
        <w:rPr>
          <w:spacing w:val="-2"/>
          <w:sz w:val="24"/>
        </w:rPr>
        <w:t>incumplimiento”.</w:t>
      </w:r>
    </w:p>
    <w:p w:rsidR="00F95F8B" w:rsidRDefault="00F95F8B">
      <w:pPr>
        <w:pStyle w:val="Textoindependiente"/>
        <w:spacing w:before="7"/>
        <w:rPr>
          <w:sz w:val="27"/>
        </w:rPr>
      </w:pPr>
    </w:p>
    <w:p w:rsidR="00F95F8B" w:rsidRDefault="00860DB1">
      <w:pPr>
        <w:pStyle w:val="Prrafodelista"/>
        <w:numPr>
          <w:ilvl w:val="1"/>
          <w:numId w:val="1"/>
        </w:numPr>
        <w:tabs>
          <w:tab w:val="left" w:pos="809"/>
          <w:tab w:val="left" w:pos="810"/>
        </w:tabs>
        <w:ind w:left="810"/>
        <w:rPr>
          <w:sz w:val="24"/>
        </w:rPr>
      </w:pPr>
      <w:r>
        <w:rPr>
          <w:sz w:val="24"/>
        </w:rPr>
        <w:t>Agréguese</w:t>
      </w:r>
      <w:r>
        <w:rPr>
          <w:spacing w:val="-4"/>
          <w:sz w:val="24"/>
        </w:rPr>
        <w:t xml:space="preserve"> </w:t>
      </w:r>
      <w:r>
        <w:rPr>
          <w:sz w:val="24"/>
        </w:rPr>
        <w:t>un</w:t>
      </w:r>
      <w:r>
        <w:rPr>
          <w:spacing w:val="-3"/>
          <w:sz w:val="24"/>
        </w:rPr>
        <w:t xml:space="preserve"> </w:t>
      </w:r>
      <w:r>
        <w:rPr>
          <w:sz w:val="24"/>
        </w:rPr>
        <w:t>inciso</w:t>
      </w:r>
      <w:r>
        <w:rPr>
          <w:spacing w:val="-2"/>
          <w:sz w:val="24"/>
        </w:rPr>
        <w:t xml:space="preserve"> </w:t>
      </w:r>
      <w:r>
        <w:rPr>
          <w:sz w:val="24"/>
        </w:rPr>
        <w:t>final</w:t>
      </w:r>
      <w:r>
        <w:rPr>
          <w:spacing w:val="-2"/>
          <w:sz w:val="24"/>
        </w:rPr>
        <w:t xml:space="preserve"> </w:t>
      </w:r>
      <w:r>
        <w:rPr>
          <w:sz w:val="24"/>
        </w:rPr>
        <w:t>nuevo</w:t>
      </w:r>
      <w:r>
        <w:rPr>
          <w:spacing w:val="-3"/>
          <w:sz w:val="24"/>
        </w:rPr>
        <w:t xml:space="preserve"> </w:t>
      </w:r>
      <w:r>
        <w:rPr>
          <w:sz w:val="24"/>
        </w:rPr>
        <w:t>del</w:t>
      </w:r>
      <w:r>
        <w:rPr>
          <w:spacing w:val="-3"/>
          <w:sz w:val="24"/>
        </w:rPr>
        <w:t xml:space="preserve"> </w:t>
      </w:r>
      <w:r>
        <w:rPr>
          <w:sz w:val="24"/>
        </w:rPr>
        <w:t>siguiente</w:t>
      </w:r>
      <w:r>
        <w:rPr>
          <w:spacing w:val="-2"/>
          <w:sz w:val="24"/>
        </w:rPr>
        <w:t xml:space="preserve"> tenor:</w:t>
      </w:r>
    </w:p>
    <w:p w:rsidR="00F95F8B" w:rsidRDefault="00F95F8B">
      <w:pPr>
        <w:pStyle w:val="Textoindependiente"/>
        <w:spacing w:before="2"/>
        <w:rPr>
          <w:sz w:val="31"/>
        </w:rPr>
      </w:pPr>
    </w:p>
    <w:p w:rsidR="00F95F8B" w:rsidRDefault="00860DB1">
      <w:pPr>
        <w:pStyle w:val="Textoindependiente"/>
        <w:spacing w:before="1" w:line="276" w:lineRule="auto"/>
        <w:ind w:left="102" w:right="118"/>
        <w:jc w:val="both"/>
      </w:pPr>
      <w:r>
        <w:t>“El quebrantamiento de la internación en régimen cerrado con programa</w:t>
      </w:r>
      <w:r>
        <w:rPr>
          <w:spacing w:val="40"/>
        </w:rPr>
        <w:t xml:space="preserve"> </w:t>
      </w:r>
      <w:r>
        <w:t>de reinserción social será sancionado con la internación en el propio</w:t>
      </w:r>
      <w:r>
        <w:rPr>
          <w:spacing w:val="40"/>
        </w:rPr>
        <w:t xml:space="preserve"> </w:t>
      </w:r>
      <w:r>
        <w:t>centro por un período idéntico al tiempo que durare el quebrantamiento, hasta un máximo de un año, el que se cumplir</w:t>
      </w:r>
      <w:r>
        <w:t>á con posterioridad al término de la pena originalmente impuesta.”.</w:t>
      </w:r>
    </w:p>
    <w:p w:rsidR="00F95F8B" w:rsidRDefault="00F95F8B">
      <w:pPr>
        <w:pStyle w:val="Textoindependiente"/>
        <w:rPr>
          <w:sz w:val="28"/>
        </w:rPr>
      </w:pPr>
    </w:p>
    <w:p w:rsidR="00F95F8B" w:rsidRDefault="00F95F8B">
      <w:pPr>
        <w:pStyle w:val="Textoindependiente"/>
        <w:spacing w:before="2"/>
        <w:rPr>
          <w:sz w:val="27"/>
        </w:rPr>
      </w:pPr>
    </w:p>
    <w:p w:rsidR="00F95F8B" w:rsidRDefault="00860DB1">
      <w:pPr>
        <w:pStyle w:val="Textoindependiente"/>
        <w:ind w:right="16"/>
        <w:jc w:val="center"/>
      </w:pPr>
      <w:r>
        <w:t>Andrés</w:t>
      </w:r>
      <w:r>
        <w:rPr>
          <w:spacing w:val="-7"/>
        </w:rPr>
        <w:t xml:space="preserve"> </w:t>
      </w:r>
      <w:r>
        <w:t>Longton</w:t>
      </w:r>
      <w:r>
        <w:rPr>
          <w:spacing w:val="-5"/>
        </w:rPr>
        <w:t xml:space="preserve"> H.</w:t>
      </w:r>
    </w:p>
    <w:sectPr w:rsidR="00F95F8B">
      <w:pgSz w:w="12240" w:h="15840"/>
      <w:pgMar w:top="134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altName w:val="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C10CA"/>
    <w:multiLevelType w:val="hybridMultilevel"/>
    <w:tmpl w:val="71E609B8"/>
    <w:lvl w:ilvl="0" w:tplc="4A82DA80">
      <w:numFmt w:val="bullet"/>
      <w:lvlText w:val="•"/>
      <w:lvlJc w:val="left"/>
      <w:pPr>
        <w:ind w:left="102" w:hanging="708"/>
      </w:pPr>
      <w:rPr>
        <w:rFonts w:ascii="Bookman Old Style" w:eastAsia="Bookman Old Style" w:hAnsi="Bookman Old Style" w:cs="Bookman Old Style" w:hint="default"/>
        <w:b w:val="0"/>
        <w:bCs w:val="0"/>
        <w:i w:val="0"/>
        <w:iCs w:val="0"/>
        <w:w w:val="100"/>
        <w:sz w:val="24"/>
        <w:szCs w:val="24"/>
        <w:lang w:val="es-ES" w:eastAsia="en-US" w:bidi="ar-SA"/>
      </w:rPr>
    </w:lvl>
    <w:lvl w:ilvl="1" w:tplc="07745D4E">
      <w:numFmt w:val="bullet"/>
      <w:lvlText w:val="•"/>
      <w:lvlJc w:val="left"/>
      <w:pPr>
        <w:ind w:left="996" w:hanging="708"/>
      </w:pPr>
      <w:rPr>
        <w:rFonts w:hint="default"/>
        <w:lang w:val="es-ES" w:eastAsia="en-US" w:bidi="ar-SA"/>
      </w:rPr>
    </w:lvl>
    <w:lvl w:ilvl="2" w:tplc="D06A0A54">
      <w:numFmt w:val="bullet"/>
      <w:lvlText w:val="•"/>
      <w:lvlJc w:val="left"/>
      <w:pPr>
        <w:ind w:left="1892" w:hanging="708"/>
      </w:pPr>
      <w:rPr>
        <w:rFonts w:hint="default"/>
        <w:lang w:val="es-ES" w:eastAsia="en-US" w:bidi="ar-SA"/>
      </w:rPr>
    </w:lvl>
    <w:lvl w:ilvl="3" w:tplc="9DAA3028">
      <w:numFmt w:val="bullet"/>
      <w:lvlText w:val="•"/>
      <w:lvlJc w:val="left"/>
      <w:pPr>
        <w:ind w:left="2788" w:hanging="708"/>
      </w:pPr>
      <w:rPr>
        <w:rFonts w:hint="default"/>
        <w:lang w:val="es-ES" w:eastAsia="en-US" w:bidi="ar-SA"/>
      </w:rPr>
    </w:lvl>
    <w:lvl w:ilvl="4" w:tplc="C046E9DC">
      <w:numFmt w:val="bullet"/>
      <w:lvlText w:val="•"/>
      <w:lvlJc w:val="left"/>
      <w:pPr>
        <w:ind w:left="3684" w:hanging="708"/>
      </w:pPr>
      <w:rPr>
        <w:rFonts w:hint="default"/>
        <w:lang w:val="es-ES" w:eastAsia="en-US" w:bidi="ar-SA"/>
      </w:rPr>
    </w:lvl>
    <w:lvl w:ilvl="5" w:tplc="4672D3B2">
      <w:numFmt w:val="bullet"/>
      <w:lvlText w:val="•"/>
      <w:lvlJc w:val="left"/>
      <w:pPr>
        <w:ind w:left="4580" w:hanging="708"/>
      </w:pPr>
      <w:rPr>
        <w:rFonts w:hint="default"/>
        <w:lang w:val="es-ES" w:eastAsia="en-US" w:bidi="ar-SA"/>
      </w:rPr>
    </w:lvl>
    <w:lvl w:ilvl="6" w:tplc="D9DC4FCC">
      <w:numFmt w:val="bullet"/>
      <w:lvlText w:val="•"/>
      <w:lvlJc w:val="left"/>
      <w:pPr>
        <w:ind w:left="5476" w:hanging="708"/>
      </w:pPr>
      <w:rPr>
        <w:rFonts w:hint="default"/>
        <w:lang w:val="es-ES" w:eastAsia="en-US" w:bidi="ar-SA"/>
      </w:rPr>
    </w:lvl>
    <w:lvl w:ilvl="7" w:tplc="A9C2F738">
      <w:numFmt w:val="bullet"/>
      <w:lvlText w:val="•"/>
      <w:lvlJc w:val="left"/>
      <w:pPr>
        <w:ind w:left="6372" w:hanging="708"/>
      </w:pPr>
      <w:rPr>
        <w:rFonts w:hint="default"/>
        <w:lang w:val="es-ES" w:eastAsia="en-US" w:bidi="ar-SA"/>
      </w:rPr>
    </w:lvl>
    <w:lvl w:ilvl="8" w:tplc="D9DC6502">
      <w:numFmt w:val="bullet"/>
      <w:lvlText w:val="•"/>
      <w:lvlJc w:val="left"/>
      <w:pPr>
        <w:ind w:left="7268" w:hanging="708"/>
      </w:pPr>
      <w:rPr>
        <w:rFonts w:hint="default"/>
        <w:lang w:val="es-ES" w:eastAsia="en-US" w:bidi="ar-SA"/>
      </w:rPr>
    </w:lvl>
  </w:abstractNum>
  <w:abstractNum w:abstractNumId="1" w15:restartNumberingAfterBreak="0">
    <w:nsid w:val="2DA42605"/>
    <w:multiLevelType w:val="hybridMultilevel"/>
    <w:tmpl w:val="9C1446C6"/>
    <w:lvl w:ilvl="0" w:tplc="772C3DE0">
      <w:numFmt w:val="bullet"/>
      <w:lvlText w:val="•"/>
      <w:lvlJc w:val="left"/>
      <w:pPr>
        <w:ind w:left="102" w:hanging="708"/>
      </w:pPr>
      <w:rPr>
        <w:rFonts w:ascii="Bookman Old Style" w:eastAsia="Bookman Old Style" w:hAnsi="Bookman Old Style" w:cs="Bookman Old Style" w:hint="default"/>
        <w:b w:val="0"/>
        <w:bCs w:val="0"/>
        <w:i w:val="0"/>
        <w:iCs w:val="0"/>
        <w:w w:val="100"/>
        <w:sz w:val="24"/>
        <w:szCs w:val="24"/>
        <w:lang w:val="es-ES" w:eastAsia="en-US" w:bidi="ar-SA"/>
      </w:rPr>
    </w:lvl>
    <w:lvl w:ilvl="1" w:tplc="2550F0CA">
      <w:numFmt w:val="bullet"/>
      <w:lvlText w:val="•"/>
      <w:lvlJc w:val="left"/>
      <w:pPr>
        <w:ind w:left="996" w:hanging="708"/>
      </w:pPr>
      <w:rPr>
        <w:rFonts w:hint="default"/>
        <w:lang w:val="es-ES" w:eastAsia="en-US" w:bidi="ar-SA"/>
      </w:rPr>
    </w:lvl>
    <w:lvl w:ilvl="2" w:tplc="0A0E2E6E">
      <w:numFmt w:val="bullet"/>
      <w:lvlText w:val="•"/>
      <w:lvlJc w:val="left"/>
      <w:pPr>
        <w:ind w:left="1892" w:hanging="708"/>
      </w:pPr>
      <w:rPr>
        <w:rFonts w:hint="default"/>
        <w:lang w:val="es-ES" w:eastAsia="en-US" w:bidi="ar-SA"/>
      </w:rPr>
    </w:lvl>
    <w:lvl w:ilvl="3" w:tplc="B98A757E">
      <w:numFmt w:val="bullet"/>
      <w:lvlText w:val="•"/>
      <w:lvlJc w:val="left"/>
      <w:pPr>
        <w:ind w:left="2788" w:hanging="708"/>
      </w:pPr>
      <w:rPr>
        <w:rFonts w:hint="default"/>
        <w:lang w:val="es-ES" w:eastAsia="en-US" w:bidi="ar-SA"/>
      </w:rPr>
    </w:lvl>
    <w:lvl w:ilvl="4" w:tplc="F9526168">
      <w:numFmt w:val="bullet"/>
      <w:lvlText w:val="•"/>
      <w:lvlJc w:val="left"/>
      <w:pPr>
        <w:ind w:left="3684" w:hanging="708"/>
      </w:pPr>
      <w:rPr>
        <w:rFonts w:hint="default"/>
        <w:lang w:val="es-ES" w:eastAsia="en-US" w:bidi="ar-SA"/>
      </w:rPr>
    </w:lvl>
    <w:lvl w:ilvl="5" w:tplc="3990A168">
      <w:numFmt w:val="bullet"/>
      <w:lvlText w:val="•"/>
      <w:lvlJc w:val="left"/>
      <w:pPr>
        <w:ind w:left="4580" w:hanging="708"/>
      </w:pPr>
      <w:rPr>
        <w:rFonts w:hint="default"/>
        <w:lang w:val="es-ES" w:eastAsia="en-US" w:bidi="ar-SA"/>
      </w:rPr>
    </w:lvl>
    <w:lvl w:ilvl="6" w:tplc="7C622D0E">
      <w:numFmt w:val="bullet"/>
      <w:lvlText w:val="•"/>
      <w:lvlJc w:val="left"/>
      <w:pPr>
        <w:ind w:left="5476" w:hanging="708"/>
      </w:pPr>
      <w:rPr>
        <w:rFonts w:hint="default"/>
        <w:lang w:val="es-ES" w:eastAsia="en-US" w:bidi="ar-SA"/>
      </w:rPr>
    </w:lvl>
    <w:lvl w:ilvl="7" w:tplc="E2FC9C1A">
      <w:numFmt w:val="bullet"/>
      <w:lvlText w:val="•"/>
      <w:lvlJc w:val="left"/>
      <w:pPr>
        <w:ind w:left="6372" w:hanging="708"/>
      </w:pPr>
      <w:rPr>
        <w:rFonts w:hint="default"/>
        <w:lang w:val="es-ES" w:eastAsia="en-US" w:bidi="ar-SA"/>
      </w:rPr>
    </w:lvl>
    <w:lvl w:ilvl="8" w:tplc="FD6E248A">
      <w:numFmt w:val="bullet"/>
      <w:lvlText w:val="•"/>
      <w:lvlJc w:val="left"/>
      <w:pPr>
        <w:ind w:left="7268" w:hanging="708"/>
      </w:pPr>
      <w:rPr>
        <w:rFonts w:hint="default"/>
        <w:lang w:val="es-ES" w:eastAsia="en-US" w:bidi="ar-SA"/>
      </w:rPr>
    </w:lvl>
  </w:abstractNum>
  <w:abstractNum w:abstractNumId="2" w15:restartNumberingAfterBreak="0">
    <w:nsid w:val="5F1F68F9"/>
    <w:multiLevelType w:val="hybridMultilevel"/>
    <w:tmpl w:val="D1842FCE"/>
    <w:lvl w:ilvl="0" w:tplc="6EC03F6A">
      <w:start w:val="1"/>
      <w:numFmt w:val="decimal"/>
      <w:lvlText w:val="%1)"/>
      <w:lvlJc w:val="left"/>
      <w:pPr>
        <w:ind w:left="810" w:hanging="708"/>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1" w:tplc="3AA08FFE">
      <w:start w:val="1"/>
      <w:numFmt w:val="lowerLetter"/>
      <w:lvlText w:val="%2)"/>
      <w:lvlJc w:val="left"/>
      <w:pPr>
        <w:ind w:left="102" w:hanging="708"/>
        <w:jc w:val="left"/>
      </w:pPr>
      <w:rPr>
        <w:rFonts w:ascii="Bookman Old Style" w:eastAsia="Bookman Old Style" w:hAnsi="Bookman Old Style" w:cs="Bookman Old Style" w:hint="default"/>
        <w:b w:val="0"/>
        <w:bCs w:val="0"/>
        <w:i w:val="0"/>
        <w:iCs w:val="0"/>
        <w:spacing w:val="-1"/>
        <w:w w:val="100"/>
        <w:sz w:val="24"/>
        <w:szCs w:val="24"/>
        <w:lang w:val="es-ES" w:eastAsia="en-US" w:bidi="ar-SA"/>
      </w:rPr>
    </w:lvl>
    <w:lvl w:ilvl="2" w:tplc="8E8AE4D6">
      <w:numFmt w:val="bullet"/>
      <w:lvlText w:val="•"/>
      <w:lvlJc w:val="left"/>
      <w:pPr>
        <w:ind w:left="1735" w:hanging="708"/>
      </w:pPr>
      <w:rPr>
        <w:rFonts w:hint="default"/>
        <w:lang w:val="es-ES" w:eastAsia="en-US" w:bidi="ar-SA"/>
      </w:rPr>
    </w:lvl>
    <w:lvl w:ilvl="3" w:tplc="69B23A0C">
      <w:numFmt w:val="bullet"/>
      <w:lvlText w:val="•"/>
      <w:lvlJc w:val="left"/>
      <w:pPr>
        <w:ind w:left="2651" w:hanging="708"/>
      </w:pPr>
      <w:rPr>
        <w:rFonts w:hint="default"/>
        <w:lang w:val="es-ES" w:eastAsia="en-US" w:bidi="ar-SA"/>
      </w:rPr>
    </w:lvl>
    <w:lvl w:ilvl="4" w:tplc="3FBA2948">
      <w:numFmt w:val="bullet"/>
      <w:lvlText w:val="•"/>
      <w:lvlJc w:val="left"/>
      <w:pPr>
        <w:ind w:left="3566" w:hanging="708"/>
      </w:pPr>
      <w:rPr>
        <w:rFonts w:hint="default"/>
        <w:lang w:val="es-ES" w:eastAsia="en-US" w:bidi="ar-SA"/>
      </w:rPr>
    </w:lvl>
    <w:lvl w:ilvl="5" w:tplc="384899A4">
      <w:numFmt w:val="bullet"/>
      <w:lvlText w:val="•"/>
      <w:lvlJc w:val="left"/>
      <w:pPr>
        <w:ind w:left="4482" w:hanging="708"/>
      </w:pPr>
      <w:rPr>
        <w:rFonts w:hint="default"/>
        <w:lang w:val="es-ES" w:eastAsia="en-US" w:bidi="ar-SA"/>
      </w:rPr>
    </w:lvl>
    <w:lvl w:ilvl="6" w:tplc="A104ADA6">
      <w:numFmt w:val="bullet"/>
      <w:lvlText w:val="•"/>
      <w:lvlJc w:val="left"/>
      <w:pPr>
        <w:ind w:left="5397" w:hanging="708"/>
      </w:pPr>
      <w:rPr>
        <w:rFonts w:hint="default"/>
        <w:lang w:val="es-ES" w:eastAsia="en-US" w:bidi="ar-SA"/>
      </w:rPr>
    </w:lvl>
    <w:lvl w:ilvl="7" w:tplc="6C404D36">
      <w:numFmt w:val="bullet"/>
      <w:lvlText w:val="•"/>
      <w:lvlJc w:val="left"/>
      <w:pPr>
        <w:ind w:left="6313" w:hanging="708"/>
      </w:pPr>
      <w:rPr>
        <w:rFonts w:hint="default"/>
        <w:lang w:val="es-ES" w:eastAsia="en-US" w:bidi="ar-SA"/>
      </w:rPr>
    </w:lvl>
    <w:lvl w:ilvl="8" w:tplc="97BCA0BE">
      <w:numFmt w:val="bullet"/>
      <w:lvlText w:val="•"/>
      <w:lvlJc w:val="left"/>
      <w:pPr>
        <w:ind w:left="7228" w:hanging="708"/>
      </w:pPr>
      <w:rPr>
        <w:rFonts w:hint="default"/>
        <w:lang w:val="es-E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95F8B"/>
    <w:rsid w:val="00860DB1"/>
    <w:rsid w:val="00F95F8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23ED1A-BED4-44C6-BA30-EFD4E54DE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man Old Style" w:eastAsia="Bookman Old Style" w:hAnsi="Bookman Old Style" w:cs="Bookman Old Styl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Ttulo">
    <w:name w:val="Title"/>
    <w:basedOn w:val="Normal"/>
    <w:uiPriority w:val="10"/>
    <w:qFormat/>
    <w:pPr>
      <w:spacing w:before="74"/>
      <w:ind w:left="102" w:right="117"/>
      <w:jc w:val="both"/>
    </w:pPr>
    <w:rPr>
      <w:sz w:val="32"/>
      <w:szCs w:val="32"/>
    </w:r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2163</Words>
  <Characters>11897</Characters>
  <Application>Microsoft Office Word</Application>
  <DocSecurity>0</DocSecurity>
  <Lines>99</Lines>
  <Paragraphs>28</Paragraphs>
  <ScaleCrop>false</ScaleCrop>
  <Company/>
  <LinksUpToDate>false</LinksUpToDate>
  <CharactersWithSpaces>14032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Mera Schmidt</dc:creator>
  <cp:lastModifiedBy>Guillermo Diaz Vallejos</cp:lastModifiedBy>
  <cp:revision>1</cp:revision>
  <dcterms:created xsi:type="dcterms:W3CDTF">2023-04-24T22:41:00Z</dcterms:created>
  <dcterms:modified xsi:type="dcterms:W3CDTF">2023-05-15T23:18:00Z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