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341" w:rsidRDefault="001A749E">
      <w:pPr>
        <w:pStyle w:val="Textoindependiente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35636" cy="722376"/>
            <wp:effectExtent l="0" t="0" r="0" b="0"/>
            <wp:docPr id="1" name="image1.pn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636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341" w:rsidRDefault="00411341">
      <w:pPr>
        <w:pStyle w:val="Textoindependiente"/>
        <w:rPr>
          <w:sz w:val="20"/>
        </w:rPr>
      </w:pPr>
    </w:p>
    <w:p w:rsidR="00411341" w:rsidRDefault="00411341">
      <w:pPr>
        <w:pStyle w:val="Textoindependiente"/>
        <w:rPr>
          <w:sz w:val="20"/>
        </w:rPr>
      </w:pPr>
    </w:p>
    <w:p w:rsidR="00411341" w:rsidRDefault="00411341">
      <w:pPr>
        <w:pStyle w:val="Textoindependiente"/>
        <w:rPr>
          <w:sz w:val="20"/>
        </w:rPr>
      </w:pPr>
    </w:p>
    <w:p w:rsidR="00411341" w:rsidRDefault="001A749E">
      <w:pPr>
        <w:tabs>
          <w:tab w:val="left" w:pos="2300"/>
          <w:tab w:val="left" w:pos="2857"/>
          <w:tab w:val="left" w:pos="3567"/>
          <w:tab w:val="left" w:pos="4312"/>
          <w:tab w:val="left" w:pos="5970"/>
          <w:tab w:val="left" w:pos="6829"/>
          <w:tab w:val="left" w:pos="8079"/>
        </w:tabs>
        <w:spacing w:before="209" w:line="480" w:lineRule="auto"/>
        <w:ind w:left="722" w:right="118"/>
        <w:rPr>
          <w:b/>
          <w:sz w:val="24"/>
        </w:rPr>
      </w:pPr>
      <w:r>
        <w:rPr>
          <w:b/>
          <w:spacing w:val="-2"/>
          <w:sz w:val="24"/>
        </w:rPr>
        <w:t>PROYECTO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LEY</w:t>
      </w:r>
      <w:r>
        <w:rPr>
          <w:b/>
          <w:sz w:val="24"/>
        </w:rPr>
        <w:tab/>
      </w:r>
      <w:r>
        <w:rPr>
          <w:b/>
          <w:spacing w:val="-4"/>
          <w:sz w:val="24"/>
        </w:rPr>
        <w:t>QUE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INHABILITA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PARA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RECIBIR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BENEFICIOS SOCIALES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QUIEN, MEDIANTE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VIOLENCIA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CLANDESTINIDAD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OCUPE</w:t>
      </w:r>
    </w:p>
    <w:p w:rsidR="00411341" w:rsidRDefault="001A749E">
      <w:pPr>
        <w:ind w:left="722"/>
        <w:rPr>
          <w:b/>
          <w:sz w:val="24"/>
        </w:rPr>
      </w:pPr>
      <w:r>
        <w:pict>
          <v:shape id="docshape1" o:spid="_x0000_s1026" style="position:absolute;left:0;text-align:left;margin-left:82.5pt;margin-top:16.9pt;width:439.5pt;height:.1pt;z-index:-251658752;mso-wrap-distance-left:0;mso-wrap-distance-right:0;mso-position-horizontal-relative:page" coordorigin="1650,338" coordsize="8790,0" path="m1650,338r8790,e" filled="f" strokeweight=".5pt">
            <v:path arrowok="t"/>
            <w10:wrap type="topAndBottom" anchorx="page"/>
          </v:shape>
        </w:pict>
      </w:r>
      <w:r>
        <w:rPr>
          <w:b/>
          <w:sz w:val="24"/>
        </w:rPr>
        <w:t>ILEGALMENTE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INMUEBLE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AJENO</w:t>
      </w:r>
    </w:p>
    <w:p w:rsidR="00411341" w:rsidRDefault="00411341">
      <w:pPr>
        <w:pStyle w:val="Textoindependiente"/>
        <w:spacing w:before="2"/>
        <w:rPr>
          <w:b/>
          <w:sz w:val="32"/>
        </w:rPr>
      </w:pPr>
    </w:p>
    <w:p w:rsidR="00411341" w:rsidRDefault="001A749E">
      <w:pPr>
        <w:pStyle w:val="Prrafodelista"/>
        <w:numPr>
          <w:ilvl w:val="0"/>
          <w:numId w:val="1"/>
        </w:numPr>
        <w:tabs>
          <w:tab w:val="left" w:pos="1441"/>
          <w:tab w:val="left" w:pos="1442"/>
        </w:tabs>
        <w:jc w:val="left"/>
        <w:rPr>
          <w:b/>
          <w:sz w:val="24"/>
        </w:rPr>
      </w:pPr>
      <w:r>
        <w:rPr>
          <w:b/>
          <w:spacing w:val="-2"/>
          <w:sz w:val="24"/>
        </w:rPr>
        <w:t>FUNDAMENTOS:</w:t>
      </w:r>
    </w:p>
    <w:p w:rsidR="00411341" w:rsidRDefault="00411341">
      <w:pPr>
        <w:pStyle w:val="Textoindependiente"/>
        <w:rPr>
          <w:b/>
        </w:rPr>
      </w:pPr>
    </w:p>
    <w:p w:rsidR="00411341" w:rsidRDefault="001A749E">
      <w:pPr>
        <w:pStyle w:val="Textoindependiente"/>
        <w:spacing w:line="480" w:lineRule="auto"/>
        <w:ind w:left="1442" w:right="116"/>
        <w:jc w:val="both"/>
      </w:pP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propiedad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atribuciones</w:t>
      </w:r>
      <w:r>
        <w:rPr>
          <w:spacing w:val="-4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importantes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otorga a las personas que adquieren cualquier clase de bienes, y se encuentra protegido constitucionalmente en el artículo 19 N° 24 de nuestra Carta Fundamental.</w:t>
      </w:r>
    </w:p>
    <w:p w:rsidR="00411341" w:rsidRDefault="001A749E">
      <w:pPr>
        <w:pStyle w:val="Textoindependiente"/>
        <w:spacing w:line="480" w:lineRule="auto"/>
        <w:ind w:left="1442" w:right="120"/>
        <w:jc w:val="both"/>
      </w:pPr>
      <w:r>
        <w:t>En este contexto, existen una serie de acciones judiciales, ya sean civiles o penales, destina</w:t>
      </w:r>
      <w:r>
        <w:t>das a defender al dueño de un bien mueble o inmueble respecto a las turbaciones que estén siendo provocadas por una tercera persona en contra de su propiedad. Así, el título noveno de nuestro Código Penal establece cuales son los crímenes y simples delitos</w:t>
      </w:r>
      <w:r>
        <w:t xml:space="preserve"> en contra de la propiedad.</w:t>
      </w:r>
    </w:p>
    <w:p w:rsidR="00411341" w:rsidRDefault="001A749E">
      <w:pPr>
        <w:pStyle w:val="Textoindependiente"/>
        <w:spacing w:before="1" w:line="480" w:lineRule="auto"/>
        <w:ind w:left="1442" w:right="114"/>
        <w:jc w:val="both"/>
      </w:pPr>
      <w:r>
        <w:t>Durante el último tiempo este tipo de hechos ha tomado mayor notoriedad, pues existen personas que no sienten ningún tipo de remordimiento al ingresar a una propiedad ajena para ocupar ilegalmente el lugar, teniendo pleno conoci</w:t>
      </w:r>
      <w:r>
        <w:t>miento que el inmueble en cuestión pertenece a otra persona.</w:t>
      </w:r>
    </w:p>
    <w:p w:rsidR="00411341" w:rsidRDefault="001A749E">
      <w:pPr>
        <w:pStyle w:val="Textoindependiente"/>
        <w:spacing w:line="480" w:lineRule="auto"/>
        <w:ind w:left="1442" w:right="116"/>
        <w:jc w:val="both"/>
      </w:pPr>
      <w:r>
        <w:t>Lamentablemente, nuestra legislación penal es muy débil al castigar este tipo de conductas, pues el artículo 457° del Código Penal sólo aplica una multa de once a veinte</w:t>
      </w:r>
      <w:r>
        <w:rPr>
          <w:spacing w:val="-9"/>
        </w:rPr>
        <w:t xml:space="preserve"> </w:t>
      </w:r>
      <w:r>
        <w:t>unidades</w:t>
      </w:r>
      <w:r>
        <w:rPr>
          <w:spacing w:val="-8"/>
        </w:rPr>
        <w:t xml:space="preserve"> </w:t>
      </w:r>
      <w:r>
        <w:t>tributarias</w:t>
      </w:r>
      <w:r>
        <w:rPr>
          <w:spacing w:val="-8"/>
        </w:rPr>
        <w:t xml:space="preserve"> </w:t>
      </w:r>
      <w:r>
        <w:t>mens</w:t>
      </w:r>
      <w:r>
        <w:t>uales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quien</w:t>
      </w:r>
      <w:r>
        <w:rPr>
          <w:spacing w:val="-9"/>
        </w:rPr>
        <w:t xml:space="preserve"> </w:t>
      </w:r>
      <w:r>
        <w:t>ocupe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inmueble</w:t>
      </w:r>
      <w:r>
        <w:rPr>
          <w:spacing w:val="-6"/>
        </w:rPr>
        <w:t xml:space="preserve"> </w:t>
      </w:r>
      <w:r>
        <w:t>ajeno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violencia o</w:t>
      </w:r>
      <w:r>
        <w:rPr>
          <w:spacing w:val="14"/>
        </w:rPr>
        <w:t xml:space="preserve"> </w:t>
      </w:r>
      <w:r>
        <w:t>bien,</w:t>
      </w:r>
      <w:r>
        <w:rPr>
          <w:spacing w:val="15"/>
        </w:rPr>
        <w:t xml:space="preserve"> </w:t>
      </w:r>
      <w:r>
        <w:t>que,</w:t>
      </w:r>
      <w:r>
        <w:rPr>
          <w:spacing w:val="16"/>
        </w:rPr>
        <w:t xml:space="preserve"> </w:t>
      </w:r>
      <w:r>
        <w:t>haciendo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ocupación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ausencia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legítimo</w:t>
      </w:r>
      <w:r>
        <w:rPr>
          <w:spacing w:val="16"/>
        </w:rPr>
        <w:t xml:space="preserve"> </w:t>
      </w:r>
      <w:r>
        <w:t>poseedor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tenedor,</w:t>
      </w:r>
      <w:r>
        <w:rPr>
          <w:spacing w:val="15"/>
        </w:rPr>
        <w:t xml:space="preserve"> </w:t>
      </w:r>
      <w:r>
        <w:rPr>
          <w:spacing w:val="-5"/>
        </w:rPr>
        <w:t>lo</w:t>
      </w:r>
    </w:p>
    <w:p w:rsidR="00411341" w:rsidRDefault="00411341">
      <w:pPr>
        <w:spacing w:line="480" w:lineRule="auto"/>
        <w:jc w:val="both"/>
        <w:sectPr w:rsidR="00411341">
          <w:type w:val="continuous"/>
          <w:pgSz w:w="12240" w:h="15840"/>
          <w:pgMar w:top="1440" w:right="1580" w:bottom="280" w:left="980" w:header="720" w:footer="720" w:gutter="0"/>
          <w:cols w:space="720"/>
        </w:sectPr>
      </w:pPr>
    </w:p>
    <w:p w:rsidR="00411341" w:rsidRDefault="001A749E">
      <w:pPr>
        <w:pStyle w:val="Textoindependiente"/>
        <w:spacing w:before="75" w:line="480" w:lineRule="auto"/>
        <w:ind w:left="1442" w:right="120"/>
        <w:jc w:val="both"/>
      </w:pPr>
      <w:r>
        <w:lastRenderedPageBreak/>
        <w:t>repeliere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volver,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vez,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458°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cuerpo</w:t>
      </w:r>
      <w:r>
        <w:rPr>
          <w:spacing w:val="-14"/>
        </w:rPr>
        <w:t xml:space="preserve"> </w:t>
      </w:r>
      <w:r>
        <w:t>normativo,</w:t>
      </w:r>
      <w:r>
        <w:rPr>
          <w:spacing w:val="-13"/>
        </w:rPr>
        <w:t xml:space="preserve"> </w:t>
      </w:r>
      <w:r>
        <w:t>establece que si estos hechos fuesen ejecutados sin violencia, la pena será de una multa oscilante entre seis y diez unidades tributarias mensuales.</w:t>
      </w:r>
    </w:p>
    <w:p w:rsidR="00411341" w:rsidRDefault="001A749E">
      <w:pPr>
        <w:pStyle w:val="Textoindependiente"/>
        <w:spacing w:line="480" w:lineRule="auto"/>
        <w:ind w:left="1442" w:right="118"/>
        <w:jc w:val="both"/>
      </w:pPr>
      <w:r>
        <w:t>Las bajas penas asociadas a estas conductas traen como consecuencia que las personas sigan ejecutándolas si</w:t>
      </w:r>
      <w:r>
        <w:t>n temor a ser castigados, pues el efecto disuasivo es nulo y no se visualiza un riesgo real al tomar posesión de un bien inmueble ajeno, pese a que esto sea ejecutado mediante el uso de la fuerza.</w:t>
      </w:r>
    </w:p>
    <w:p w:rsidR="00411341" w:rsidRDefault="001A749E">
      <w:pPr>
        <w:pStyle w:val="Textoindependiente"/>
        <w:spacing w:before="1" w:line="480" w:lineRule="auto"/>
        <w:ind w:left="1442" w:right="105"/>
        <w:jc w:val="both"/>
      </w:pPr>
      <w:r>
        <w:t>Nuestro</w:t>
      </w:r>
      <w:r>
        <w:rPr>
          <w:spacing w:val="-15"/>
        </w:rPr>
        <w:t xml:space="preserve"> </w:t>
      </w:r>
      <w:r>
        <w:t>ordenamiento</w:t>
      </w:r>
      <w:r>
        <w:rPr>
          <w:spacing w:val="-14"/>
        </w:rPr>
        <w:t xml:space="preserve"> </w:t>
      </w:r>
      <w:r>
        <w:t>jurídico</w:t>
      </w:r>
      <w:r>
        <w:rPr>
          <w:spacing w:val="-14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dar</w:t>
      </w:r>
      <w:r>
        <w:rPr>
          <w:spacing w:val="-13"/>
        </w:rPr>
        <w:t xml:space="preserve"> </w:t>
      </w:r>
      <w:r>
        <w:t>señales</w:t>
      </w:r>
      <w:r>
        <w:rPr>
          <w:spacing w:val="-14"/>
        </w:rPr>
        <w:t xml:space="preserve"> </w:t>
      </w:r>
      <w:r>
        <w:t>claras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</w:t>
      </w:r>
      <w:r>
        <w:t>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propiedad reconocido en Constitución Política de la República cuenta con herramientas serias para protegerlo de cualquier turbación, tanto en el ámbito civil como en el penal.</w:t>
      </w:r>
      <w:r>
        <w:rPr>
          <w:spacing w:val="-7"/>
        </w:rPr>
        <w:t xml:space="preserve"> </w:t>
      </w:r>
      <w:r>
        <w:t>A su</w:t>
      </w:r>
      <w:r>
        <w:rPr>
          <w:spacing w:val="-7"/>
        </w:rPr>
        <w:t xml:space="preserve"> </w:t>
      </w:r>
      <w:r>
        <w:t>vez,</w:t>
      </w:r>
      <w:r>
        <w:rPr>
          <w:spacing w:val="-7"/>
        </w:rPr>
        <w:t xml:space="preserve"> </w:t>
      </w:r>
      <w:r>
        <w:t>entendiendo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reconocemos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gran</w:t>
      </w:r>
      <w:r>
        <w:rPr>
          <w:spacing w:val="-7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bien</w:t>
      </w:r>
      <w:r>
        <w:rPr>
          <w:spacing w:val="-8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protegido,</w:t>
      </w:r>
      <w:r>
        <w:rPr>
          <w:spacing w:val="-7"/>
        </w:rPr>
        <w:t xml:space="preserve"> </w:t>
      </w:r>
      <w:r>
        <w:t>el que haga cualquier gestión ilegal para debilitarlo o apoderarse de él, debe ser castigado de manera ejemplar de tal modo de inhibir que otros sujetos sigan incurriendo en los mismos actos.</w:t>
      </w:r>
    </w:p>
    <w:p w:rsidR="00411341" w:rsidRDefault="001A749E">
      <w:pPr>
        <w:pStyle w:val="Textoindependiente"/>
        <w:spacing w:before="1" w:line="480" w:lineRule="auto"/>
        <w:ind w:left="1442" w:right="117"/>
        <w:jc w:val="both"/>
      </w:pPr>
      <w:r>
        <w:t>Una de las muestras de este problema, corre</w:t>
      </w:r>
      <w:r>
        <w:t>sponde a los hechos ocurridos recientemente en la comuna de San Pedro de la Paz, región de Biobío, donde un amplio</w:t>
      </w:r>
      <w:r>
        <w:rPr>
          <w:spacing w:val="-15"/>
        </w:rPr>
        <w:t xml:space="preserve"> </w:t>
      </w:r>
      <w:r>
        <w:t>operativo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Carabineros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Chile</w:t>
      </w:r>
      <w:r>
        <w:rPr>
          <w:spacing w:val="-15"/>
        </w:rPr>
        <w:t xml:space="preserve"> </w:t>
      </w:r>
      <w:r>
        <w:t>procedió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desalojar</w:t>
      </w:r>
      <w:r>
        <w:rPr>
          <w:spacing w:val="-14"/>
        </w:rPr>
        <w:t xml:space="preserve"> </w:t>
      </w:r>
      <w:r>
        <w:t>cerca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200</w:t>
      </w:r>
      <w:r>
        <w:rPr>
          <w:spacing w:val="-13"/>
        </w:rPr>
        <w:t xml:space="preserve"> </w:t>
      </w:r>
      <w:r>
        <w:t>viviendas sociales que fueron tomadas ilegalmente. Cabe destacar que estas viviendas serían entregadas como beneficio por parte del Servicio de</w:t>
      </w:r>
      <w:r>
        <w:rPr>
          <w:spacing w:val="-3"/>
        </w:rPr>
        <w:t xml:space="preserve"> </w:t>
      </w:r>
      <w:r>
        <w:t>Vivienda y Urbanización y que los ocupantes ocasionaron graves daños en las distintas unidades, sustrayendo cale</w:t>
      </w:r>
      <w:r>
        <w:t xml:space="preserve">fones, ventanales, puertas y piezas de baño, además de agredir con palos y </w:t>
      </w:r>
      <w:r>
        <w:rPr>
          <w:spacing w:val="-2"/>
        </w:rPr>
        <w:t>barricadas.</w:t>
      </w:r>
    </w:p>
    <w:p w:rsidR="00411341" w:rsidRDefault="001A749E">
      <w:pPr>
        <w:pStyle w:val="Textoindependiente"/>
        <w:spacing w:before="1" w:line="480" w:lineRule="auto"/>
        <w:ind w:left="1442" w:right="121"/>
        <w:jc w:val="both"/>
      </w:pPr>
      <w:r>
        <w:t>Si bien es cierto que el operativo fue exitoso, es evidente que estos individuos desalojados</w:t>
      </w:r>
      <w:r>
        <w:rPr>
          <w:spacing w:val="68"/>
        </w:rPr>
        <w:t xml:space="preserve"> </w:t>
      </w:r>
      <w:r>
        <w:t>pueden</w:t>
      </w:r>
      <w:r>
        <w:rPr>
          <w:spacing w:val="68"/>
        </w:rPr>
        <w:t xml:space="preserve"> </w:t>
      </w:r>
      <w:r>
        <w:t>volver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ocupar</w:t>
      </w:r>
      <w:r>
        <w:rPr>
          <w:spacing w:val="68"/>
        </w:rPr>
        <w:t xml:space="preserve"> </w:t>
      </w:r>
      <w:r>
        <w:t>otros</w:t>
      </w:r>
      <w:r>
        <w:rPr>
          <w:spacing w:val="68"/>
        </w:rPr>
        <w:t xml:space="preserve"> </w:t>
      </w:r>
      <w:r>
        <w:t>inmuebles</w:t>
      </w:r>
      <w:r>
        <w:rPr>
          <w:spacing w:val="68"/>
        </w:rPr>
        <w:t xml:space="preserve"> </w:t>
      </w:r>
      <w:r>
        <w:t>desocupados,</w:t>
      </w:r>
      <w:r>
        <w:rPr>
          <w:spacing w:val="68"/>
        </w:rPr>
        <w:t xml:space="preserve"> </w:t>
      </w:r>
      <w:r>
        <w:t>ya</w:t>
      </w:r>
      <w:r>
        <w:rPr>
          <w:spacing w:val="69"/>
        </w:rPr>
        <w:t xml:space="preserve"> </w:t>
      </w:r>
      <w:r>
        <w:t>sean</w:t>
      </w:r>
      <w:r>
        <w:rPr>
          <w:spacing w:val="69"/>
        </w:rPr>
        <w:t xml:space="preserve"> </w:t>
      </w:r>
      <w:r>
        <w:rPr>
          <w:spacing w:val="-5"/>
        </w:rPr>
        <w:t>de</w:t>
      </w:r>
    </w:p>
    <w:p w:rsidR="00411341" w:rsidRDefault="00411341">
      <w:pPr>
        <w:spacing w:line="480" w:lineRule="auto"/>
        <w:jc w:val="both"/>
        <w:sectPr w:rsidR="00411341">
          <w:pgSz w:w="12240" w:h="15840"/>
          <w:pgMar w:top="1340" w:right="1580" w:bottom="280" w:left="980" w:header="720" w:footer="720" w:gutter="0"/>
          <w:cols w:space="720"/>
        </w:sectPr>
      </w:pPr>
    </w:p>
    <w:p w:rsidR="00411341" w:rsidRDefault="001A749E">
      <w:pPr>
        <w:pStyle w:val="Textoindependiente"/>
        <w:spacing w:before="75" w:line="480" w:lineRule="auto"/>
        <w:ind w:left="1442" w:right="119"/>
        <w:jc w:val="both"/>
      </w:pPr>
      <w:r>
        <w:lastRenderedPageBreak/>
        <w:t>pro</w:t>
      </w:r>
      <w:r>
        <w:t>piedad particular</w:t>
      </w:r>
      <w:r>
        <w:rPr>
          <w:spacing w:val="-1"/>
        </w:rPr>
        <w:t xml:space="preserve"> </w:t>
      </w:r>
      <w:r>
        <w:t>o del Estado. Por</w:t>
      </w:r>
      <w:r>
        <w:rPr>
          <w:spacing w:val="-1"/>
        </w:rPr>
        <w:t xml:space="preserve"> </w:t>
      </w:r>
      <w:r>
        <w:t>ello es que,</w:t>
      </w:r>
      <w:r>
        <w:rPr>
          <w:spacing w:val="-1"/>
        </w:rPr>
        <w:t xml:space="preserve"> </w:t>
      </w:r>
      <w:r>
        <w:t>además, deben ser castigados con otras medidas más significativas.</w:t>
      </w:r>
    </w:p>
    <w:p w:rsidR="00411341" w:rsidRDefault="001A749E">
      <w:pPr>
        <w:pStyle w:val="Textoindependiente"/>
        <w:spacing w:line="480" w:lineRule="auto"/>
        <w:ind w:left="1442" w:right="118"/>
        <w:jc w:val="both"/>
      </w:pPr>
      <w:r>
        <w:t>En vista de estas consideraciones, se hace necesario robustecer nuestra legislación con fin de que aquellas personas que se apoderen de un b</w:t>
      </w:r>
      <w:r>
        <w:t>ien inmueble ajeno, ya sea mediante el uso de la fuerza o bien de manera clandestina, pierdan el derecho a acceder a ciertos beneficios entregados por el Estado. Sólo así será posible crear un efecto verdaderamente disuasivo.</w:t>
      </w:r>
    </w:p>
    <w:p w:rsidR="00411341" w:rsidRDefault="00411341">
      <w:pPr>
        <w:pStyle w:val="Textoindependiente"/>
        <w:rPr>
          <w:sz w:val="26"/>
        </w:rPr>
      </w:pPr>
    </w:p>
    <w:p w:rsidR="00411341" w:rsidRDefault="00411341">
      <w:pPr>
        <w:pStyle w:val="Textoindependiente"/>
        <w:spacing w:before="1"/>
        <w:rPr>
          <w:sz w:val="22"/>
        </w:rPr>
      </w:pPr>
    </w:p>
    <w:p w:rsidR="00411341" w:rsidRDefault="001A749E">
      <w:pPr>
        <w:pStyle w:val="Prrafodelista"/>
        <w:numPr>
          <w:ilvl w:val="0"/>
          <w:numId w:val="1"/>
        </w:numPr>
        <w:tabs>
          <w:tab w:val="left" w:pos="1441"/>
          <w:tab w:val="left" w:pos="1442"/>
        </w:tabs>
        <w:ind w:hanging="608"/>
        <w:jc w:val="left"/>
        <w:rPr>
          <w:b/>
          <w:sz w:val="24"/>
        </w:rPr>
      </w:pPr>
      <w:r>
        <w:rPr>
          <w:b/>
          <w:spacing w:val="-4"/>
          <w:sz w:val="24"/>
        </w:rPr>
        <w:t>PROPUESTA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LEGISLATIVA:</w:t>
      </w:r>
    </w:p>
    <w:p w:rsidR="00411341" w:rsidRDefault="00411341">
      <w:pPr>
        <w:pStyle w:val="Textoindependiente"/>
        <w:rPr>
          <w:b/>
        </w:rPr>
      </w:pPr>
    </w:p>
    <w:p w:rsidR="00411341" w:rsidRDefault="001A749E">
      <w:pPr>
        <w:pStyle w:val="Textoindependiente"/>
        <w:spacing w:line="480" w:lineRule="auto"/>
        <w:ind w:left="1442" w:right="119"/>
        <w:jc w:val="both"/>
      </w:pPr>
      <w:r>
        <w:t>Este</w:t>
      </w:r>
      <w:r>
        <w:rPr>
          <w:spacing w:val="-15"/>
        </w:rPr>
        <w:t xml:space="preserve"> </w:t>
      </w:r>
      <w:r>
        <w:t>proyecto</w:t>
      </w:r>
      <w:r>
        <w:rPr>
          <w:spacing w:val="-15"/>
        </w:rPr>
        <w:t xml:space="preserve"> </w:t>
      </w:r>
      <w:r>
        <w:t>busca</w:t>
      </w:r>
      <w:r>
        <w:rPr>
          <w:spacing w:val="-15"/>
        </w:rPr>
        <w:t xml:space="preserve"> </w:t>
      </w:r>
      <w:r>
        <w:t>impedir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violenta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clandestinamente</w:t>
      </w:r>
      <w:r>
        <w:rPr>
          <w:spacing w:val="-15"/>
        </w:rPr>
        <w:t xml:space="preserve"> </w:t>
      </w:r>
      <w:r>
        <w:t>ocupen bienes inmuebles ajenos, puedan obtener ciertos beneficios estatales. Así, el que incurra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conductas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desalojado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multado,</w:t>
      </w:r>
      <w:r>
        <w:rPr>
          <w:spacing w:val="-6"/>
        </w:rPr>
        <w:t xml:space="preserve"> </w:t>
      </w:r>
      <w:r>
        <w:t>sino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además perderá el derecho a recibir ciertas prestaciones otorgadas por el Estado.</w:t>
      </w:r>
    </w:p>
    <w:p w:rsidR="00411341" w:rsidRDefault="00411341">
      <w:pPr>
        <w:pStyle w:val="Textoindependiente"/>
        <w:rPr>
          <w:sz w:val="26"/>
        </w:rPr>
      </w:pPr>
    </w:p>
    <w:p w:rsidR="00411341" w:rsidRDefault="00411341">
      <w:pPr>
        <w:pStyle w:val="Textoindependiente"/>
        <w:spacing w:before="1"/>
        <w:rPr>
          <w:sz w:val="22"/>
        </w:rPr>
      </w:pPr>
    </w:p>
    <w:p w:rsidR="00411341" w:rsidRDefault="001A749E">
      <w:pPr>
        <w:pStyle w:val="Prrafodelista"/>
        <w:numPr>
          <w:ilvl w:val="0"/>
          <w:numId w:val="1"/>
        </w:numPr>
        <w:tabs>
          <w:tab w:val="left" w:pos="1441"/>
          <w:tab w:val="left" w:pos="1442"/>
        </w:tabs>
        <w:ind w:hanging="701"/>
        <w:jc w:val="left"/>
        <w:rPr>
          <w:b/>
          <w:sz w:val="24"/>
        </w:rPr>
      </w:pPr>
      <w:r>
        <w:rPr>
          <w:b/>
          <w:sz w:val="24"/>
        </w:rPr>
        <w:t>PROYE</w:t>
      </w:r>
      <w:r>
        <w:rPr>
          <w:b/>
          <w:sz w:val="24"/>
        </w:rPr>
        <w:t>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LEY:</w:t>
      </w:r>
    </w:p>
    <w:p w:rsidR="00411341" w:rsidRDefault="00411341">
      <w:pPr>
        <w:pStyle w:val="Textoindependiente"/>
        <w:rPr>
          <w:b/>
        </w:rPr>
      </w:pPr>
    </w:p>
    <w:p w:rsidR="00411341" w:rsidRDefault="001A749E">
      <w:pPr>
        <w:pStyle w:val="Textoindependiente"/>
        <w:spacing w:line="480" w:lineRule="auto"/>
        <w:ind w:left="1442" w:right="116"/>
        <w:jc w:val="both"/>
      </w:pPr>
      <w:r>
        <w:rPr>
          <w:b/>
        </w:rPr>
        <w:t>Artículo</w:t>
      </w:r>
      <w:r>
        <w:rPr>
          <w:b/>
          <w:spacing w:val="-11"/>
        </w:rPr>
        <w:t xml:space="preserve"> </w:t>
      </w:r>
      <w:r>
        <w:rPr>
          <w:b/>
        </w:rPr>
        <w:t>único:</w:t>
      </w:r>
      <w:r>
        <w:rPr>
          <w:b/>
          <w:spacing w:val="-15"/>
        </w:rPr>
        <w:t xml:space="preserve"> </w:t>
      </w:r>
      <w:r>
        <w:t>Toda</w:t>
      </w:r>
      <w:r>
        <w:rPr>
          <w:spacing w:val="-12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clandestina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violenta,</w:t>
      </w:r>
      <w:r>
        <w:rPr>
          <w:spacing w:val="-12"/>
        </w:rPr>
        <w:t xml:space="preserve"> </w:t>
      </w:r>
      <w:r>
        <w:t>haga</w:t>
      </w:r>
      <w:r>
        <w:rPr>
          <w:spacing w:val="-10"/>
        </w:rPr>
        <w:t xml:space="preserve"> </w:t>
      </w:r>
      <w:r>
        <w:t>ocupación ilegal de un inmueble ajeno, perderá el derecho a obtener beneficios estatales, a excepción de los de seguridad social.</w:t>
      </w:r>
    </w:p>
    <w:p w:rsidR="00411341" w:rsidRDefault="00411341">
      <w:pPr>
        <w:pStyle w:val="Textoindependiente"/>
        <w:rPr>
          <w:sz w:val="20"/>
        </w:rPr>
      </w:pPr>
    </w:p>
    <w:p w:rsidR="00411341" w:rsidRDefault="00411341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3704" w:type="dxa"/>
        <w:tblLayout w:type="fixed"/>
        <w:tblLook w:val="01E0" w:firstRow="1" w:lastRow="1" w:firstColumn="1" w:lastColumn="1" w:noHBand="0" w:noVBand="0"/>
      </w:tblPr>
      <w:tblGrid>
        <w:gridCol w:w="3609"/>
      </w:tblGrid>
      <w:tr w:rsidR="00411341">
        <w:trPr>
          <w:trHeight w:val="270"/>
        </w:trPr>
        <w:tc>
          <w:tcPr>
            <w:tcW w:w="3609" w:type="dxa"/>
          </w:tcPr>
          <w:p w:rsidR="00411341" w:rsidRDefault="001A749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SERGIO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BOBADILLA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MUÑOZ</w:t>
            </w:r>
          </w:p>
        </w:tc>
      </w:tr>
      <w:tr w:rsidR="00411341">
        <w:trPr>
          <w:trHeight w:val="270"/>
        </w:trPr>
        <w:tc>
          <w:tcPr>
            <w:tcW w:w="3609" w:type="dxa"/>
          </w:tcPr>
          <w:p w:rsidR="00411341" w:rsidRDefault="001A74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DIPUTADO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REPÚBLICA</w:t>
            </w:r>
          </w:p>
        </w:tc>
      </w:tr>
    </w:tbl>
    <w:p w:rsidR="001A749E" w:rsidRDefault="001A749E"/>
    <w:sectPr w:rsidR="001A749E">
      <w:pgSz w:w="12240" w:h="15840"/>
      <w:pgMar w:top="134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3241E"/>
    <w:multiLevelType w:val="hybridMultilevel"/>
    <w:tmpl w:val="A6DE242A"/>
    <w:lvl w:ilvl="0" w:tplc="AADE76E2">
      <w:start w:val="1"/>
      <w:numFmt w:val="upperRoman"/>
      <w:lvlText w:val="%1."/>
      <w:lvlJc w:val="left"/>
      <w:pPr>
        <w:ind w:left="1442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2CE47C7E">
      <w:numFmt w:val="bullet"/>
      <w:lvlText w:val="•"/>
      <w:lvlJc w:val="left"/>
      <w:pPr>
        <w:ind w:left="2264" w:hanging="514"/>
      </w:pPr>
      <w:rPr>
        <w:rFonts w:hint="default"/>
        <w:lang w:val="es-ES" w:eastAsia="en-US" w:bidi="ar-SA"/>
      </w:rPr>
    </w:lvl>
    <w:lvl w:ilvl="2" w:tplc="7856E668">
      <w:numFmt w:val="bullet"/>
      <w:lvlText w:val="•"/>
      <w:lvlJc w:val="left"/>
      <w:pPr>
        <w:ind w:left="3088" w:hanging="514"/>
      </w:pPr>
      <w:rPr>
        <w:rFonts w:hint="default"/>
        <w:lang w:val="es-ES" w:eastAsia="en-US" w:bidi="ar-SA"/>
      </w:rPr>
    </w:lvl>
    <w:lvl w:ilvl="3" w:tplc="BE485E06">
      <w:numFmt w:val="bullet"/>
      <w:lvlText w:val="•"/>
      <w:lvlJc w:val="left"/>
      <w:pPr>
        <w:ind w:left="3912" w:hanging="514"/>
      </w:pPr>
      <w:rPr>
        <w:rFonts w:hint="default"/>
        <w:lang w:val="es-ES" w:eastAsia="en-US" w:bidi="ar-SA"/>
      </w:rPr>
    </w:lvl>
    <w:lvl w:ilvl="4" w:tplc="A1FE19F0">
      <w:numFmt w:val="bullet"/>
      <w:lvlText w:val="•"/>
      <w:lvlJc w:val="left"/>
      <w:pPr>
        <w:ind w:left="4736" w:hanging="514"/>
      </w:pPr>
      <w:rPr>
        <w:rFonts w:hint="default"/>
        <w:lang w:val="es-ES" w:eastAsia="en-US" w:bidi="ar-SA"/>
      </w:rPr>
    </w:lvl>
    <w:lvl w:ilvl="5" w:tplc="7200DA82">
      <w:numFmt w:val="bullet"/>
      <w:lvlText w:val="•"/>
      <w:lvlJc w:val="left"/>
      <w:pPr>
        <w:ind w:left="5560" w:hanging="514"/>
      </w:pPr>
      <w:rPr>
        <w:rFonts w:hint="default"/>
        <w:lang w:val="es-ES" w:eastAsia="en-US" w:bidi="ar-SA"/>
      </w:rPr>
    </w:lvl>
    <w:lvl w:ilvl="6" w:tplc="57FA6A46">
      <w:numFmt w:val="bullet"/>
      <w:lvlText w:val="•"/>
      <w:lvlJc w:val="left"/>
      <w:pPr>
        <w:ind w:left="6384" w:hanging="514"/>
      </w:pPr>
      <w:rPr>
        <w:rFonts w:hint="default"/>
        <w:lang w:val="es-ES" w:eastAsia="en-US" w:bidi="ar-SA"/>
      </w:rPr>
    </w:lvl>
    <w:lvl w:ilvl="7" w:tplc="65D4EB66">
      <w:numFmt w:val="bullet"/>
      <w:lvlText w:val="•"/>
      <w:lvlJc w:val="left"/>
      <w:pPr>
        <w:ind w:left="7208" w:hanging="514"/>
      </w:pPr>
      <w:rPr>
        <w:rFonts w:hint="default"/>
        <w:lang w:val="es-ES" w:eastAsia="en-US" w:bidi="ar-SA"/>
      </w:rPr>
    </w:lvl>
    <w:lvl w:ilvl="8" w:tplc="3B12B482">
      <w:numFmt w:val="bullet"/>
      <w:lvlText w:val="•"/>
      <w:lvlJc w:val="left"/>
      <w:pPr>
        <w:ind w:left="8032" w:hanging="51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341"/>
    <w:rsid w:val="001A749E"/>
    <w:rsid w:val="002160F5"/>
    <w:rsid w:val="0041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23ED1A-BED4-44C6-BA30-EFD4E54D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42" w:hanging="701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salinas carvajal</dc:creator>
  <cp:lastModifiedBy>Guillermo Diaz Vallejos</cp:lastModifiedBy>
  <cp:revision>1</cp:revision>
  <dcterms:created xsi:type="dcterms:W3CDTF">2023-05-09T22:39:00Z</dcterms:created>
  <dcterms:modified xsi:type="dcterms:W3CDTF">2023-05-15T23:19:00Z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para Microsoft 365</vt:lpwstr>
  </property>
</Properties>
</file>