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20FA" w:rsidRDefault="00133E59">
      <w:pPr>
        <w:pStyle w:val="Textoindependiente"/>
        <w:spacing w:before="0"/>
        <w:ind w:left="3620"/>
        <w:jc w:val="left"/>
        <w:rPr>
          <w:rFonts w:ascii="Times New Roman"/>
          <w:sz w:val="20"/>
        </w:rPr>
      </w:pPr>
      <w:r>
        <w:rPr>
          <w:rFonts w:ascii="Times New Roman"/>
          <w:noProof/>
          <w:sz w:val="20"/>
        </w:rPr>
        <w:drawing>
          <wp:inline distT="0" distB="0" distL="0" distR="0">
            <wp:extent cx="1135699" cy="1187005"/>
            <wp:effectExtent l="0" t="0" r="0" b="0"/>
            <wp:docPr id="1" name="image1.jpeg" descr="Logotip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35699" cy="1187005"/>
                    </a:xfrm>
                    <a:prstGeom prst="rect">
                      <a:avLst/>
                    </a:prstGeom>
                  </pic:spPr>
                </pic:pic>
              </a:graphicData>
            </a:graphic>
          </wp:inline>
        </w:drawing>
      </w:r>
    </w:p>
    <w:p w:rsidR="008820FA" w:rsidRDefault="008820FA">
      <w:pPr>
        <w:pStyle w:val="Textoindependiente"/>
        <w:spacing w:before="10"/>
        <w:ind w:left="0"/>
        <w:jc w:val="left"/>
        <w:rPr>
          <w:rFonts w:ascii="Times New Roman"/>
          <w:sz w:val="12"/>
        </w:rPr>
      </w:pPr>
    </w:p>
    <w:p w:rsidR="008820FA" w:rsidRDefault="00133E59">
      <w:pPr>
        <w:pStyle w:val="Ttulo1"/>
        <w:spacing w:before="51"/>
        <w:ind w:left="546" w:right="562"/>
        <w:rPr>
          <w:rFonts w:ascii="Calibri"/>
        </w:rPr>
      </w:pPr>
      <w:r>
        <w:rPr>
          <w:rFonts w:ascii="Calibri"/>
        </w:rPr>
        <w:t>Proyecto</w:t>
      </w:r>
      <w:r>
        <w:rPr>
          <w:rFonts w:ascii="Calibri"/>
          <w:spacing w:val="-2"/>
        </w:rPr>
        <w:t xml:space="preserve"> </w:t>
      </w:r>
      <w:r>
        <w:rPr>
          <w:rFonts w:ascii="Calibri"/>
        </w:rPr>
        <w:t>de</w:t>
      </w:r>
      <w:r>
        <w:rPr>
          <w:rFonts w:ascii="Calibri"/>
          <w:spacing w:val="-2"/>
        </w:rPr>
        <w:t xml:space="preserve"> </w:t>
      </w:r>
      <w:r>
        <w:rPr>
          <w:rFonts w:ascii="Calibri"/>
          <w:spacing w:val="-5"/>
        </w:rPr>
        <w:t>Ley</w:t>
      </w:r>
    </w:p>
    <w:p w:rsidR="008820FA" w:rsidRDefault="00133E59">
      <w:pPr>
        <w:spacing w:before="183" w:line="259" w:lineRule="auto"/>
        <w:ind w:left="546" w:right="563"/>
        <w:jc w:val="center"/>
        <w:rPr>
          <w:b/>
          <w:sz w:val="24"/>
        </w:rPr>
      </w:pPr>
      <w:r>
        <w:rPr>
          <w:b/>
          <w:sz w:val="24"/>
        </w:rPr>
        <w:t>Que</w:t>
      </w:r>
      <w:r>
        <w:rPr>
          <w:b/>
          <w:spacing w:val="-3"/>
          <w:sz w:val="24"/>
        </w:rPr>
        <w:t xml:space="preserve"> </w:t>
      </w:r>
      <w:r>
        <w:rPr>
          <w:b/>
          <w:sz w:val="24"/>
        </w:rPr>
        <w:t>modifica</w:t>
      </w:r>
      <w:r>
        <w:rPr>
          <w:b/>
          <w:spacing w:val="-4"/>
          <w:sz w:val="24"/>
        </w:rPr>
        <w:t xml:space="preserve"> </w:t>
      </w:r>
      <w:r>
        <w:rPr>
          <w:b/>
          <w:sz w:val="24"/>
        </w:rPr>
        <w:t>la</w:t>
      </w:r>
      <w:r>
        <w:rPr>
          <w:b/>
          <w:spacing w:val="-5"/>
          <w:sz w:val="24"/>
        </w:rPr>
        <w:t xml:space="preserve"> </w:t>
      </w:r>
      <w:r>
        <w:rPr>
          <w:b/>
          <w:sz w:val="24"/>
        </w:rPr>
        <w:t>Ley</w:t>
      </w:r>
      <w:r>
        <w:rPr>
          <w:b/>
          <w:spacing w:val="-5"/>
          <w:sz w:val="24"/>
        </w:rPr>
        <w:t xml:space="preserve"> </w:t>
      </w:r>
      <w:r>
        <w:rPr>
          <w:b/>
          <w:sz w:val="24"/>
        </w:rPr>
        <w:t>General</w:t>
      </w:r>
      <w:r>
        <w:rPr>
          <w:b/>
          <w:spacing w:val="-4"/>
          <w:sz w:val="24"/>
        </w:rPr>
        <w:t xml:space="preserve"> </w:t>
      </w:r>
      <w:r>
        <w:rPr>
          <w:b/>
          <w:sz w:val="24"/>
        </w:rPr>
        <w:t>de</w:t>
      </w:r>
      <w:r>
        <w:rPr>
          <w:b/>
          <w:spacing w:val="-5"/>
          <w:sz w:val="24"/>
        </w:rPr>
        <w:t xml:space="preserve"> </w:t>
      </w:r>
      <w:r>
        <w:rPr>
          <w:b/>
          <w:sz w:val="24"/>
        </w:rPr>
        <w:t>Servicios</w:t>
      </w:r>
      <w:r>
        <w:rPr>
          <w:b/>
          <w:spacing w:val="-5"/>
          <w:sz w:val="24"/>
        </w:rPr>
        <w:t xml:space="preserve"> </w:t>
      </w:r>
      <w:r>
        <w:rPr>
          <w:b/>
          <w:sz w:val="24"/>
        </w:rPr>
        <w:t>Eléctricos para</w:t>
      </w:r>
      <w:r>
        <w:rPr>
          <w:b/>
          <w:spacing w:val="-4"/>
          <w:sz w:val="24"/>
        </w:rPr>
        <w:t xml:space="preserve"> </w:t>
      </w:r>
      <w:r>
        <w:rPr>
          <w:b/>
          <w:sz w:val="24"/>
        </w:rPr>
        <w:t>que</w:t>
      </w:r>
      <w:r>
        <w:rPr>
          <w:b/>
          <w:spacing w:val="-5"/>
          <w:sz w:val="24"/>
        </w:rPr>
        <w:t xml:space="preserve"> </w:t>
      </w:r>
      <w:r>
        <w:rPr>
          <w:b/>
          <w:sz w:val="24"/>
        </w:rPr>
        <w:t>clientes regulados puedan optar a la modalidad de clientes libres</w:t>
      </w:r>
    </w:p>
    <w:p w:rsidR="008820FA" w:rsidRDefault="00133E59">
      <w:pPr>
        <w:spacing w:before="160"/>
        <w:ind w:left="102"/>
        <w:rPr>
          <w:b/>
          <w:sz w:val="24"/>
        </w:rPr>
      </w:pPr>
      <w:r>
        <w:rPr>
          <w:b/>
          <w:spacing w:val="-2"/>
          <w:sz w:val="24"/>
          <w:u w:val="single"/>
        </w:rPr>
        <w:t>Antecedentes</w:t>
      </w:r>
    </w:p>
    <w:p w:rsidR="008820FA" w:rsidRDefault="008820FA">
      <w:pPr>
        <w:pStyle w:val="Textoindependiente"/>
        <w:spacing w:before="11"/>
        <w:ind w:left="0"/>
        <w:jc w:val="left"/>
        <w:rPr>
          <w:b/>
          <w:sz w:val="17"/>
        </w:rPr>
      </w:pPr>
    </w:p>
    <w:p w:rsidR="008820FA" w:rsidRDefault="00133E59">
      <w:pPr>
        <w:pStyle w:val="Textoindependiente"/>
        <w:spacing w:before="92" w:line="360" w:lineRule="auto"/>
        <w:ind w:right="122"/>
      </w:pPr>
      <w:r>
        <w:t xml:space="preserve">El año 2023 resulta un año particularmente complejo en materia económica para distintos sectores del país. Bajo crecimiento, inflación, lenta recuperación de los empleos entre otros, caracterizan una etapa en que el país intenta recuperarse de los efectos </w:t>
      </w:r>
      <w:r>
        <w:t>de la pandemia, de la crisis internacional y de una economía sobrecalentada heredada del periodo anterior de gobierno.</w:t>
      </w:r>
    </w:p>
    <w:p w:rsidR="008820FA" w:rsidRDefault="00133E59">
      <w:pPr>
        <w:pStyle w:val="Textoindependiente"/>
        <w:spacing w:before="160" w:line="360" w:lineRule="auto"/>
        <w:ind w:right="118"/>
      </w:pPr>
      <w:r>
        <w:t>En este escenario, existen gastos fundamentales para las familias y los sectores productivos</w:t>
      </w:r>
      <w:r>
        <w:rPr>
          <w:spacing w:val="-17"/>
        </w:rPr>
        <w:t xml:space="preserve"> </w:t>
      </w:r>
      <w:r>
        <w:t>que</w:t>
      </w:r>
      <w:r>
        <w:rPr>
          <w:spacing w:val="-17"/>
        </w:rPr>
        <w:t xml:space="preserve"> </w:t>
      </w:r>
      <w:r>
        <w:t>resultan</w:t>
      </w:r>
      <w:r>
        <w:rPr>
          <w:spacing w:val="-16"/>
        </w:rPr>
        <w:t xml:space="preserve"> </w:t>
      </w:r>
      <w:r>
        <w:t>imposibles</w:t>
      </w:r>
      <w:r>
        <w:rPr>
          <w:spacing w:val="-17"/>
        </w:rPr>
        <w:t xml:space="preserve"> </w:t>
      </w:r>
      <w:r>
        <w:t>de</w:t>
      </w:r>
      <w:r>
        <w:rPr>
          <w:spacing w:val="-17"/>
        </w:rPr>
        <w:t xml:space="preserve"> </w:t>
      </w:r>
      <w:r>
        <w:t>eludir.</w:t>
      </w:r>
      <w:r>
        <w:rPr>
          <w:spacing w:val="-17"/>
        </w:rPr>
        <w:t xml:space="preserve"> </w:t>
      </w:r>
      <w:r>
        <w:t>Entre</w:t>
      </w:r>
      <w:r>
        <w:rPr>
          <w:spacing w:val="-16"/>
        </w:rPr>
        <w:t xml:space="preserve"> </w:t>
      </w:r>
      <w:r>
        <w:t>ell</w:t>
      </w:r>
      <w:r>
        <w:t>os,</w:t>
      </w:r>
      <w:r>
        <w:rPr>
          <w:spacing w:val="-17"/>
        </w:rPr>
        <w:t xml:space="preserve"> </w:t>
      </w:r>
      <w:r>
        <w:t>uno</w:t>
      </w:r>
      <w:r>
        <w:rPr>
          <w:spacing w:val="-17"/>
        </w:rPr>
        <w:t xml:space="preserve"> </w:t>
      </w:r>
      <w:r>
        <w:t>de</w:t>
      </w:r>
      <w:r>
        <w:rPr>
          <w:spacing w:val="-16"/>
        </w:rPr>
        <w:t xml:space="preserve"> </w:t>
      </w:r>
      <w:r>
        <w:t>los</w:t>
      </w:r>
      <w:r>
        <w:rPr>
          <w:spacing w:val="-17"/>
        </w:rPr>
        <w:t xml:space="preserve"> </w:t>
      </w:r>
      <w:r>
        <w:t>más</w:t>
      </w:r>
      <w:r>
        <w:rPr>
          <w:spacing w:val="-17"/>
        </w:rPr>
        <w:t xml:space="preserve"> </w:t>
      </w:r>
      <w:r>
        <w:t>relevantes es sin</w:t>
      </w:r>
      <w:r>
        <w:rPr>
          <w:spacing w:val="-2"/>
        </w:rPr>
        <w:t xml:space="preserve"> </w:t>
      </w:r>
      <w:r>
        <w:t>duda</w:t>
      </w:r>
      <w:r>
        <w:rPr>
          <w:spacing w:val="-1"/>
        </w:rPr>
        <w:t xml:space="preserve"> </w:t>
      </w:r>
      <w:r>
        <w:t>la</w:t>
      </w:r>
      <w:r>
        <w:rPr>
          <w:spacing w:val="-2"/>
        </w:rPr>
        <w:t xml:space="preserve"> </w:t>
      </w:r>
      <w:r>
        <w:t>energía</w:t>
      </w:r>
      <w:r>
        <w:rPr>
          <w:spacing w:val="-4"/>
        </w:rPr>
        <w:t xml:space="preserve"> </w:t>
      </w:r>
      <w:r>
        <w:t>eléctrica.</w:t>
      </w:r>
      <w:r>
        <w:rPr>
          <w:spacing w:val="-2"/>
        </w:rPr>
        <w:t xml:space="preserve"> </w:t>
      </w:r>
      <w:r>
        <w:t>Por</w:t>
      </w:r>
      <w:r>
        <w:rPr>
          <w:spacing w:val="-3"/>
        </w:rPr>
        <w:t xml:space="preserve"> </w:t>
      </w:r>
      <w:r>
        <w:t>lo</w:t>
      </w:r>
      <w:r>
        <w:rPr>
          <w:spacing w:val="-2"/>
        </w:rPr>
        <w:t xml:space="preserve"> </w:t>
      </w:r>
      <w:r>
        <w:t>mismo, el</w:t>
      </w:r>
      <w:r>
        <w:rPr>
          <w:spacing w:val="-3"/>
        </w:rPr>
        <w:t xml:space="preserve"> </w:t>
      </w:r>
      <w:r>
        <w:t>precio</w:t>
      </w:r>
      <w:r>
        <w:rPr>
          <w:spacing w:val="-1"/>
        </w:rPr>
        <w:t xml:space="preserve"> </w:t>
      </w:r>
      <w:r>
        <w:t>que</w:t>
      </w:r>
      <w:r>
        <w:rPr>
          <w:spacing w:val="-1"/>
        </w:rPr>
        <w:t xml:space="preserve"> </w:t>
      </w:r>
      <w:r>
        <w:t>se</w:t>
      </w:r>
      <w:r>
        <w:rPr>
          <w:spacing w:val="-1"/>
        </w:rPr>
        <w:t xml:space="preserve"> </w:t>
      </w:r>
      <w:r>
        <w:t>debe</w:t>
      </w:r>
      <w:r>
        <w:rPr>
          <w:spacing w:val="-1"/>
        </w:rPr>
        <w:t xml:space="preserve"> </w:t>
      </w:r>
      <w:r>
        <w:t>pagar</w:t>
      </w:r>
      <w:r>
        <w:rPr>
          <w:spacing w:val="-3"/>
        </w:rPr>
        <w:t xml:space="preserve"> </w:t>
      </w:r>
      <w:r>
        <w:t>por</w:t>
      </w:r>
      <w:r>
        <w:rPr>
          <w:spacing w:val="-3"/>
        </w:rPr>
        <w:t xml:space="preserve"> </w:t>
      </w:r>
      <w:r>
        <w:t>ella y eventuales alzas que puedan producirse pueden tener fuertes impactos.</w:t>
      </w:r>
    </w:p>
    <w:p w:rsidR="008820FA" w:rsidRDefault="00133E59">
      <w:pPr>
        <w:pStyle w:val="Textoindependiente"/>
        <w:spacing w:line="360" w:lineRule="auto"/>
        <w:ind w:right="117"/>
      </w:pPr>
      <w:r>
        <w:t>En este sentido resulta importante analizar los efectos de la aplicación de la Ley 21.472, publicada el 2 de agosto de 2022, conocida también como PEC2, que estableció un Fondo de</w:t>
      </w:r>
      <w:r>
        <w:t xml:space="preserve"> Estabilización de Tarifas y un nuevo Mecanismo de Estabilización Transitorio de los Precios de la Electricidad, y cuyo objeto fue mantener los precios estabilizados para clientes residenciales en razón del temprano</w:t>
      </w:r>
      <w:r>
        <w:rPr>
          <w:spacing w:val="-3"/>
        </w:rPr>
        <w:t xml:space="preserve"> </w:t>
      </w:r>
      <w:r>
        <w:t>agotamiento</w:t>
      </w:r>
      <w:r>
        <w:rPr>
          <w:spacing w:val="-4"/>
        </w:rPr>
        <w:t xml:space="preserve"> </w:t>
      </w:r>
      <w:r>
        <w:t>del</w:t>
      </w:r>
      <w:r>
        <w:rPr>
          <w:spacing w:val="-4"/>
        </w:rPr>
        <w:t xml:space="preserve"> </w:t>
      </w:r>
      <w:r>
        <w:t>mecanismo</w:t>
      </w:r>
      <w:r>
        <w:rPr>
          <w:spacing w:val="-3"/>
        </w:rPr>
        <w:t xml:space="preserve"> </w:t>
      </w:r>
      <w:r>
        <w:t>anterior</w:t>
      </w:r>
      <w:r>
        <w:rPr>
          <w:spacing w:val="-3"/>
        </w:rPr>
        <w:t xml:space="preserve"> </w:t>
      </w:r>
      <w:r>
        <w:t>de</w:t>
      </w:r>
      <w:r>
        <w:rPr>
          <w:spacing w:val="-3"/>
        </w:rPr>
        <w:t xml:space="preserve"> </w:t>
      </w:r>
      <w:r>
        <w:t>es</w:t>
      </w:r>
      <w:r>
        <w:t>tabilización</w:t>
      </w:r>
      <w:r>
        <w:rPr>
          <w:spacing w:val="-5"/>
        </w:rPr>
        <w:t xml:space="preserve"> </w:t>
      </w:r>
      <w:r>
        <w:t>de</w:t>
      </w:r>
      <w:r>
        <w:rPr>
          <w:spacing w:val="-5"/>
        </w:rPr>
        <w:t xml:space="preserve"> </w:t>
      </w:r>
      <w:r>
        <w:t>precios,</w:t>
      </w:r>
      <w:r>
        <w:rPr>
          <w:spacing w:val="-3"/>
        </w:rPr>
        <w:t xml:space="preserve"> </w:t>
      </w:r>
      <w:r>
        <w:t>que</w:t>
      </w:r>
      <w:r>
        <w:rPr>
          <w:spacing w:val="-3"/>
        </w:rPr>
        <w:t xml:space="preserve"> </w:t>
      </w:r>
      <w:r>
        <w:t>se había establecido a través de la ley 21.185, publicada el 2 de noviembre de 2019, denominada también PEC 1.</w:t>
      </w:r>
    </w:p>
    <w:p w:rsidR="008820FA" w:rsidRDefault="00133E59">
      <w:pPr>
        <w:pStyle w:val="Textoindependiente"/>
        <w:spacing w:before="159" w:line="360" w:lineRule="auto"/>
        <w:ind w:right="127"/>
      </w:pPr>
      <w:r>
        <w:t>El mecanismo establecido en dicha ley debía permitir precios estabilizados hasta 2024, sin embargo, diversos factore</w:t>
      </w:r>
      <w:r>
        <w:t>s agotaron el fondo en 2022.</w:t>
      </w:r>
    </w:p>
    <w:p w:rsidR="008820FA" w:rsidRDefault="008820FA">
      <w:pPr>
        <w:spacing w:line="360" w:lineRule="auto"/>
        <w:sectPr w:rsidR="008820FA">
          <w:footerReference w:type="default" r:id="rId8"/>
          <w:type w:val="continuous"/>
          <w:pgSz w:w="12240" w:h="15840"/>
          <w:pgMar w:top="1420" w:right="1580" w:bottom="1200" w:left="1600" w:header="0" w:footer="1000" w:gutter="0"/>
          <w:pgNumType w:start="1"/>
          <w:cols w:space="720"/>
        </w:sectPr>
      </w:pPr>
    </w:p>
    <w:p w:rsidR="008820FA" w:rsidRDefault="00133E59">
      <w:pPr>
        <w:pStyle w:val="Textoindependiente"/>
        <w:spacing w:before="77" w:line="360" w:lineRule="auto"/>
        <w:ind w:right="113"/>
      </w:pPr>
      <w:r>
        <w:lastRenderedPageBreak/>
        <w:t>De</w:t>
      </w:r>
      <w:r>
        <w:rPr>
          <w:spacing w:val="-5"/>
        </w:rPr>
        <w:t xml:space="preserve"> </w:t>
      </w:r>
      <w:r>
        <w:t>esta</w:t>
      </w:r>
      <w:r>
        <w:rPr>
          <w:spacing w:val="-7"/>
        </w:rPr>
        <w:t xml:space="preserve"> </w:t>
      </w:r>
      <w:r>
        <w:t>manera,</w:t>
      </w:r>
      <w:r>
        <w:rPr>
          <w:spacing w:val="-5"/>
        </w:rPr>
        <w:t xml:space="preserve"> </w:t>
      </w:r>
      <w:r>
        <w:t>la</w:t>
      </w:r>
      <w:r>
        <w:rPr>
          <w:spacing w:val="-7"/>
        </w:rPr>
        <w:t xml:space="preserve"> </w:t>
      </w:r>
      <w:r>
        <w:t>nueva</w:t>
      </w:r>
      <w:r>
        <w:rPr>
          <w:spacing w:val="-5"/>
        </w:rPr>
        <w:t xml:space="preserve"> </w:t>
      </w:r>
      <w:r>
        <w:t>ley</w:t>
      </w:r>
      <w:r>
        <w:rPr>
          <w:spacing w:val="-5"/>
        </w:rPr>
        <w:t xml:space="preserve"> </w:t>
      </w:r>
      <w:r>
        <w:t>tramitada</w:t>
      </w:r>
      <w:r>
        <w:rPr>
          <w:spacing w:val="-7"/>
        </w:rPr>
        <w:t xml:space="preserve"> </w:t>
      </w:r>
      <w:r>
        <w:t>en</w:t>
      </w:r>
      <w:r>
        <w:rPr>
          <w:spacing w:val="-7"/>
        </w:rPr>
        <w:t xml:space="preserve"> </w:t>
      </w:r>
      <w:r>
        <w:t>2022</w:t>
      </w:r>
      <w:r>
        <w:rPr>
          <w:spacing w:val="-7"/>
        </w:rPr>
        <w:t xml:space="preserve"> </w:t>
      </w:r>
      <w:r>
        <w:t>por</w:t>
      </w:r>
      <w:r>
        <w:rPr>
          <w:spacing w:val="-6"/>
        </w:rPr>
        <w:t xml:space="preserve"> </w:t>
      </w:r>
      <w:r>
        <w:t>el</w:t>
      </w:r>
      <w:r>
        <w:rPr>
          <w:spacing w:val="-8"/>
        </w:rPr>
        <w:t xml:space="preserve"> </w:t>
      </w:r>
      <w:r>
        <w:t>actual</w:t>
      </w:r>
      <w:r>
        <w:rPr>
          <w:spacing w:val="-8"/>
        </w:rPr>
        <w:t xml:space="preserve"> </w:t>
      </w:r>
      <w:r>
        <w:t>gobierno</w:t>
      </w:r>
      <w:r>
        <w:rPr>
          <w:spacing w:val="-4"/>
        </w:rPr>
        <w:t xml:space="preserve"> </w:t>
      </w:r>
      <w:r>
        <w:t>ha</w:t>
      </w:r>
      <w:r>
        <w:rPr>
          <w:spacing w:val="-7"/>
        </w:rPr>
        <w:t xml:space="preserve"> </w:t>
      </w:r>
      <w:r>
        <w:t>permitido mantener</w:t>
      </w:r>
      <w:r>
        <w:rPr>
          <w:spacing w:val="-2"/>
        </w:rPr>
        <w:t xml:space="preserve"> </w:t>
      </w:r>
      <w:r>
        <w:t>estabilizadas</w:t>
      </w:r>
      <w:r>
        <w:rPr>
          <w:spacing w:val="-1"/>
        </w:rPr>
        <w:t xml:space="preserve"> </w:t>
      </w:r>
      <w:r>
        <w:t>las tarifas</w:t>
      </w:r>
      <w:r>
        <w:rPr>
          <w:spacing w:val="-1"/>
        </w:rPr>
        <w:t xml:space="preserve"> </w:t>
      </w:r>
      <w:r>
        <w:t>para los</w:t>
      </w:r>
      <w:r>
        <w:rPr>
          <w:spacing w:val="-1"/>
        </w:rPr>
        <w:t xml:space="preserve"> </w:t>
      </w:r>
      <w:r>
        <w:t>clientes</w:t>
      </w:r>
      <w:r>
        <w:rPr>
          <w:spacing w:val="-1"/>
        </w:rPr>
        <w:t xml:space="preserve"> </w:t>
      </w:r>
      <w:r>
        <w:t>con tarifas</w:t>
      </w:r>
      <w:r>
        <w:rPr>
          <w:spacing w:val="-1"/>
        </w:rPr>
        <w:t xml:space="preserve"> </w:t>
      </w:r>
      <w:r>
        <w:t>reguladas</w:t>
      </w:r>
      <w:r>
        <w:rPr>
          <w:spacing w:val="-1"/>
        </w:rPr>
        <w:t xml:space="preserve"> </w:t>
      </w:r>
      <w:r>
        <w:t>en niveles inferior al costo real de la energía. Sin embargo, el nuevo decreto tarifario de abril de 2023 inicia la entrada en régimen de la ley que implica los siguientes efectos:</w:t>
      </w:r>
    </w:p>
    <w:p w:rsidR="008820FA" w:rsidRDefault="00133E59">
      <w:pPr>
        <w:pStyle w:val="Prrafodelista"/>
        <w:numPr>
          <w:ilvl w:val="0"/>
          <w:numId w:val="1"/>
        </w:numPr>
        <w:tabs>
          <w:tab w:val="left" w:pos="1559"/>
        </w:tabs>
        <w:spacing w:before="161" w:line="360" w:lineRule="auto"/>
        <w:ind w:firstLine="1135"/>
        <w:jc w:val="both"/>
        <w:rPr>
          <w:sz w:val="24"/>
        </w:rPr>
      </w:pPr>
      <w:r>
        <w:rPr>
          <w:sz w:val="24"/>
        </w:rPr>
        <w:t>Para todos aquellos clientes residenciales con tarifas reguladas y consumos</w:t>
      </w:r>
      <w:r>
        <w:rPr>
          <w:sz w:val="24"/>
        </w:rPr>
        <w:t xml:space="preserve"> mensuales de hasta 350 KWh, mantención de las tarifas actuales e incremento solo en el IPC.</w:t>
      </w:r>
    </w:p>
    <w:p w:rsidR="008820FA" w:rsidRDefault="00133E59">
      <w:pPr>
        <w:pStyle w:val="Prrafodelista"/>
        <w:numPr>
          <w:ilvl w:val="0"/>
          <w:numId w:val="1"/>
        </w:numPr>
        <w:tabs>
          <w:tab w:val="left" w:pos="1489"/>
        </w:tabs>
        <w:spacing w:before="159" w:line="362" w:lineRule="auto"/>
        <w:ind w:right="123" w:firstLine="1135"/>
        <w:jc w:val="both"/>
        <w:rPr>
          <w:sz w:val="24"/>
        </w:rPr>
      </w:pPr>
      <w:r>
        <w:rPr>
          <w:spacing w:val="-2"/>
          <w:sz w:val="24"/>
        </w:rPr>
        <w:t>Para</w:t>
      </w:r>
      <w:r>
        <w:rPr>
          <w:spacing w:val="-8"/>
          <w:sz w:val="24"/>
        </w:rPr>
        <w:t xml:space="preserve"> </w:t>
      </w:r>
      <w:r>
        <w:rPr>
          <w:spacing w:val="-2"/>
          <w:sz w:val="24"/>
        </w:rPr>
        <w:t>todos</w:t>
      </w:r>
      <w:r>
        <w:rPr>
          <w:spacing w:val="-5"/>
          <w:sz w:val="24"/>
        </w:rPr>
        <w:t xml:space="preserve"> </w:t>
      </w:r>
      <w:r>
        <w:rPr>
          <w:spacing w:val="-2"/>
          <w:sz w:val="24"/>
        </w:rPr>
        <w:t>aquellos</w:t>
      </w:r>
      <w:r>
        <w:rPr>
          <w:spacing w:val="-8"/>
          <w:sz w:val="24"/>
        </w:rPr>
        <w:t xml:space="preserve"> </w:t>
      </w:r>
      <w:r>
        <w:rPr>
          <w:spacing w:val="-2"/>
          <w:sz w:val="24"/>
        </w:rPr>
        <w:t>clientes</w:t>
      </w:r>
      <w:r>
        <w:rPr>
          <w:spacing w:val="-5"/>
          <w:sz w:val="24"/>
        </w:rPr>
        <w:t xml:space="preserve"> </w:t>
      </w:r>
      <w:r>
        <w:rPr>
          <w:spacing w:val="-2"/>
          <w:sz w:val="24"/>
        </w:rPr>
        <w:t>regulados</w:t>
      </w:r>
      <w:r>
        <w:rPr>
          <w:spacing w:val="-8"/>
          <w:sz w:val="24"/>
        </w:rPr>
        <w:t xml:space="preserve"> </w:t>
      </w:r>
      <w:r>
        <w:rPr>
          <w:spacing w:val="-2"/>
          <w:sz w:val="24"/>
        </w:rPr>
        <w:t>con</w:t>
      </w:r>
      <w:r>
        <w:rPr>
          <w:spacing w:val="-5"/>
          <w:sz w:val="24"/>
        </w:rPr>
        <w:t xml:space="preserve"> </w:t>
      </w:r>
      <w:r>
        <w:rPr>
          <w:spacing w:val="-2"/>
          <w:sz w:val="24"/>
        </w:rPr>
        <w:t>consumos</w:t>
      </w:r>
      <w:r>
        <w:rPr>
          <w:spacing w:val="-8"/>
          <w:sz w:val="24"/>
        </w:rPr>
        <w:t xml:space="preserve"> </w:t>
      </w:r>
      <w:r>
        <w:rPr>
          <w:spacing w:val="-2"/>
          <w:sz w:val="24"/>
        </w:rPr>
        <w:t>mensuales</w:t>
      </w:r>
      <w:r>
        <w:rPr>
          <w:spacing w:val="-7"/>
          <w:sz w:val="24"/>
        </w:rPr>
        <w:t xml:space="preserve"> </w:t>
      </w:r>
      <w:r>
        <w:rPr>
          <w:spacing w:val="-2"/>
          <w:sz w:val="24"/>
        </w:rPr>
        <w:t xml:space="preserve">entre </w:t>
      </w:r>
      <w:r>
        <w:rPr>
          <w:sz w:val="24"/>
        </w:rPr>
        <w:t>350 KWh y 500 KWh, incremento de las tarifas en un 2% más IPC.</w:t>
      </w:r>
    </w:p>
    <w:p w:rsidR="008820FA" w:rsidRDefault="00133E59">
      <w:pPr>
        <w:pStyle w:val="Ttulo1"/>
        <w:numPr>
          <w:ilvl w:val="0"/>
          <w:numId w:val="1"/>
        </w:numPr>
        <w:tabs>
          <w:tab w:val="left" w:pos="1736"/>
        </w:tabs>
        <w:spacing w:before="156" w:line="360" w:lineRule="auto"/>
        <w:ind w:right="121" w:firstLine="1202"/>
        <w:jc w:val="both"/>
      </w:pPr>
      <w:r>
        <w:t>Para todos aquellos clientes reg</w:t>
      </w:r>
      <w:r>
        <w:t>ulados con consumos mensuales superiores a los 500 KWh, un incremento del 16% más IPC.</w:t>
      </w:r>
    </w:p>
    <w:p w:rsidR="008820FA" w:rsidRDefault="00133E59">
      <w:pPr>
        <w:pStyle w:val="Textoindependiente"/>
        <w:spacing w:before="159" w:line="360" w:lineRule="auto"/>
        <w:ind w:right="121"/>
      </w:pPr>
      <w:r>
        <w:t>En segundo semestre de 2023 la autoridad debe emitir el nuevo decreto tarifario correspondientes</w:t>
      </w:r>
      <w:r>
        <w:rPr>
          <w:spacing w:val="-15"/>
        </w:rPr>
        <w:t xml:space="preserve"> </w:t>
      </w:r>
      <w:r>
        <w:t>al</w:t>
      </w:r>
      <w:r>
        <w:rPr>
          <w:spacing w:val="-16"/>
        </w:rPr>
        <w:t xml:space="preserve"> </w:t>
      </w:r>
      <w:r>
        <w:t>primer</w:t>
      </w:r>
      <w:r>
        <w:rPr>
          <w:spacing w:val="-13"/>
        </w:rPr>
        <w:t xml:space="preserve"> </w:t>
      </w:r>
      <w:r>
        <w:t>semestre</w:t>
      </w:r>
      <w:r>
        <w:rPr>
          <w:spacing w:val="-14"/>
        </w:rPr>
        <w:t xml:space="preserve"> </w:t>
      </w:r>
      <w:r>
        <w:t>de</w:t>
      </w:r>
      <w:r>
        <w:rPr>
          <w:spacing w:val="-14"/>
        </w:rPr>
        <w:t xml:space="preserve"> </w:t>
      </w:r>
      <w:r>
        <w:t>2023,</w:t>
      </w:r>
      <w:r>
        <w:rPr>
          <w:spacing w:val="-14"/>
        </w:rPr>
        <w:t xml:space="preserve"> </w:t>
      </w:r>
      <w:r>
        <w:t>el</w:t>
      </w:r>
      <w:r>
        <w:rPr>
          <w:spacing w:val="-16"/>
        </w:rPr>
        <w:t xml:space="preserve"> </w:t>
      </w:r>
      <w:r>
        <w:t>que</w:t>
      </w:r>
      <w:r>
        <w:rPr>
          <w:spacing w:val="-14"/>
        </w:rPr>
        <w:t xml:space="preserve"> </w:t>
      </w:r>
      <w:r>
        <w:t>de</w:t>
      </w:r>
      <w:r>
        <w:rPr>
          <w:spacing w:val="-14"/>
        </w:rPr>
        <w:t xml:space="preserve"> </w:t>
      </w:r>
      <w:r>
        <w:t>acuerdo</w:t>
      </w:r>
      <w:r>
        <w:rPr>
          <w:spacing w:val="-14"/>
        </w:rPr>
        <w:t xml:space="preserve"> </w:t>
      </w:r>
      <w:r>
        <w:t>a</w:t>
      </w:r>
      <w:r>
        <w:rPr>
          <w:spacing w:val="-14"/>
        </w:rPr>
        <w:t xml:space="preserve"> </w:t>
      </w:r>
      <w:r>
        <w:t>los</w:t>
      </w:r>
      <w:r>
        <w:rPr>
          <w:spacing w:val="-13"/>
        </w:rPr>
        <w:t xml:space="preserve"> </w:t>
      </w:r>
      <w:r>
        <w:t>antecedentes disponibles</w:t>
      </w:r>
      <w:r>
        <w:rPr>
          <w:spacing w:val="-13"/>
        </w:rPr>
        <w:t xml:space="preserve"> </w:t>
      </w:r>
      <w:r>
        <w:t>incrementará</w:t>
      </w:r>
      <w:r>
        <w:rPr>
          <w:spacing w:val="-12"/>
        </w:rPr>
        <w:t xml:space="preserve"> </w:t>
      </w:r>
      <w:r>
        <w:t>las</w:t>
      </w:r>
      <w:r>
        <w:rPr>
          <w:spacing w:val="-12"/>
        </w:rPr>
        <w:t xml:space="preserve"> </w:t>
      </w:r>
      <w:r>
        <w:t>tarifas</w:t>
      </w:r>
      <w:r>
        <w:rPr>
          <w:spacing w:val="-13"/>
        </w:rPr>
        <w:t xml:space="preserve"> </w:t>
      </w:r>
      <w:r>
        <w:t>para</w:t>
      </w:r>
      <w:r>
        <w:rPr>
          <w:spacing w:val="-14"/>
        </w:rPr>
        <w:t xml:space="preserve"> </w:t>
      </w:r>
      <w:r>
        <w:t>este</w:t>
      </w:r>
      <w:r>
        <w:rPr>
          <w:spacing w:val="-14"/>
        </w:rPr>
        <w:t xml:space="preserve"> </w:t>
      </w:r>
      <w:r>
        <w:t>último</w:t>
      </w:r>
      <w:r>
        <w:rPr>
          <w:spacing w:val="-12"/>
        </w:rPr>
        <w:t xml:space="preserve"> </w:t>
      </w:r>
      <w:r>
        <w:t>grupo</w:t>
      </w:r>
      <w:r>
        <w:rPr>
          <w:spacing w:val="-14"/>
        </w:rPr>
        <w:t xml:space="preserve"> </w:t>
      </w:r>
      <w:r>
        <w:t>de</w:t>
      </w:r>
      <w:r>
        <w:rPr>
          <w:spacing w:val="-12"/>
        </w:rPr>
        <w:t xml:space="preserve"> </w:t>
      </w:r>
      <w:r>
        <w:t>clientes</w:t>
      </w:r>
      <w:r>
        <w:rPr>
          <w:spacing w:val="-13"/>
        </w:rPr>
        <w:t xml:space="preserve"> </w:t>
      </w:r>
      <w:r>
        <w:t>en</w:t>
      </w:r>
      <w:r>
        <w:rPr>
          <w:spacing w:val="-12"/>
        </w:rPr>
        <w:t xml:space="preserve"> </w:t>
      </w:r>
      <w:r>
        <w:t>más</w:t>
      </w:r>
      <w:r>
        <w:rPr>
          <w:spacing w:val="-13"/>
        </w:rPr>
        <w:t xml:space="preserve"> </w:t>
      </w:r>
      <w:r>
        <w:t>de</w:t>
      </w:r>
      <w:r>
        <w:rPr>
          <w:spacing w:val="-12"/>
        </w:rPr>
        <w:t xml:space="preserve"> </w:t>
      </w:r>
      <w:r>
        <w:t>un 70%</w:t>
      </w:r>
      <w:r>
        <w:rPr>
          <w:spacing w:val="-5"/>
        </w:rPr>
        <w:t xml:space="preserve"> </w:t>
      </w:r>
      <w:r>
        <w:t>promedio,</w:t>
      </w:r>
      <w:r>
        <w:rPr>
          <w:spacing w:val="-3"/>
        </w:rPr>
        <w:t xml:space="preserve"> </w:t>
      </w:r>
      <w:r>
        <w:t>acumulando</w:t>
      </w:r>
      <w:r>
        <w:rPr>
          <w:spacing w:val="-3"/>
        </w:rPr>
        <w:t xml:space="preserve"> </w:t>
      </w:r>
      <w:r>
        <w:t>junto</w:t>
      </w:r>
      <w:r>
        <w:rPr>
          <w:spacing w:val="-4"/>
        </w:rPr>
        <w:t xml:space="preserve"> </w:t>
      </w:r>
      <w:r>
        <w:t>al</w:t>
      </w:r>
      <w:r>
        <w:rPr>
          <w:spacing w:val="-4"/>
        </w:rPr>
        <w:t xml:space="preserve"> </w:t>
      </w:r>
      <w:r>
        <w:t>incremento</w:t>
      </w:r>
      <w:r>
        <w:rPr>
          <w:spacing w:val="-2"/>
        </w:rPr>
        <w:t xml:space="preserve"> </w:t>
      </w:r>
      <w:r>
        <w:t>anterior</w:t>
      </w:r>
      <w:r>
        <w:rPr>
          <w:spacing w:val="-6"/>
        </w:rPr>
        <w:t xml:space="preserve"> </w:t>
      </w:r>
      <w:r>
        <w:t>un</w:t>
      </w:r>
      <w:r>
        <w:rPr>
          <w:spacing w:val="-5"/>
        </w:rPr>
        <w:t xml:space="preserve"> </w:t>
      </w:r>
      <w:r>
        <w:t>alza</w:t>
      </w:r>
      <w:r>
        <w:rPr>
          <w:spacing w:val="-5"/>
        </w:rPr>
        <w:t xml:space="preserve"> </w:t>
      </w:r>
      <w:r>
        <w:t>en</w:t>
      </w:r>
      <w:r>
        <w:rPr>
          <w:spacing w:val="-5"/>
        </w:rPr>
        <w:t xml:space="preserve"> </w:t>
      </w:r>
      <w:r>
        <w:t>el</w:t>
      </w:r>
      <w:r>
        <w:rPr>
          <w:spacing w:val="-4"/>
        </w:rPr>
        <w:t xml:space="preserve"> </w:t>
      </w:r>
      <w:r>
        <w:t>año</w:t>
      </w:r>
      <w:r>
        <w:rPr>
          <w:spacing w:val="-5"/>
        </w:rPr>
        <w:t xml:space="preserve"> </w:t>
      </w:r>
      <w:r>
        <w:t>de</w:t>
      </w:r>
      <w:r>
        <w:rPr>
          <w:spacing w:val="-3"/>
        </w:rPr>
        <w:t xml:space="preserve"> </w:t>
      </w:r>
      <w:r>
        <w:t>hasta un 90% promedio, dependiendo la región del país.</w:t>
      </w:r>
    </w:p>
    <w:p w:rsidR="008820FA" w:rsidRDefault="00133E59">
      <w:pPr>
        <w:spacing w:before="162" w:line="360" w:lineRule="auto"/>
        <w:ind w:left="102" w:right="118"/>
        <w:jc w:val="both"/>
        <w:rPr>
          <w:b/>
          <w:sz w:val="24"/>
        </w:rPr>
      </w:pPr>
      <w:r>
        <w:rPr>
          <w:sz w:val="24"/>
        </w:rPr>
        <w:t>La razón de dichos incrementos está determinada por cuanto el diseño del PEC2 tuvo como fundamento beneficiar al grueso de los cli</w:t>
      </w:r>
      <w:r>
        <w:rPr>
          <w:sz w:val="24"/>
        </w:rPr>
        <w:t>entes residenciales que consume hasta 350 KWh, donde se encuentra el 90% de dichos usuarios, manteniendo sus tarifas por debajo del valor real. En el caso del segundo grupo entre</w:t>
      </w:r>
      <w:r>
        <w:rPr>
          <w:spacing w:val="-7"/>
          <w:sz w:val="24"/>
        </w:rPr>
        <w:t xml:space="preserve"> </w:t>
      </w:r>
      <w:r>
        <w:rPr>
          <w:sz w:val="24"/>
        </w:rPr>
        <w:t>350</w:t>
      </w:r>
      <w:r>
        <w:rPr>
          <w:spacing w:val="-7"/>
          <w:sz w:val="24"/>
        </w:rPr>
        <w:t xml:space="preserve"> </w:t>
      </w:r>
      <w:r>
        <w:rPr>
          <w:sz w:val="24"/>
        </w:rPr>
        <w:t>y</w:t>
      </w:r>
      <w:r>
        <w:rPr>
          <w:spacing w:val="-8"/>
          <w:sz w:val="24"/>
        </w:rPr>
        <w:t xml:space="preserve"> </w:t>
      </w:r>
      <w:r>
        <w:rPr>
          <w:sz w:val="24"/>
        </w:rPr>
        <w:t>500</w:t>
      </w:r>
      <w:r>
        <w:rPr>
          <w:spacing w:val="-7"/>
          <w:sz w:val="24"/>
        </w:rPr>
        <w:t xml:space="preserve"> </w:t>
      </w:r>
      <w:r>
        <w:rPr>
          <w:sz w:val="24"/>
        </w:rPr>
        <w:t>KWh</w:t>
      </w:r>
      <w:r>
        <w:rPr>
          <w:spacing w:val="-7"/>
          <w:sz w:val="24"/>
        </w:rPr>
        <w:t xml:space="preserve"> </w:t>
      </w:r>
      <w:r>
        <w:rPr>
          <w:sz w:val="24"/>
        </w:rPr>
        <w:t>incrementando</w:t>
      </w:r>
      <w:r>
        <w:rPr>
          <w:spacing w:val="-7"/>
          <w:sz w:val="24"/>
        </w:rPr>
        <w:t xml:space="preserve"> </w:t>
      </w:r>
      <w:r>
        <w:rPr>
          <w:sz w:val="24"/>
        </w:rPr>
        <w:t>de</w:t>
      </w:r>
      <w:r>
        <w:rPr>
          <w:spacing w:val="-9"/>
          <w:sz w:val="24"/>
        </w:rPr>
        <w:t xml:space="preserve"> </w:t>
      </w:r>
      <w:r>
        <w:rPr>
          <w:sz w:val="24"/>
        </w:rPr>
        <w:t>manera</w:t>
      </w:r>
      <w:r>
        <w:rPr>
          <w:spacing w:val="-8"/>
          <w:sz w:val="24"/>
        </w:rPr>
        <w:t xml:space="preserve"> </w:t>
      </w:r>
      <w:r>
        <w:rPr>
          <w:sz w:val="24"/>
        </w:rPr>
        <w:t>paulatina</w:t>
      </w:r>
      <w:r>
        <w:rPr>
          <w:spacing w:val="-7"/>
          <w:sz w:val="24"/>
        </w:rPr>
        <w:t xml:space="preserve"> </w:t>
      </w:r>
      <w:r>
        <w:rPr>
          <w:sz w:val="24"/>
        </w:rPr>
        <w:t>las</w:t>
      </w:r>
      <w:r>
        <w:rPr>
          <w:spacing w:val="-7"/>
          <w:sz w:val="24"/>
        </w:rPr>
        <w:t xml:space="preserve"> </w:t>
      </w:r>
      <w:r>
        <w:rPr>
          <w:sz w:val="24"/>
        </w:rPr>
        <w:t>tarifas</w:t>
      </w:r>
      <w:r>
        <w:rPr>
          <w:spacing w:val="-8"/>
          <w:sz w:val="24"/>
        </w:rPr>
        <w:t xml:space="preserve"> </w:t>
      </w:r>
      <w:r>
        <w:rPr>
          <w:sz w:val="24"/>
        </w:rPr>
        <w:t>hasta</w:t>
      </w:r>
      <w:r>
        <w:rPr>
          <w:spacing w:val="-7"/>
          <w:sz w:val="24"/>
        </w:rPr>
        <w:t xml:space="preserve"> </w:t>
      </w:r>
      <w:r>
        <w:rPr>
          <w:sz w:val="24"/>
        </w:rPr>
        <w:t xml:space="preserve">alcanzar al año 2027 los valores reales. </w:t>
      </w:r>
      <w:r>
        <w:rPr>
          <w:b/>
          <w:sz w:val="24"/>
        </w:rPr>
        <w:t>Finalmente, para el último grupo de consumos superiores a los 500 KWh se sincera la tarifa de una vez a partir de 2023, y además se le suma un cargo adicional “solidario” destinado a financiar la mantención de tarif</w:t>
      </w:r>
      <w:r>
        <w:rPr>
          <w:b/>
          <w:sz w:val="24"/>
        </w:rPr>
        <w:t>as rebajadas para los dos grupos anteriores.</w:t>
      </w:r>
    </w:p>
    <w:p w:rsidR="008820FA" w:rsidRDefault="00133E59">
      <w:pPr>
        <w:pStyle w:val="Textoindependiente"/>
        <w:spacing w:line="360" w:lineRule="auto"/>
        <w:ind w:right="120"/>
      </w:pPr>
      <w:r>
        <w:t>En</w:t>
      </w:r>
      <w:r>
        <w:rPr>
          <w:spacing w:val="-12"/>
        </w:rPr>
        <w:t xml:space="preserve"> </w:t>
      </w:r>
      <w:r>
        <w:t>la</w:t>
      </w:r>
      <w:r>
        <w:rPr>
          <w:spacing w:val="-12"/>
        </w:rPr>
        <w:t xml:space="preserve"> </w:t>
      </w:r>
      <w:r>
        <w:t>práctica</w:t>
      </w:r>
      <w:r>
        <w:rPr>
          <w:spacing w:val="-12"/>
        </w:rPr>
        <w:t xml:space="preserve"> </w:t>
      </w:r>
      <w:r>
        <w:t>se</w:t>
      </w:r>
      <w:r>
        <w:rPr>
          <w:spacing w:val="-12"/>
        </w:rPr>
        <w:t xml:space="preserve"> </w:t>
      </w:r>
      <w:r>
        <w:t>trata</w:t>
      </w:r>
      <w:r>
        <w:rPr>
          <w:spacing w:val="-14"/>
        </w:rPr>
        <w:t xml:space="preserve"> </w:t>
      </w:r>
      <w:r>
        <w:t>de</w:t>
      </w:r>
      <w:r>
        <w:rPr>
          <w:spacing w:val="-12"/>
        </w:rPr>
        <w:t xml:space="preserve"> </w:t>
      </w:r>
      <w:r>
        <w:t>un</w:t>
      </w:r>
      <w:r>
        <w:rPr>
          <w:spacing w:val="-12"/>
        </w:rPr>
        <w:t xml:space="preserve"> </w:t>
      </w:r>
      <w:r>
        <w:t>subsidio</w:t>
      </w:r>
      <w:r>
        <w:rPr>
          <w:spacing w:val="-12"/>
        </w:rPr>
        <w:t xml:space="preserve"> </w:t>
      </w:r>
      <w:r>
        <w:t>cruzado</w:t>
      </w:r>
      <w:r>
        <w:rPr>
          <w:spacing w:val="-14"/>
        </w:rPr>
        <w:t xml:space="preserve"> </w:t>
      </w:r>
      <w:r>
        <w:t>entre</w:t>
      </w:r>
      <w:r>
        <w:rPr>
          <w:spacing w:val="-12"/>
        </w:rPr>
        <w:t xml:space="preserve"> </w:t>
      </w:r>
      <w:r>
        <w:t>aquellos</w:t>
      </w:r>
      <w:r>
        <w:rPr>
          <w:spacing w:val="-13"/>
        </w:rPr>
        <w:t xml:space="preserve"> </w:t>
      </w:r>
      <w:r>
        <w:t>clientes</w:t>
      </w:r>
      <w:r>
        <w:rPr>
          <w:spacing w:val="-15"/>
        </w:rPr>
        <w:t xml:space="preserve"> </w:t>
      </w:r>
      <w:r>
        <w:t>que</w:t>
      </w:r>
      <w:r>
        <w:rPr>
          <w:spacing w:val="-12"/>
        </w:rPr>
        <w:t xml:space="preserve"> </w:t>
      </w:r>
      <w:r>
        <w:t>consumen más</w:t>
      </w:r>
      <w:r>
        <w:rPr>
          <w:spacing w:val="-17"/>
        </w:rPr>
        <w:t xml:space="preserve"> </w:t>
      </w:r>
      <w:r>
        <w:t>energía,</w:t>
      </w:r>
      <w:r>
        <w:rPr>
          <w:spacing w:val="-17"/>
        </w:rPr>
        <w:t xml:space="preserve"> </w:t>
      </w:r>
      <w:r>
        <w:t>quienes</w:t>
      </w:r>
      <w:r>
        <w:rPr>
          <w:spacing w:val="-16"/>
        </w:rPr>
        <w:t xml:space="preserve"> </w:t>
      </w:r>
      <w:r>
        <w:t>financian</w:t>
      </w:r>
      <w:r>
        <w:rPr>
          <w:spacing w:val="-17"/>
        </w:rPr>
        <w:t xml:space="preserve"> </w:t>
      </w:r>
      <w:r>
        <w:t>las</w:t>
      </w:r>
      <w:r>
        <w:rPr>
          <w:spacing w:val="-17"/>
        </w:rPr>
        <w:t xml:space="preserve"> </w:t>
      </w:r>
      <w:r>
        <w:t>alzas</w:t>
      </w:r>
      <w:r>
        <w:rPr>
          <w:spacing w:val="-17"/>
        </w:rPr>
        <w:t xml:space="preserve"> </w:t>
      </w:r>
      <w:r>
        <w:t>de</w:t>
      </w:r>
      <w:r>
        <w:rPr>
          <w:spacing w:val="-16"/>
        </w:rPr>
        <w:t xml:space="preserve"> </w:t>
      </w:r>
      <w:r>
        <w:t>aquellos</w:t>
      </w:r>
      <w:r>
        <w:rPr>
          <w:spacing w:val="-17"/>
        </w:rPr>
        <w:t xml:space="preserve"> </w:t>
      </w:r>
      <w:r>
        <w:t>que</w:t>
      </w:r>
      <w:r>
        <w:rPr>
          <w:spacing w:val="-17"/>
        </w:rPr>
        <w:t xml:space="preserve"> </w:t>
      </w:r>
      <w:r>
        <w:t>consumen</w:t>
      </w:r>
      <w:r>
        <w:rPr>
          <w:spacing w:val="-16"/>
        </w:rPr>
        <w:t xml:space="preserve"> </w:t>
      </w:r>
      <w:r>
        <w:t>menor</w:t>
      </w:r>
      <w:r>
        <w:rPr>
          <w:spacing w:val="-17"/>
        </w:rPr>
        <w:t xml:space="preserve"> </w:t>
      </w:r>
      <w:r>
        <w:t>cantidad de energía.</w:t>
      </w:r>
    </w:p>
    <w:p w:rsidR="008820FA" w:rsidRDefault="008820FA">
      <w:pPr>
        <w:spacing w:line="360" w:lineRule="auto"/>
        <w:sectPr w:rsidR="008820FA">
          <w:pgSz w:w="12240" w:h="15840"/>
          <w:pgMar w:top="1340" w:right="1580" w:bottom="1200" w:left="1600" w:header="0" w:footer="1000" w:gutter="0"/>
          <w:cols w:space="720"/>
        </w:sectPr>
      </w:pPr>
    </w:p>
    <w:p w:rsidR="008820FA" w:rsidRDefault="00133E59">
      <w:pPr>
        <w:pStyle w:val="Textoindependiente"/>
        <w:spacing w:before="77" w:line="360" w:lineRule="auto"/>
        <w:ind w:right="117"/>
      </w:pPr>
      <w:r>
        <w:lastRenderedPageBreak/>
        <w:t>Sin</w:t>
      </w:r>
      <w:r>
        <w:rPr>
          <w:spacing w:val="-2"/>
        </w:rPr>
        <w:t xml:space="preserve"> </w:t>
      </w:r>
      <w:r>
        <w:t>embargo,</w:t>
      </w:r>
      <w:r>
        <w:rPr>
          <w:spacing w:val="-4"/>
        </w:rPr>
        <w:t xml:space="preserve"> </w:t>
      </w:r>
      <w:r>
        <w:t>este</w:t>
      </w:r>
      <w:r>
        <w:rPr>
          <w:spacing w:val="-2"/>
        </w:rPr>
        <w:t xml:space="preserve"> </w:t>
      </w:r>
      <w:r>
        <w:t>di</w:t>
      </w:r>
      <w:r>
        <w:t>seño</w:t>
      </w:r>
      <w:r>
        <w:rPr>
          <w:spacing w:val="-4"/>
        </w:rPr>
        <w:t xml:space="preserve"> </w:t>
      </w:r>
      <w:r>
        <w:t>no</w:t>
      </w:r>
      <w:r>
        <w:rPr>
          <w:spacing w:val="-4"/>
        </w:rPr>
        <w:t xml:space="preserve"> </w:t>
      </w:r>
      <w:r>
        <w:t>tuvo</w:t>
      </w:r>
      <w:r>
        <w:rPr>
          <w:spacing w:val="-4"/>
        </w:rPr>
        <w:t xml:space="preserve"> </w:t>
      </w:r>
      <w:r>
        <w:t>a</w:t>
      </w:r>
      <w:r>
        <w:rPr>
          <w:spacing w:val="-1"/>
        </w:rPr>
        <w:t xml:space="preserve"> </w:t>
      </w:r>
      <w:r>
        <w:t>la</w:t>
      </w:r>
      <w:r>
        <w:rPr>
          <w:spacing w:val="-2"/>
        </w:rPr>
        <w:t xml:space="preserve"> </w:t>
      </w:r>
      <w:r>
        <w:t>vista</w:t>
      </w:r>
      <w:r>
        <w:rPr>
          <w:spacing w:val="-3"/>
        </w:rPr>
        <w:t xml:space="preserve"> </w:t>
      </w:r>
      <w:r>
        <w:t>al</w:t>
      </w:r>
      <w:r>
        <w:rPr>
          <w:spacing w:val="-5"/>
        </w:rPr>
        <w:t xml:space="preserve"> </w:t>
      </w:r>
      <w:r>
        <w:t>momento</w:t>
      </w:r>
      <w:r>
        <w:rPr>
          <w:spacing w:val="-3"/>
        </w:rPr>
        <w:t xml:space="preserve"> </w:t>
      </w:r>
      <w:r>
        <w:t>de</w:t>
      </w:r>
      <w:r>
        <w:rPr>
          <w:spacing w:val="-4"/>
        </w:rPr>
        <w:t xml:space="preserve"> </w:t>
      </w:r>
      <w:r>
        <w:t>la</w:t>
      </w:r>
      <w:r>
        <w:rPr>
          <w:spacing w:val="-4"/>
        </w:rPr>
        <w:t xml:space="preserve"> </w:t>
      </w:r>
      <w:r>
        <w:t>discusión</w:t>
      </w:r>
      <w:r>
        <w:rPr>
          <w:spacing w:val="-4"/>
        </w:rPr>
        <w:t xml:space="preserve"> </w:t>
      </w:r>
      <w:r>
        <w:t>de</w:t>
      </w:r>
      <w:r>
        <w:rPr>
          <w:spacing w:val="-2"/>
        </w:rPr>
        <w:t xml:space="preserve"> </w:t>
      </w:r>
      <w:r>
        <w:t>la</w:t>
      </w:r>
      <w:r>
        <w:rPr>
          <w:spacing w:val="-4"/>
        </w:rPr>
        <w:t xml:space="preserve"> </w:t>
      </w:r>
      <w:r>
        <w:t>ley,</w:t>
      </w:r>
      <w:r>
        <w:rPr>
          <w:spacing w:val="-4"/>
        </w:rPr>
        <w:t xml:space="preserve"> </w:t>
      </w:r>
      <w:r>
        <w:t>ni la magnitud de los incrementos que señalamos, ni tampoco que, en el grupo de clientes</w:t>
      </w:r>
      <w:r>
        <w:rPr>
          <w:spacing w:val="-3"/>
        </w:rPr>
        <w:t xml:space="preserve"> </w:t>
      </w:r>
      <w:r>
        <w:t>con</w:t>
      </w:r>
      <w:r>
        <w:rPr>
          <w:spacing w:val="-2"/>
        </w:rPr>
        <w:t xml:space="preserve"> </w:t>
      </w:r>
      <w:r>
        <w:t>consumos</w:t>
      </w:r>
      <w:r>
        <w:rPr>
          <w:spacing w:val="-4"/>
        </w:rPr>
        <w:t xml:space="preserve"> </w:t>
      </w:r>
      <w:r>
        <w:t>superiores</w:t>
      </w:r>
      <w:r>
        <w:rPr>
          <w:spacing w:val="-4"/>
        </w:rPr>
        <w:t xml:space="preserve"> </w:t>
      </w:r>
      <w:r>
        <w:t>a</w:t>
      </w:r>
      <w:r>
        <w:rPr>
          <w:spacing w:val="-2"/>
        </w:rPr>
        <w:t xml:space="preserve"> </w:t>
      </w:r>
      <w:r>
        <w:t>los</w:t>
      </w:r>
      <w:r>
        <w:rPr>
          <w:spacing w:val="-3"/>
        </w:rPr>
        <w:t xml:space="preserve"> </w:t>
      </w:r>
      <w:r>
        <w:t>500KWh</w:t>
      </w:r>
      <w:r>
        <w:rPr>
          <w:spacing w:val="-2"/>
        </w:rPr>
        <w:t xml:space="preserve"> </w:t>
      </w:r>
      <w:r>
        <w:t>se</w:t>
      </w:r>
      <w:r>
        <w:rPr>
          <w:spacing w:val="-2"/>
        </w:rPr>
        <w:t xml:space="preserve"> </w:t>
      </w:r>
      <w:r>
        <w:t>encuentran</w:t>
      </w:r>
      <w:r>
        <w:rPr>
          <w:spacing w:val="-2"/>
        </w:rPr>
        <w:t xml:space="preserve"> </w:t>
      </w:r>
      <w:r>
        <w:t>fundamentalmente Pymes,</w:t>
      </w:r>
      <w:r>
        <w:rPr>
          <w:spacing w:val="-3"/>
        </w:rPr>
        <w:t xml:space="preserve"> </w:t>
      </w:r>
      <w:r>
        <w:t>sector</w:t>
      </w:r>
      <w:r>
        <w:rPr>
          <w:spacing w:val="-3"/>
        </w:rPr>
        <w:t xml:space="preserve"> </w:t>
      </w:r>
      <w:r>
        <w:t>suficientemente</w:t>
      </w:r>
      <w:r>
        <w:rPr>
          <w:spacing w:val="-5"/>
        </w:rPr>
        <w:t xml:space="preserve"> </w:t>
      </w:r>
      <w:r>
        <w:t>golpeado</w:t>
      </w:r>
      <w:r>
        <w:rPr>
          <w:spacing w:val="-3"/>
        </w:rPr>
        <w:t xml:space="preserve"> </w:t>
      </w:r>
      <w:r>
        <w:t>por</w:t>
      </w:r>
      <w:r>
        <w:rPr>
          <w:spacing w:val="-6"/>
        </w:rPr>
        <w:t xml:space="preserve"> </w:t>
      </w:r>
      <w:r>
        <w:t>todos</w:t>
      </w:r>
      <w:r>
        <w:rPr>
          <w:spacing w:val="-6"/>
        </w:rPr>
        <w:t xml:space="preserve"> </w:t>
      </w:r>
      <w:r>
        <w:t>los</w:t>
      </w:r>
      <w:r>
        <w:rPr>
          <w:spacing w:val="-6"/>
        </w:rPr>
        <w:t xml:space="preserve"> </w:t>
      </w:r>
      <w:r>
        <w:t>eventos</w:t>
      </w:r>
      <w:r>
        <w:rPr>
          <w:spacing w:val="-6"/>
        </w:rPr>
        <w:t xml:space="preserve"> </w:t>
      </w:r>
      <w:r>
        <w:t>que</w:t>
      </w:r>
      <w:r>
        <w:rPr>
          <w:spacing w:val="-5"/>
        </w:rPr>
        <w:t xml:space="preserve"> </w:t>
      </w:r>
      <w:r>
        <w:t>han</w:t>
      </w:r>
      <w:r>
        <w:rPr>
          <w:spacing w:val="-5"/>
        </w:rPr>
        <w:t xml:space="preserve"> </w:t>
      </w:r>
      <w:r>
        <w:t>afectado</w:t>
      </w:r>
      <w:r>
        <w:rPr>
          <w:spacing w:val="-5"/>
        </w:rPr>
        <w:t xml:space="preserve"> </w:t>
      </w:r>
      <w:r>
        <w:t xml:space="preserve">al país en los últimos años, sumado a un permanente abandono de las políticas públicas, además de municipios, establecimientos de salud y de educación, entre </w:t>
      </w:r>
      <w:r>
        <w:rPr>
          <w:spacing w:val="-2"/>
        </w:rPr>
        <w:t>otros.</w:t>
      </w:r>
    </w:p>
    <w:p w:rsidR="008820FA" w:rsidRDefault="00133E59">
      <w:pPr>
        <w:pStyle w:val="Textoindependiente"/>
        <w:spacing w:before="159" w:line="360" w:lineRule="auto"/>
        <w:ind w:right="114"/>
      </w:pPr>
      <w:r>
        <w:t>De</w:t>
      </w:r>
      <w:r>
        <w:rPr>
          <w:spacing w:val="-13"/>
        </w:rPr>
        <w:t xml:space="preserve"> </w:t>
      </w:r>
      <w:r>
        <w:t>no</w:t>
      </w:r>
      <w:r>
        <w:rPr>
          <w:spacing w:val="-14"/>
        </w:rPr>
        <w:t xml:space="preserve"> </w:t>
      </w:r>
      <w:r>
        <w:t>implementarse</w:t>
      </w:r>
      <w:r>
        <w:rPr>
          <w:spacing w:val="-15"/>
        </w:rPr>
        <w:t xml:space="preserve"> </w:t>
      </w:r>
      <w:r>
        <w:t>fórmula</w:t>
      </w:r>
      <w:r>
        <w:t>s</w:t>
      </w:r>
      <w:r>
        <w:rPr>
          <w:spacing w:val="-15"/>
        </w:rPr>
        <w:t xml:space="preserve"> </w:t>
      </w:r>
      <w:r>
        <w:t>efectivas</w:t>
      </w:r>
      <w:r>
        <w:rPr>
          <w:spacing w:val="-15"/>
        </w:rPr>
        <w:t xml:space="preserve"> </w:t>
      </w:r>
      <w:r>
        <w:t>y</w:t>
      </w:r>
      <w:r>
        <w:rPr>
          <w:spacing w:val="-15"/>
        </w:rPr>
        <w:t xml:space="preserve"> </w:t>
      </w:r>
      <w:r>
        <w:t>oportunas,</w:t>
      </w:r>
      <w:r>
        <w:rPr>
          <w:spacing w:val="-14"/>
        </w:rPr>
        <w:t xml:space="preserve"> </w:t>
      </w:r>
      <w:r>
        <w:t>que</w:t>
      </w:r>
      <w:r>
        <w:rPr>
          <w:spacing w:val="-14"/>
        </w:rPr>
        <w:t xml:space="preserve"> </w:t>
      </w:r>
      <w:r>
        <w:t>permitan</w:t>
      </w:r>
      <w:r>
        <w:rPr>
          <w:spacing w:val="-14"/>
        </w:rPr>
        <w:t xml:space="preserve"> </w:t>
      </w:r>
      <w:r>
        <w:t>a</w:t>
      </w:r>
      <w:r>
        <w:rPr>
          <w:spacing w:val="-6"/>
        </w:rPr>
        <w:t xml:space="preserve"> </w:t>
      </w:r>
      <w:r>
        <w:t>estos</w:t>
      </w:r>
      <w:r>
        <w:rPr>
          <w:spacing w:val="-15"/>
        </w:rPr>
        <w:t xml:space="preserve"> </w:t>
      </w:r>
      <w:r>
        <w:t xml:space="preserve">usuarios sortear las alzas que hemos señalado, sus efectos generarán fuertes impactos negativos que necesariamente se traducirán en incrementos de precios y dificultades serias de funcionamientos, cuando no la </w:t>
      </w:r>
      <w:r>
        <w:t xml:space="preserve">quiebra de muchos </w:t>
      </w:r>
      <w:r>
        <w:rPr>
          <w:spacing w:val="-2"/>
        </w:rPr>
        <w:t>emprendimientos.</w:t>
      </w:r>
    </w:p>
    <w:p w:rsidR="008820FA" w:rsidRDefault="00133E59">
      <w:pPr>
        <w:pStyle w:val="Textoindependiente"/>
        <w:spacing w:before="163" w:line="360" w:lineRule="auto"/>
        <w:ind w:right="123"/>
      </w:pPr>
      <w:r>
        <w:t>Para</w:t>
      </w:r>
      <w:r>
        <w:rPr>
          <w:spacing w:val="-17"/>
        </w:rPr>
        <w:t xml:space="preserve"> </w:t>
      </w:r>
      <w:r>
        <w:t>definir</w:t>
      </w:r>
      <w:r>
        <w:rPr>
          <w:spacing w:val="-17"/>
        </w:rPr>
        <w:t xml:space="preserve"> </w:t>
      </w:r>
      <w:r>
        <w:t>una</w:t>
      </w:r>
      <w:r>
        <w:rPr>
          <w:spacing w:val="-16"/>
        </w:rPr>
        <w:t xml:space="preserve"> </w:t>
      </w:r>
      <w:r>
        <w:t>fórmula</w:t>
      </w:r>
      <w:r>
        <w:rPr>
          <w:spacing w:val="-17"/>
        </w:rPr>
        <w:t xml:space="preserve"> </w:t>
      </w:r>
      <w:r>
        <w:t>adecuada</w:t>
      </w:r>
      <w:r>
        <w:rPr>
          <w:spacing w:val="-17"/>
        </w:rPr>
        <w:t xml:space="preserve"> </w:t>
      </w:r>
      <w:r>
        <w:t>de</w:t>
      </w:r>
      <w:r>
        <w:rPr>
          <w:spacing w:val="-17"/>
        </w:rPr>
        <w:t xml:space="preserve"> </w:t>
      </w:r>
      <w:r>
        <w:t>solución</w:t>
      </w:r>
      <w:r>
        <w:rPr>
          <w:spacing w:val="-16"/>
        </w:rPr>
        <w:t xml:space="preserve"> </w:t>
      </w:r>
      <w:r>
        <w:t>es</w:t>
      </w:r>
      <w:r>
        <w:rPr>
          <w:spacing w:val="-17"/>
        </w:rPr>
        <w:t xml:space="preserve"> </w:t>
      </w:r>
      <w:r>
        <w:t>necesario</w:t>
      </w:r>
      <w:r>
        <w:rPr>
          <w:spacing w:val="-17"/>
        </w:rPr>
        <w:t xml:space="preserve"> </w:t>
      </w:r>
      <w:r>
        <w:t>detenerse</w:t>
      </w:r>
      <w:r>
        <w:rPr>
          <w:spacing w:val="-16"/>
        </w:rPr>
        <w:t xml:space="preserve"> </w:t>
      </w:r>
      <w:r>
        <w:t>en</w:t>
      </w:r>
      <w:r>
        <w:rPr>
          <w:spacing w:val="-14"/>
        </w:rPr>
        <w:t xml:space="preserve"> </w:t>
      </w:r>
      <w:r>
        <w:t>la</w:t>
      </w:r>
      <w:r>
        <w:rPr>
          <w:spacing w:val="-17"/>
        </w:rPr>
        <w:t xml:space="preserve"> </w:t>
      </w:r>
      <w:r>
        <w:t>manera en que son definidas las tarifas en nuestro país.</w:t>
      </w:r>
    </w:p>
    <w:p w:rsidR="008820FA" w:rsidRDefault="00133E59">
      <w:pPr>
        <w:pStyle w:val="Textoindependiente"/>
        <w:spacing w:before="159" w:line="360" w:lineRule="auto"/>
        <w:ind w:right="123"/>
      </w:pPr>
      <w:r>
        <w:t>La Ley General de Servicios Eléctricos señala en la letra d) del inciso tercero del artículo 147 de la ley que:</w:t>
      </w:r>
    </w:p>
    <w:p w:rsidR="008820FA" w:rsidRDefault="00133E59">
      <w:pPr>
        <w:spacing w:before="161" w:line="360" w:lineRule="auto"/>
        <w:ind w:left="102" w:right="119" w:firstLine="801"/>
        <w:jc w:val="both"/>
        <w:rPr>
          <w:i/>
          <w:sz w:val="24"/>
        </w:rPr>
      </w:pPr>
      <w:r>
        <w:rPr>
          <w:i/>
          <w:sz w:val="24"/>
        </w:rPr>
        <w:t>“Cuando</w:t>
      </w:r>
      <w:r>
        <w:rPr>
          <w:i/>
          <w:spacing w:val="-17"/>
          <w:sz w:val="24"/>
        </w:rPr>
        <w:t xml:space="preserve"> </w:t>
      </w:r>
      <w:r>
        <w:rPr>
          <w:i/>
          <w:sz w:val="24"/>
        </w:rPr>
        <w:t>la</w:t>
      </w:r>
      <w:r>
        <w:rPr>
          <w:i/>
          <w:spacing w:val="-17"/>
          <w:sz w:val="24"/>
        </w:rPr>
        <w:t xml:space="preserve"> </w:t>
      </w:r>
      <w:r>
        <w:rPr>
          <w:i/>
          <w:sz w:val="24"/>
        </w:rPr>
        <w:t>potencia</w:t>
      </w:r>
      <w:r>
        <w:rPr>
          <w:i/>
          <w:spacing w:val="-16"/>
          <w:sz w:val="24"/>
        </w:rPr>
        <w:t xml:space="preserve"> </w:t>
      </w:r>
      <w:r>
        <w:rPr>
          <w:i/>
          <w:sz w:val="24"/>
        </w:rPr>
        <w:t>conectada</w:t>
      </w:r>
      <w:r>
        <w:rPr>
          <w:i/>
          <w:spacing w:val="-17"/>
          <w:sz w:val="24"/>
        </w:rPr>
        <w:t xml:space="preserve"> </w:t>
      </w:r>
      <w:r>
        <w:rPr>
          <w:i/>
          <w:sz w:val="24"/>
        </w:rPr>
        <w:t>del</w:t>
      </w:r>
      <w:r>
        <w:rPr>
          <w:i/>
          <w:spacing w:val="-17"/>
          <w:sz w:val="24"/>
        </w:rPr>
        <w:t xml:space="preserve"> </w:t>
      </w:r>
      <w:r>
        <w:rPr>
          <w:i/>
          <w:sz w:val="24"/>
        </w:rPr>
        <w:t>usuario</w:t>
      </w:r>
      <w:r>
        <w:rPr>
          <w:i/>
          <w:spacing w:val="-16"/>
          <w:sz w:val="24"/>
        </w:rPr>
        <w:t xml:space="preserve"> </w:t>
      </w:r>
      <w:r>
        <w:rPr>
          <w:i/>
          <w:sz w:val="24"/>
        </w:rPr>
        <w:t>final</w:t>
      </w:r>
      <w:r>
        <w:rPr>
          <w:i/>
          <w:spacing w:val="-17"/>
          <w:sz w:val="24"/>
        </w:rPr>
        <w:t xml:space="preserve"> </w:t>
      </w:r>
      <w:r>
        <w:rPr>
          <w:i/>
          <w:sz w:val="24"/>
        </w:rPr>
        <w:t>sea</w:t>
      </w:r>
      <w:r>
        <w:rPr>
          <w:i/>
          <w:spacing w:val="-16"/>
          <w:sz w:val="24"/>
        </w:rPr>
        <w:t xml:space="preserve"> </w:t>
      </w:r>
      <w:r>
        <w:rPr>
          <w:i/>
          <w:sz w:val="24"/>
        </w:rPr>
        <w:t>superior</w:t>
      </w:r>
      <w:r>
        <w:rPr>
          <w:i/>
          <w:spacing w:val="-17"/>
          <w:sz w:val="24"/>
        </w:rPr>
        <w:t xml:space="preserve"> </w:t>
      </w:r>
      <w:r>
        <w:rPr>
          <w:i/>
          <w:sz w:val="24"/>
        </w:rPr>
        <w:t>a</w:t>
      </w:r>
      <w:r>
        <w:rPr>
          <w:i/>
          <w:spacing w:val="-15"/>
          <w:sz w:val="24"/>
        </w:rPr>
        <w:t xml:space="preserve"> </w:t>
      </w:r>
      <w:r>
        <w:rPr>
          <w:i/>
          <w:sz w:val="24"/>
        </w:rPr>
        <w:t>500</w:t>
      </w:r>
      <w:r>
        <w:rPr>
          <w:i/>
          <w:spacing w:val="-17"/>
          <w:sz w:val="24"/>
        </w:rPr>
        <w:t xml:space="preserve"> </w:t>
      </w:r>
      <w:r>
        <w:rPr>
          <w:i/>
          <w:sz w:val="24"/>
        </w:rPr>
        <w:t>kilowatts. En este caso, el usuario final tendrá derecho a optar por un régim</w:t>
      </w:r>
      <w:r>
        <w:rPr>
          <w:i/>
          <w:sz w:val="24"/>
        </w:rPr>
        <w:t>en de tarifa regulada o de precio libre, por un período mínimo de cuatro años de permanencia en cada régimen. El cambio de opción deberá ser comunicado a la concesionaria de distribución con una antelación de, al menos, 12 meses.</w:t>
      </w:r>
    </w:p>
    <w:p w:rsidR="008820FA" w:rsidRDefault="00133E59">
      <w:pPr>
        <w:spacing w:before="160" w:line="360" w:lineRule="auto"/>
        <w:ind w:left="102" w:right="123" w:firstLine="868"/>
        <w:jc w:val="both"/>
        <w:rPr>
          <w:i/>
          <w:sz w:val="24"/>
        </w:rPr>
      </w:pPr>
      <w:r>
        <w:rPr>
          <w:i/>
          <w:sz w:val="24"/>
        </w:rPr>
        <w:t>El</w:t>
      </w:r>
      <w:r>
        <w:rPr>
          <w:i/>
          <w:spacing w:val="-9"/>
          <w:sz w:val="24"/>
        </w:rPr>
        <w:t xml:space="preserve"> </w:t>
      </w:r>
      <w:r>
        <w:rPr>
          <w:i/>
          <w:sz w:val="24"/>
        </w:rPr>
        <w:t>Ministerio</w:t>
      </w:r>
      <w:r>
        <w:rPr>
          <w:i/>
          <w:spacing w:val="-8"/>
          <w:sz w:val="24"/>
        </w:rPr>
        <w:t xml:space="preserve"> </w:t>
      </w:r>
      <w:r>
        <w:rPr>
          <w:i/>
          <w:sz w:val="24"/>
        </w:rPr>
        <w:t>de</w:t>
      </w:r>
      <w:r>
        <w:rPr>
          <w:i/>
          <w:spacing w:val="-8"/>
          <w:sz w:val="24"/>
        </w:rPr>
        <w:t xml:space="preserve"> </w:t>
      </w:r>
      <w:r>
        <w:rPr>
          <w:i/>
          <w:sz w:val="24"/>
        </w:rPr>
        <w:t>Energía</w:t>
      </w:r>
      <w:r>
        <w:rPr>
          <w:i/>
          <w:spacing w:val="-8"/>
          <w:sz w:val="24"/>
        </w:rPr>
        <w:t xml:space="preserve"> </w:t>
      </w:r>
      <w:r>
        <w:rPr>
          <w:i/>
          <w:sz w:val="24"/>
        </w:rPr>
        <w:t>p</w:t>
      </w:r>
      <w:r>
        <w:rPr>
          <w:i/>
          <w:sz w:val="24"/>
        </w:rPr>
        <w:t>odrá</w:t>
      </w:r>
      <w:r>
        <w:rPr>
          <w:i/>
          <w:spacing w:val="-9"/>
          <w:sz w:val="24"/>
        </w:rPr>
        <w:t xml:space="preserve"> </w:t>
      </w:r>
      <w:r>
        <w:rPr>
          <w:i/>
          <w:sz w:val="24"/>
        </w:rPr>
        <w:t>rebajar</w:t>
      </w:r>
      <w:r>
        <w:rPr>
          <w:i/>
          <w:spacing w:val="-9"/>
          <w:sz w:val="24"/>
        </w:rPr>
        <w:t xml:space="preserve"> </w:t>
      </w:r>
      <w:r>
        <w:rPr>
          <w:i/>
          <w:sz w:val="24"/>
        </w:rPr>
        <w:t>el</w:t>
      </w:r>
      <w:r>
        <w:rPr>
          <w:i/>
          <w:spacing w:val="-9"/>
          <w:sz w:val="24"/>
        </w:rPr>
        <w:t xml:space="preserve"> </w:t>
      </w:r>
      <w:r>
        <w:rPr>
          <w:i/>
          <w:sz w:val="24"/>
        </w:rPr>
        <w:t>límite</w:t>
      </w:r>
      <w:r>
        <w:rPr>
          <w:i/>
          <w:spacing w:val="-8"/>
          <w:sz w:val="24"/>
        </w:rPr>
        <w:t xml:space="preserve"> </w:t>
      </w:r>
      <w:r>
        <w:rPr>
          <w:i/>
          <w:sz w:val="24"/>
        </w:rPr>
        <w:t>de</w:t>
      </w:r>
      <w:r>
        <w:rPr>
          <w:i/>
          <w:spacing w:val="-8"/>
          <w:sz w:val="24"/>
        </w:rPr>
        <w:t xml:space="preserve"> </w:t>
      </w:r>
      <w:r>
        <w:rPr>
          <w:i/>
          <w:sz w:val="24"/>
        </w:rPr>
        <w:t>500</w:t>
      </w:r>
      <w:r>
        <w:rPr>
          <w:i/>
          <w:spacing w:val="-8"/>
          <w:sz w:val="24"/>
        </w:rPr>
        <w:t xml:space="preserve"> </w:t>
      </w:r>
      <w:r>
        <w:rPr>
          <w:i/>
          <w:sz w:val="24"/>
        </w:rPr>
        <w:t>kilowatts</w:t>
      </w:r>
      <w:r>
        <w:rPr>
          <w:i/>
          <w:spacing w:val="-9"/>
          <w:sz w:val="24"/>
        </w:rPr>
        <w:t xml:space="preserve"> </w:t>
      </w:r>
      <w:r>
        <w:rPr>
          <w:i/>
          <w:sz w:val="24"/>
        </w:rPr>
        <w:t>indicado</w:t>
      </w:r>
      <w:r>
        <w:rPr>
          <w:i/>
          <w:spacing w:val="-8"/>
          <w:sz w:val="24"/>
        </w:rPr>
        <w:t xml:space="preserve"> </w:t>
      </w:r>
      <w:r>
        <w:rPr>
          <w:i/>
          <w:sz w:val="24"/>
        </w:rPr>
        <w:t>en esta letra, previo informe del Tribunal de Defensa de la Libre Competencia.”</w:t>
      </w:r>
    </w:p>
    <w:p w:rsidR="008820FA" w:rsidRDefault="00133E59">
      <w:pPr>
        <w:pStyle w:val="Textoindependiente"/>
        <w:spacing w:line="360" w:lineRule="auto"/>
        <w:ind w:right="115"/>
      </w:pPr>
      <w:r>
        <w:t>Es</w:t>
      </w:r>
      <w:r>
        <w:rPr>
          <w:spacing w:val="-17"/>
        </w:rPr>
        <w:t xml:space="preserve"> </w:t>
      </w:r>
      <w:r>
        <w:t>decir,</w:t>
      </w:r>
      <w:r>
        <w:rPr>
          <w:spacing w:val="-17"/>
        </w:rPr>
        <w:t xml:space="preserve"> </w:t>
      </w:r>
      <w:r>
        <w:t>todos</w:t>
      </w:r>
      <w:r>
        <w:rPr>
          <w:spacing w:val="-16"/>
        </w:rPr>
        <w:t xml:space="preserve"> </w:t>
      </w:r>
      <w:r>
        <w:t>los</w:t>
      </w:r>
      <w:r>
        <w:rPr>
          <w:spacing w:val="-17"/>
        </w:rPr>
        <w:t xml:space="preserve"> </w:t>
      </w:r>
      <w:r>
        <w:t>usuarios</w:t>
      </w:r>
      <w:r>
        <w:rPr>
          <w:spacing w:val="-17"/>
        </w:rPr>
        <w:t xml:space="preserve"> </w:t>
      </w:r>
      <w:r>
        <w:t>de</w:t>
      </w:r>
      <w:r>
        <w:rPr>
          <w:spacing w:val="-17"/>
        </w:rPr>
        <w:t xml:space="preserve"> </w:t>
      </w:r>
      <w:r>
        <w:t>electricidad</w:t>
      </w:r>
      <w:r>
        <w:rPr>
          <w:spacing w:val="-16"/>
        </w:rPr>
        <w:t xml:space="preserve"> </w:t>
      </w:r>
      <w:r>
        <w:t>con</w:t>
      </w:r>
      <w:r>
        <w:rPr>
          <w:spacing w:val="-17"/>
        </w:rPr>
        <w:t xml:space="preserve"> </w:t>
      </w:r>
      <w:r>
        <w:t>potencia</w:t>
      </w:r>
      <w:r>
        <w:rPr>
          <w:spacing w:val="-17"/>
        </w:rPr>
        <w:t xml:space="preserve"> </w:t>
      </w:r>
      <w:r>
        <w:t>conectada</w:t>
      </w:r>
      <w:r>
        <w:rPr>
          <w:spacing w:val="-16"/>
        </w:rPr>
        <w:t xml:space="preserve"> </w:t>
      </w:r>
      <w:r>
        <w:t>inferior</w:t>
      </w:r>
      <w:r>
        <w:rPr>
          <w:spacing w:val="-17"/>
        </w:rPr>
        <w:t xml:space="preserve"> </w:t>
      </w:r>
      <w:r>
        <w:t>a</w:t>
      </w:r>
      <w:r>
        <w:rPr>
          <w:spacing w:val="-17"/>
        </w:rPr>
        <w:t xml:space="preserve"> </w:t>
      </w:r>
      <w:r>
        <w:t>500KW son</w:t>
      </w:r>
      <w:r>
        <w:rPr>
          <w:spacing w:val="-14"/>
        </w:rPr>
        <w:t xml:space="preserve"> </w:t>
      </w:r>
      <w:r>
        <w:t>clientes</w:t>
      </w:r>
      <w:r>
        <w:rPr>
          <w:spacing w:val="-15"/>
        </w:rPr>
        <w:t xml:space="preserve"> </w:t>
      </w:r>
      <w:r>
        <w:t>regulados.</w:t>
      </w:r>
      <w:r>
        <w:rPr>
          <w:spacing w:val="-17"/>
        </w:rPr>
        <w:t xml:space="preserve"> </w:t>
      </w:r>
      <w:r>
        <w:t>Para</w:t>
      </w:r>
      <w:r>
        <w:rPr>
          <w:spacing w:val="-14"/>
        </w:rPr>
        <w:t xml:space="preserve"> </w:t>
      </w:r>
      <w:r>
        <w:t>los</w:t>
      </w:r>
      <w:r>
        <w:rPr>
          <w:spacing w:val="-15"/>
        </w:rPr>
        <w:t xml:space="preserve"> </w:t>
      </w:r>
      <w:r>
        <w:t>clientes</w:t>
      </w:r>
      <w:r>
        <w:rPr>
          <w:spacing w:val="-15"/>
        </w:rPr>
        <w:t xml:space="preserve"> </w:t>
      </w:r>
      <w:r>
        <w:t>regulados</w:t>
      </w:r>
      <w:r>
        <w:rPr>
          <w:spacing w:val="-15"/>
        </w:rPr>
        <w:t xml:space="preserve"> </w:t>
      </w:r>
      <w:r>
        <w:t>las</w:t>
      </w:r>
      <w:r>
        <w:rPr>
          <w:spacing w:val="-17"/>
        </w:rPr>
        <w:t xml:space="preserve"> </w:t>
      </w:r>
      <w:r>
        <w:t>tarifas</w:t>
      </w:r>
      <w:r>
        <w:rPr>
          <w:spacing w:val="-14"/>
        </w:rPr>
        <w:t xml:space="preserve"> </w:t>
      </w:r>
      <w:r>
        <w:t>las</w:t>
      </w:r>
      <w:r>
        <w:rPr>
          <w:spacing w:val="-17"/>
        </w:rPr>
        <w:t xml:space="preserve"> </w:t>
      </w:r>
      <w:r>
        <w:t>define</w:t>
      </w:r>
      <w:r>
        <w:rPr>
          <w:spacing w:val="-14"/>
        </w:rPr>
        <w:t xml:space="preserve"> </w:t>
      </w:r>
      <w:r>
        <w:t>la</w:t>
      </w:r>
      <w:r>
        <w:rPr>
          <w:spacing w:val="-15"/>
        </w:rPr>
        <w:t xml:space="preserve"> </w:t>
      </w:r>
      <w:r>
        <w:t>autoridad. El</w:t>
      </w:r>
      <w:r>
        <w:rPr>
          <w:spacing w:val="-12"/>
        </w:rPr>
        <w:t xml:space="preserve"> </w:t>
      </w:r>
      <w:r>
        <w:t>cargo</w:t>
      </w:r>
      <w:r>
        <w:rPr>
          <w:spacing w:val="-13"/>
        </w:rPr>
        <w:t xml:space="preserve"> </w:t>
      </w:r>
      <w:r>
        <w:t>por</w:t>
      </w:r>
      <w:r>
        <w:rPr>
          <w:spacing w:val="-12"/>
        </w:rPr>
        <w:t xml:space="preserve"> </w:t>
      </w:r>
      <w:r>
        <w:t>energía,</w:t>
      </w:r>
      <w:r>
        <w:rPr>
          <w:spacing w:val="-13"/>
        </w:rPr>
        <w:t xml:space="preserve"> </w:t>
      </w:r>
      <w:r>
        <w:t>que</w:t>
      </w:r>
      <w:r>
        <w:rPr>
          <w:spacing w:val="-11"/>
        </w:rPr>
        <w:t xml:space="preserve"> </w:t>
      </w:r>
      <w:r>
        <w:t>pesa</w:t>
      </w:r>
      <w:r>
        <w:rPr>
          <w:spacing w:val="-13"/>
        </w:rPr>
        <w:t xml:space="preserve"> </w:t>
      </w:r>
      <w:r>
        <w:t>un</w:t>
      </w:r>
      <w:r>
        <w:rPr>
          <w:spacing w:val="-13"/>
        </w:rPr>
        <w:t xml:space="preserve"> </w:t>
      </w:r>
      <w:r>
        <w:t>70%</w:t>
      </w:r>
      <w:r>
        <w:rPr>
          <w:spacing w:val="-14"/>
        </w:rPr>
        <w:t xml:space="preserve"> </w:t>
      </w:r>
      <w:r>
        <w:t>en</w:t>
      </w:r>
      <w:r>
        <w:rPr>
          <w:spacing w:val="-11"/>
        </w:rPr>
        <w:t xml:space="preserve"> </w:t>
      </w:r>
      <w:r>
        <w:t>la</w:t>
      </w:r>
      <w:r>
        <w:rPr>
          <w:spacing w:val="-11"/>
        </w:rPr>
        <w:t xml:space="preserve"> </w:t>
      </w:r>
      <w:r>
        <w:t>tarifa,</w:t>
      </w:r>
      <w:r>
        <w:rPr>
          <w:spacing w:val="-11"/>
        </w:rPr>
        <w:t xml:space="preserve"> </w:t>
      </w:r>
      <w:r>
        <w:t>se</w:t>
      </w:r>
      <w:r>
        <w:rPr>
          <w:spacing w:val="-13"/>
        </w:rPr>
        <w:t xml:space="preserve"> </w:t>
      </w:r>
      <w:r>
        <w:t>obtiene</w:t>
      </w:r>
      <w:r>
        <w:rPr>
          <w:spacing w:val="-13"/>
        </w:rPr>
        <w:t xml:space="preserve"> </w:t>
      </w:r>
      <w:r>
        <w:t>a</w:t>
      </w:r>
      <w:r>
        <w:rPr>
          <w:spacing w:val="-13"/>
        </w:rPr>
        <w:t xml:space="preserve"> </w:t>
      </w:r>
      <w:r>
        <w:t>partir</w:t>
      </w:r>
      <w:r>
        <w:rPr>
          <w:spacing w:val="-12"/>
        </w:rPr>
        <w:t xml:space="preserve"> </w:t>
      </w:r>
      <w:r>
        <w:t>de</w:t>
      </w:r>
      <w:r>
        <w:rPr>
          <w:spacing w:val="-11"/>
        </w:rPr>
        <w:t xml:space="preserve"> </w:t>
      </w:r>
      <w:r>
        <w:t>licitaciones de suministro que coordina la CNE y que se traducen en contratos de suministro firmados</w:t>
      </w:r>
      <w:r>
        <w:rPr>
          <w:spacing w:val="-8"/>
        </w:rPr>
        <w:t xml:space="preserve"> </w:t>
      </w:r>
      <w:r>
        <w:t>entre</w:t>
      </w:r>
      <w:r>
        <w:rPr>
          <w:spacing w:val="-6"/>
        </w:rPr>
        <w:t xml:space="preserve"> </w:t>
      </w:r>
      <w:r>
        <w:t>empresas</w:t>
      </w:r>
      <w:r>
        <w:rPr>
          <w:spacing w:val="-8"/>
        </w:rPr>
        <w:t xml:space="preserve"> </w:t>
      </w:r>
      <w:r>
        <w:t>de</w:t>
      </w:r>
      <w:r>
        <w:rPr>
          <w:spacing w:val="-6"/>
        </w:rPr>
        <w:t xml:space="preserve"> </w:t>
      </w:r>
      <w:r>
        <w:t>genera</w:t>
      </w:r>
      <w:r>
        <w:t>ción</w:t>
      </w:r>
      <w:r>
        <w:rPr>
          <w:spacing w:val="-7"/>
        </w:rPr>
        <w:t xml:space="preserve"> </w:t>
      </w:r>
      <w:r>
        <w:t>y</w:t>
      </w:r>
      <w:r>
        <w:rPr>
          <w:spacing w:val="-9"/>
        </w:rPr>
        <w:t xml:space="preserve"> </w:t>
      </w:r>
      <w:r>
        <w:t>distribución.</w:t>
      </w:r>
      <w:r>
        <w:rPr>
          <w:spacing w:val="-7"/>
        </w:rPr>
        <w:t xml:space="preserve"> </w:t>
      </w:r>
      <w:r>
        <w:t>Estos</w:t>
      </w:r>
      <w:r>
        <w:rPr>
          <w:spacing w:val="-7"/>
        </w:rPr>
        <w:t xml:space="preserve"> </w:t>
      </w:r>
      <w:r>
        <w:t>contratos</w:t>
      </w:r>
      <w:r>
        <w:rPr>
          <w:spacing w:val="-8"/>
        </w:rPr>
        <w:t xml:space="preserve"> </w:t>
      </w:r>
      <w:r>
        <w:t>son</w:t>
      </w:r>
      <w:r>
        <w:rPr>
          <w:spacing w:val="-6"/>
        </w:rPr>
        <w:t xml:space="preserve"> </w:t>
      </w:r>
      <w:r>
        <w:t>de</w:t>
      </w:r>
      <w:r>
        <w:rPr>
          <w:spacing w:val="-6"/>
        </w:rPr>
        <w:t xml:space="preserve"> </w:t>
      </w:r>
      <w:r>
        <w:rPr>
          <w:spacing w:val="-2"/>
        </w:rPr>
        <w:t>largo</w:t>
      </w:r>
    </w:p>
    <w:p w:rsidR="008820FA" w:rsidRDefault="008820FA">
      <w:pPr>
        <w:spacing w:line="360" w:lineRule="auto"/>
        <w:sectPr w:rsidR="008820FA">
          <w:pgSz w:w="12240" w:h="15840"/>
          <w:pgMar w:top="1340" w:right="1580" w:bottom="1200" w:left="1600" w:header="0" w:footer="1000" w:gutter="0"/>
          <w:cols w:space="720"/>
        </w:sectPr>
      </w:pPr>
    </w:p>
    <w:p w:rsidR="008820FA" w:rsidRDefault="00133E59">
      <w:pPr>
        <w:pStyle w:val="Textoindependiente"/>
        <w:spacing w:before="77" w:line="360" w:lineRule="auto"/>
        <w:ind w:right="124"/>
      </w:pPr>
      <w:r>
        <w:t>plazo y permiten evitar que los clientes regulados estén sometidos a variaciones bruscas de precios.</w:t>
      </w:r>
    </w:p>
    <w:p w:rsidR="008820FA" w:rsidRDefault="00133E59">
      <w:pPr>
        <w:pStyle w:val="Textoindependiente"/>
        <w:spacing w:before="160" w:line="360" w:lineRule="auto"/>
        <w:ind w:right="116"/>
      </w:pPr>
      <w:r>
        <w:t>Por</w:t>
      </w:r>
      <w:r>
        <w:rPr>
          <w:spacing w:val="-1"/>
        </w:rPr>
        <w:t xml:space="preserve"> </w:t>
      </w:r>
      <w:r>
        <w:t>otro</w:t>
      </w:r>
      <w:r>
        <w:rPr>
          <w:spacing w:val="-1"/>
        </w:rPr>
        <w:t xml:space="preserve"> </w:t>
      </w:r>
      <w:r>
        <w:t>lado, los</w:t>
      </w:r>
      <w:r>
        <w:rPr>
          <w:spacing w:val="-2"/>
        </w:rPr>
        <w:t xml:space="preserve"> </w:t>
      </w:r>
      <w:r>
        <w:t>clientes libres, calidad</w:t>
      </w:r>
      <w:r>
        <w:rPr>
          <w:spacing w:val="-1"/>
        </w:rPr>
        <w:t xml:space="preserve"> </w:t>
      </w:r>
      <w:r>
        <w:t>a</w:t>
      </w:r>
      <w:r>
        <w:rPr>
          <w:spacing w:val="-1"/>
        </w:rPr>
        <w:t xml:space="preserve"> </w:t>
      </w:r>
      <w:r>
        <w:t>la que se puede</w:t>
      </w:r>
      <w:r>
        <w:rPr>
          <w:spacing w:val="-2"/>
        </w:rPr>
        <w:t xml:space="preserve"> </w:t>
      </w:r>
      <w:r>
        <w:t>optar</w:t>
      </w:r>
      <w:r>
        <w:rPr>
          <w:spacing w:val="-3"/>
        </w:rPr>
        <w:t xml:space="preserve"> </w:t>
      </w:r>
      <w:r>
        <w:t>en</w:t>
      </w:r>
      <w:r>
        <w:rPr>
          <w:spacing w:val="-1"/>
        </w:rPr>
        <w:t xml:space="preserve"> </w:t>
      </w:r>
      <w:r>
        <w:t>la actualidad</w:t>
      </w:r>
      <w:r>
        <w:rPr>
          <w:spacing w:val="-2"/>
        </w:rPr>
        <w:t xml:space="preserve"> </w:t>
      </w:r>
      <w:r>
        <w:t>si la potencia conectada es superior a los 500KW, pagan cargos similar</w:t>
      </w:r>
      <w:r>
        <w:t>es de transmisión y distribución que los clientes regulados. Sin embargo, tienen la posibilidad de negociar el precio de la energía que pesa un 70% en la tarifa final.</w:t>
      </w:r>
    </w:p>
    <w:p w:rsidR="008820FA" w:rsidRDefault="00133E59">
      <w:pPr>
        <w:pStyle w:val="Textoindependiente"/>
        <w:spacing w:line="360" w:lineRule="auto"/>
        <w:ind w:right="116"/>
      </w:pPr>
      <w:r>
        <w:t>La</w:t>
      </w:r>
      <w:r>
        <w:rPr>
          <w:spacing w:val="-12"/>
        </w:rPr>
        <w:t xml:space="preserve"> </w:t>
      </w:r>
      <w:r>
        <w:t>potencia</w:t>
      </w:r>
      <w:r>
        <w:rPr>
          <w:spacing w:val="-10"/>
        </w:rPr>
        <w:t xml:space="preserve"> </w:t>
      </w:r>
      <w:r>
        <w:t>conectada</w:t>
      </w:r>
      <w:r>
        <w:rPr>
          <w:spacing w:val="-12"/>
        </w:rPr>
        <w:t xml:space="preserve"> </w:t>
      </w:r>
      <w:r>
        <w:t>que</w:t>
      </w:r>
      <w:r>
        <w:rPr>
          <w:spacing w:val="-9"/>
        </w:rPr>
        <w:t xml:space="preserve"> </w:t>
      </w:r>
      <w:r>
        <w:t>se</w:t>
      </w:r>
      <w:r>
        <w:rPr>
          <w:spacing w:val="-12"/>
        </w:rPr>
        <w:t xml:space="preserve"> </w:t>
      </w:r>
      <w:r>
        <w:t>identifica</w:t>
      </w:r>
      <w:r>
        <w:rPr>
          <w:spacing w:val="-9"/>
        </w:rPr>
        <w:t xml:space="preserve"> </w:t>
      </w:r>
      <w:r>
        <w:t>con</w:t>
      </w:r>
      <w:r>
        <w:rPr>
          <w:spacing w:val="-12"/>
        </w:rPr>
        <w:t xml:space="preserve"> </w:t>
      </w:r>
      <w:r>
        <w:t>la</w:t>
      </w:r>
      <w:r>
        <w:rPr>
          <w:spacing w:val="-10"/>
        </w:rPr>
        <w:t xml:space="preserve"> </w:t>
      </w:r>
      <w:r>
        <w:t>sigla</w:t>
      </w:r>
      <w:r>
        <w:rPr>
          <w:spacing w:val="-12"/>
        </w:rPr>
        <w:t xml:space="preserve"> </w:t>
      </w:r>
      <w:r>
        <w:t>KW</w:t>
      </w:r>
      <w:r>
        <w:rPr>
          <w:spacing w:val="-11"/>
        </w:rPr>
        <w:t xml:space="preserve"> </w:t>
      </w:r>
      <w:r>
        <w:t>se</w:t>
      </w:r>
      <w:r>
        <w:rPr>
          <w:spacing w:val="-12"/>
        </w:rPr>
        <w:t xml:space="preserve"> </w:t>
      </w:r>
      <w:r>
        <w:t>refiere</w:t>
      </w:r>
      <w:r>
        <w:rPr>
          <w:spacing w:val="-12"/>
        </w:rPr>
        <w:t xml:space="preserve"> </w:t>
      </w:r>
      <w:r>
        <w:t>a</w:t>
      </w:r>
      <w:r>
        <w:rPr>
          <w:spacing w:val="-12"/>
        </w:rPr>
        <w:t xml:space="preserve"> </w:t>
      </w:r>
      <w:r>
        <w:t>la</w:t>
      </w:r>
      <w:r>
        <w:rPr>
          <w:spacing w:val="-10"/>
        </w:rPr>
        <w:t xml:space="preserve"> </w:t>
      </w:r>
      <w:r>
        <w:t>capacidad</w:t>
      </w:r>
      <w:r>
        <w:rPr>
          <w:spacing w:val="-9"/>
        </w:rPr>
        <w:t xml:space="preserve"> </w:t>
      </w:r>
      <w:r>
        <w:t>de con</w:t>
      </w:r>
      <w:r>
        <w:t>exión del empalme asociado a cada cliente, y difiere de la cantidad de energía consumida que se identifica con la sigla KWh.</w:t>
      </w:r>
    </w:p>
    <w:p w:rsidR="008820FA" w:rsidRDefault="00133E59">
      <w:pPr>
        <w:spacing w:before="161"/>
        <w:ind w:left="102"/>
        <w:jc w:val="both"/>
        <w:rPr>
          <w:b/>
          <w:sz w:val="24"/>
        </w:rPr>
      </w:pPr>
      <w:r>
        <w:rPr>
          <w:b/>
          <w:sz w:val="24"/>
          <w:u w:val="single"/>
        </w:rPr>
        <w:t>Contenido</w:t>
      </w:r>
      <w:r>
        <w:rPr>
          <w:b/>
          <w:spacing w:val="-3"/>
          <w:sz w:val="24"/>
          <w:u w:val="single"/>
        </w:rPr>
        <w:t xml:space="preserve"> </w:t>
      </w:r>
      <w:r>
        <w:rPr>
          <w:b/>
          <w:sz w:val="24"/>
          <w:u w:val="single"/>
        </w:rPr>
        <w:t>del</w:t>
      </w:r>
      <w:r>
        <w:rPr>
          <w:b/>
          <w:spacing w:val="-3"/>
          <w:sz w:val="24"/>
          <w:u w:val="single"/>
        </w:rPr>
        <w:t xml:space="preserve"> </w:t>
      </w:r>
      <w:r>
        <w:rPr>
          <w:b/>
          <w:spacing w:val="-2"/>
          <w:sz w:val="24"/>
          <w:u w:val="single"/>
        </w:rPr>
        <w:t>proyecto</w:t>
      </w:r>
    </w:p>
    <w:p w:rsidR="008820FA" w:rsidRDefault="008820FA">
      <w:pPr>
        <w:pStyle w:val="Textoindependiente"/>
        <w:spacing w:before="10"/>
        <w:ind w:left="0"/>
        <w:jc w:val="left"/>
        <w:rPr>
          <w:b/>
          <w:sz w:val="17"/>
        </w:rPr>
      </w:pPr>
    </w:p>
    <w:p w:rsidR="008820FA" w:rsidRDefault="00133E59">
      <w:pPr>
        <w:pStyle w:val="Textoindependiente"/>
        <w:spacing w:before="92" w:line="360" w:lineRule="auto"/>
        <w:ind w:right="119"/>
      </w:pPr>
      <w:r>
        <w:t>En este escenario, hemos recogido los análisis realizados por los académicos del Departamento</w:t>
      </w:r>
      <w:r>
        <w:rPr>
          <w:spacing w:val="-3"/>
        </w:rPr>
        <w:t xml:space="preserve"> </w:t>
      </w:r>
      <w:r>
        <w:t>de</w:t>
      </w:r>
      <w:r>
        <w:rPr>
          <w:spacing w:val="-3"/>
        </w:rPr>
        <w:t xml:space="preserve"> </w:t>
      </w:r>
      <w:r>
        <w:t>Ingeniería</w:t>
      </w:r>
      <w:r>
        <w:rPr>
          <w:spacing w:val="-4"/>
        </w:rPr>
        <w:t xml:space="preserve"> </w:t>
      </w:r>
      <w:r>
        <w:t>Eléctrica</w:t>
      </w:r>
      <w:r>
        <w:rPr>
          <w:spacing w:val="-4"/>
        </w:rPr>
        <w:t xml:space="preserve"> </w:t>
      </w:r>
      <w:r>
        <w:t>de</w:t>
      </w:r>
      <w:r>
        <w:rPr>
          <w:spacing w:val="-1"/>
        </w:rPr>
        <w:t xml:space="preserve"> </w:t>
      </w:r>
      <w:r>
        <w:t>la</w:t>
      </w:r>
      <w:r>
        <w:rPr>
          <w:spacing w:val="-1"/>
        </w:rPr>
        <w:t xml:space="preserve"> </w:t>
      </w:r>
      <w:r>
        <w:t>Universidad</w:t>
      </w:r>
      <w:r>
        <w:rPr>
          <w:spacing w:val="-3"/>
        </w:rPr>
        <w:t xml:space="preserve"> </w:t>
      </w:r>
      <w:r>
        <w:t>de</w:t>
      </w:r>
      <w:r>
        <w:rPr>
          <w:spacing w:val="-3"/>
        </w:rPr>
        <w:t xml:space="preserve"> </w:t>
      </w:r>
      <w:r>
        <w:t>Santiago,</w:t>
      </w:r>
      <w:r>
        <w:rPr>
          <w:spacing w:val="-1"/>
        </w:rPr>
        <w:t xml:space="preserve"> </w:t>
      </w:r>
      <w:r>
        <w:t>para</w:t>
      </w:r>
      <w:r>
        <w:rPr>
          <w:spacing w:val="-4"/>
        </w:rPr>
        <w:t xml:space="preserve"> </w:t>
      </w:r>
      <w:r>
        <w:t>aquellos clientes con consumos superiores a 500 KWh, pero con una potencia conectada inferior</w:t>
      </w:r>
      <w:r>
        <w:rPr>
          <w:spacing w:val="-15"/>
        </w:rPr>
        <w:t xml:space="preserve"> </w:t>
      </w:r>
      <w:r>
        <w:t>a</w:t>
      </w:r>
      <w:r>
        <w:rPr>
          <w:spacing w:val="-13"/>
        </w:rPr>
        <w:t xml:space="preserve"> </w:t>
      </w:r>
      <w:r>
        <w:t>los</w:t>
      </w:r>
      <w:r>
        <w:rPr>
          <w:spacing w:val="-14"/>
        </w:rPr>
        <w:t xml:space="preserve"> </w:t>
      </w:r>
      <w:r>
        <w:t>500</w:t>
      </w:r>
      <w:r>
        <w:rPr>
          <w:spacing w:val="-13"/>
        </w:rPr>
        <w:t xml:space="preserve"> </w:t>
      </w:r>
      <w:r>
        <w:t>KW</w:t>
      </w:r>
      <w:r>
        <w:rPr>
          <w:spacing w:val="-13"/>
        </w:rPr>
        <w:t xml:space="preserve"> </w:t>
      </w:r>
      <w:r>
        <w:t>y</w:t>
      </w:r>
      <w:r>
        <w:rPr>
          <w:spacing w:val="-16"/>
        </w:rPr>
        <w:t xml:space="preserve"> </w:t>
      </w:r>
      <w:r>
        <w:t>que,</w:t>
      </w:r>
      <w:r>
        <w:rPr>
          <w:spacing w:val="-16"/>
        </w:rPr>
        <w:t xml:space="preserve"> </w:t>
      </w:r>
      <w:r>
        <w:t>por</w:t>
      </w:r>
      <w:r>
        <w:rPr>
          <w:spacing w:val="-15"/>
        </w:rPr>
        <w:t xml:space="preserve"> </w:t>
      </w:r>
      <w:r>
        <w:t>lo</w:t>
      </w:r>
      <w:r>
        <w:rPr>
          <w:spacing w:val="-14"/>
        </w:rPr>
        <w:t xml:space="preserve"> </w:t>
      </w:r>
      <w:r>
        <w:t>tanto,</w:t>
      </w:r>
      <w:r>
        <w:rPr>
          <w:spacing w:val="-13"/>
        </w:rPr>
        <w:t xml:space="preserve"> </w:t>
      </w:r>
      <w:r>
        <w:t>no</w:t>
      </w:r>
      <w:r>
        <w:rPr>
          <w:spacing w:val="-13"/>
        </w:rPr>
        <w:t xml:space="preserve"> </w:t>
      </w:r>
      <w:r>
        <w:t>pueden</w:t>
      </w:r>
      <w:r>
        <w:rPr>
          <w:spacing w:val="-13"/>
        </w:rPr>
        <w:t xml:space="preserve"> </w:t>
      </w:r>
      <w:r>
        <w:t>a</w:t>
      </w:r>
      <w:r>
        <w:rPr>
          <w:spacing w:val="-13"/>
        </w:rPr>
        <w:t xml:space="preserve"> </w:t>
      </w:r>
      <w:r>
        <w:t>optar</w:t>
      </w:r>
      <w:r>
        <w:rPr>
          <w:spacing w:val="-15"/>
        </w:rPr>
        <w:t xml:space="preserve"> </w:t>
      </w:r>
      <w:r>
        <w:t>a</w:t>
      </w:r>
      <w:r>
        <w:rPr>
          <w:spacing w:val="-13"/>
        </w:rPr>
        <w:t xml:space="preserve"> </w:t>
      </w:r>
      <w:r>
        <w:t>la</w:t>
      </w:r>
      <w:r>
        <w:rPr>
          <w:spacing w:val="-13"/>
        </w:rPr>
        <w:t xml:space="preserve"> </w:t>
      </w:r>
      <w:r>
        <w:t>condición</w:t>
      </w:r>
      <w:r>
        <w:rPr>
          <w:spacing w:val="-13"/>
        </w:rPr>
        <w:t xml:space="preserve"> </w:t>
      </w:r>
      <w:r>
        <w:t>de</w:t>
      </w:r>
      <w:r>
        <w:rPr>
          <w:spacing w:val="-13"/>
        </w:rPr>
        <w:t xml:space="preserve"> </w:t>
      </w:r>
      <w:r>
        <w:t>clientes libres,</w:t>
      </w:r>
      <w:r>
        <w:rPr>
          <w:spacing w:val="-2"/>
        </w:rPr>
        <w:t xml:space="preserve"> </w:t>
      </w:r>
      <w:r>
        <w:t>si</w:t>
      </w:r>
      <w:r>
        <w:rPr>
          <w:spacing w:val="-3"/>
        </w:rPr>
        <w:t xml:space="preserve"> </w:t>
      </w:r>
      <w:r>
        <w:t>pudieran</w:t>
      </w:r>
      <w:r>
        <w:rPr>
          <w:spacing w:val="-2"/>
        </w:rPr>
        <w:t xml:space="preserve"> </w:t>
      </w:r>
      <w:r>
        <w:t>cambia</w:t>
      </w:r>
      <w:r>
        <w:t>r</w:t>
      </w:r>
      <w:r>
        <w:rPr>
          <w:spacing w:val="-3"/>
        </w:rPr>
        <w:t xml:space="preserve"> </w:t>
      </w:r>
      <w:r>
        <w:t>de</w:t>
      </w:r>
      <w:r>
        <w:rPr>
          <w:spacing w:val="-6"/>
        </w:rPr>
        <w:t xml:space="preserve"> </w:t>
      </w:r>
      <w:r>
        <w:t>modalidad</w:t>
      </w:r>
      <w:r>
        <w:rPr>
          <w:spacing w:val="-4"/>
        </w:rPr>
        <w:t xml:space="preserve"> </w:t>
      </w:r>
      <w:r>
        <w:t>y</w:t>
      </w:r>
      <w:r>
        <w:rPr>
          <w:spacing w:val="-4"/>
        </w:rPr>
        <w:t xml:space="preserve"> </w:t>
      </w:r>
      <w:r>
        <w:t>negociar</w:t>
      </w:r>
      <w:r>
        <w:rPr>
          <w:spacing w:val="-2"/>
        </w:rPr>
        <w:t xml:space="preserve"> </w:t>
      </w:r>
      <w:r>
        <w:t>el</w:t>
      </w:r>
      <w:r>
        <w:rPr>
          <w:spacing w:val="-5"/>
        </w:rPr>
        <w:t xml:space="preserve"> </w:t>
      </w:r>
      <w:r>
        <w:t>precio</w:t>
      </w:r>
      <w:r>
        <w:rPr>
          <w:spacing w:val="-4"/>
        </w:rPr>
        <w:t xml:space="preserve"> </w:t>
      </w:r>
      <w:r>
        <w:t>de</w:t>
      </w:r>
      <w:r>
        <w:rPr>
          <w:spacing w:val="-4"/>
        </w:rPr>
        <w:t xml:space="preserve"> </w:t>
      </w:r>
      <w:r>
        <w:t>la</w:t>
      </w:r>
      <w:r>
        <w:rPr>
          <w:spacing w:val="-4"/>
        </w:rPr>
        <w:t xml:space="preserve"> </w:t>
      </w:r>
      <w:r>
        <w:t>energía</w:t>
      </w:r>
      <w:r>
        <w:rPr>
          <w:spacing w:val="-3"/>
        </w:rPr>
        <w:t xml:space="preserve"> </w:t>
      </w:r>
      <w:r>
        <w:t>con</w:t>
      </w:r>
      <w:r>
        <w:rPr>
          <w:spacing w:val="-2"/>
        </w:rPr>
        <w:t xml:space="preserve"> </w:t>
      </w:r>
      <w:r>
        <w:t>una empresa de generación o comercialización. La conclusión, es que podrían reducir la tarifa final en un valor cercano al 20% de aquellas previas a las alzas.</w:t>
      </w:r>
    </w:p>
    <w:p w:rsidR="008820FA" w:rsidRDefault="00133E59">
      <w:pPr>
        <w:pStyle w:val="Textoindependiente"/>
        <w:spacing w:before="160" w:line="360" w:lineRule="auto"/>
        <w:ind w:right="118"/>
      </w:pPr>
      <w:r>
        <w:t>Lo</w:t>
      </w:r>
      <w:r>
        <w:rPr>
          <w:spacing w:val="-4"/>
        </w:rPr>
        <w:t xml:space="preserve"> </w:t>
      </w:r>
      <w:r>
        <w:t>anterior</w:t>
      </w:r>
      <w:r>
        <w:rPr>
          <w:spacing w:val="-5"/>
        </w:rPr>
        <w:t xml:space="preserve"> </w:t>
      </w:r>
      <w:r>
        <w:t>se</w:t>
      </w:r>
      <w:r>
        <w:rPr>
          <w:spacing w:val="-4"/>
        </w:rPr>
        <w:t xml:space="preserve"> </w:t>
      </w:r>
      <w:r>
        <w:t>explicaría</w:t>
      </w:r>
      <w:r>
        <w:rPr>
          <w:spacing w:val="-4"/>
        </w:rPr>
        <w:t xml:space="preserve"> </w:t>
      </w:r>
      <w:r>
        <w:t>en</w:t>
      </w:r>
      <w:r>
        <w:rPr>
          <w:spacing w:val="-4"/>
        </w:rPr>
        <w:t xml:space="preserve"> </w:t>
      </w:r>
      <w:r>
        <w:t>lo</w:t>
      </w:r>
      <w:r>
        <w:rPr>
          <w:spacing w:val="-4"/>
        </w:rPr>
        <w:t xml:space="preserve"> </w:t>
      </w:r>
      <w:r>
        <w:t>fundamental,</w:t>
      </w:r>
      <w:r>
        <w:rPr>
          <w:spacing w:val="-4"/>
        </w:rPr>
        <w:t xml:space="preserve"> </w:t>
      </w:r>
      <w:r>
        <w:t>producto</w:t>
      </w:r>
      <w:r>
        <w:rPr>
          <w:spacing w:val="-4"/>
        </w:rPr>
        <w:t xml:space="preserve"> </w:t>
      </w:r>
      <w:r>
        <w:t>de</w:t>
      </w:r>
      <w:r>
        <w:rPr>
          <w:spacing w:val="-6"/>
        </w:rPr>
        <w:t xml:space="preserve"> </w:t>
      </w:r>
      <w:r>
        <w:t>que</w:t>
      </w:r>
      <w:r>
        <w:rPr>
          <w:spacing w:val="-6"/>
        </w:rPr>
        <w:t xml:space="preserve"> </w:t>
      </w:r>
      <w:r>
        <w:t>el</w:t>
      </w:r>
      <w:r>
        <w:rPr>
          <w:spacing w:val="-5"/>
        </w:rPr>
        <w:t xml:space="preserve"> </w:t>
      </w:r>
      <w:r>
        <w:t>precio</w:t>
      </w:r>
      <w:r>
        <w:rPr>
          <w:spacing w:val="-4"/>
        </w:rPr>
        <w:t xml:space="preserve"> </w:t>
      </w:r>
      <w:r>
        <w:t>promedio</w:t>
      </w:r>
      <w:r>
        <w:rPr>
          <w:spacing w:val="-6"/>
        </w:rPr>
        <w:t xml:space="preserve"> </w:t>
      </w:r>
      <w:r>
        <w:t>por MWh</w:t>
      </w:r>
      <w:r>
        <w:rPr>
          <w:spacing w:val="-2"/>
        </w:rPr>
        <w:t xml:space="preserve"> </w:t>
      </w:r>
      <w:r>
        <w:t>en</w:t>
      </w:r>
      <w:r>
        <w:rPr>
          <w:spacing w:val="-4"/>
        </w:rPr>
        <w:t xml:space="preserve"> </w:t>
      </w:r>
      <w:r>
        <w:t>el</w:t>
      </w:r>
      <w:r>
        <w:rPr>
          <w:spacing w:val="-3"/>
        </w:rPr>
        <w:t xml:space="preserve"> </w:t>
      </w:r>
      <w:r>
        <w:t>mercado</w:t>
      </w:r>
      <w:r>
        <w:rPr>
          <w:spacing w:val="-2"/>
        </w:rPr>
        <w:t xml:space="preserve"> </w:t>
      </w:r>
      <w:r>
        <w:t>regulado</w:t>
      </w:r>
      <w:r>
        <w:rPr>
          <w:spacing w:val="-2"/>
        </w:rPr>
        <w:t xml:space="preserve"> </w:t>
      </w:r>
      <w:r>
        <w:t>se</w:t>
      </w:r>
      <w:r>
        <w:rPr>
          <w:spacing w:val="-1"/>
        </w:rPr>
        <w:t xml:space="preserve"> </w:t>
      </w:r>
      <w:r>
        <w:t>encuentra</w:t>
      </w:r>
      <w:r>
        <w:rPr>
          <w:spacing w:val="-4"/>
        </w:rPr>
        <w:t xml:space="preserve"> </w:t>
      </w:r>
      <w:r>
        <w:t>entre</w:t>
      </w:r>
      <w:r>
        <w:rPr>
          <w:spacing w:val="-2"/>
        </w:rPr>
        <w:t xml:space="preserve"> </w:t>
      </w:r>
      <w:r>
        <w:t>95</w:t>
      </w:r>
      <w:r>
        <w:rPr>
          <w:spacing w:val="-2"/>
        </w:rPr>
        <w:t xml:space="preserve"> </w:t>
      </w:r>
      <w:r>
        <w:t>y</w:t>
      </w:r>
      <w:r>
        <w:rPr>
          <w:spacing w:val="-4"/>
        </w:rPr>
        <w:t xml:space="preserve"> </w:t>
      </w:r>
      <w:r>
        <w:t>100</w:t>
      </w:r>
      <w:r>
        <w:rPr>
          <w:spacing w:val="-2"/>
        </w:rPr>
        <w:t xml:space="preserve"> </w:t>
      </w:r>
      <w:r>
        <w:t>dólares</w:t>
      </w:r>
      <w:r>
        <w:rPr>
          <w:spacing w:val="-4"/>
        </w:rPr>
        <w:t xml:space="preserve"> </w:t>
      </w:r>
      <w:r>
        <w:t>app,</w:t>
      </w:r>
      <w:r>
        <w:rPr>
          <w:spacing w:val="-4"/>
        </w:rPr>
        <w:t xml:space="preserve"> </w:t>
      </w:r>
      <w:r>
        <w:t>mientras</w:t>
      </w:r>
      <w:r>
        <w:rPr>
          <w:spacing w:val="-2"/>
        </w:rPr>
        <w:t xml:space="preserve"> </w:t>
      </w:r>
      <w:r>
        <w:t>el precio</w:t>
      </w:r>
      <w:r>
        <w:rPr>
          <w:spacing w:val="-4"/>
        </w:rPr>
        <w:t xml:space="preserve"> </w:t>
      </w:r>
      <w:r>
        <w:t>del</w:t>
      </w:r>
      <w:r>
        <w:rPr>
          <w:spacing w:val="-5"/>
        </w:rPr>
        <w:t xml:space="preserve"> </w:t>
      </w:r>
      <w:r>
        <w:t>MWh</w:t>
      </w:r>
      <w:r>
        <w:rPr>
          <w:spacing w:val="-4"/>
        </w:rPr>
        <w:t xml:space="preserve"> </w:t>
      </w:r>
      <w:r>
        <w:t>en</w:t>
      </w:r>
      <w:r>
        <w:rPr>
          <w:spacing w:val="-4"/>
        </w:rPr>
        <w:t xml:space="preserve"> </w:t>
      </w:r>
      <w:r>
        <w:t>los</w:t>
      </w:r>
      <w:r>
        <w:rPr>
          <w:spacing w:val="-6"/>
        </w:rPr>
        <w:t xml:space="preserve"> </w:t>
      </w:r>
      <w:r>
        <w:t>contratos</w:t>
      </w:r>
      <w:r>
        <w:rPr>
          <w:spacing w:val="-4"/>
        </w:rPr>
        <w:t xml:space="preserve"> </w:t>
      </w:r>
      <w:r>
        <w:t>de</w:t>
      </w:r>
      <w:r>
        <w:rPr>
          <w:spacing w:val="-4"/>
        </w:rPr>
        <w:t xml:space="preserve"> </w:t>
      </w:r>
      <w:r>
        <w:t>clientes</w:t>
      </w:r>
      <w:r>
        <w:rPr>
          <w:spacing w:val="-4"/>
        </w:rPr>
        <w:t xml:space="preserve"> </w:t>
      </w:r>
      <w:r>
        <w:t>regulados</w:t>
      </w:r>
      <w:r>
        <w:rPr>
          <w:spacing w:val="-4"/>
        </w:rPr>
        <w:t xml:space="preserve"> </w:t>
      </w:r>
      <w:r>
        <w:t>de</w:t>
      </w:r>
      <w:r>
        <w:rPr>
          <w:spacing w:val="-4"/>
        </w:rPr>
        <w:t xml:space="preserve"> </w:t>
      </w:r>
      <w:r>
        <w:t>entre</w:t>
      </w:r>
      <w:r>
        <w:rPr>
          <w:spacing w:val="-6"/>
        </w:rPr>
        <w:t xml:space="preserve"> </w:t>
      </w:r>
      <w:r>
        <w:t>4</w:t>
      </w:r>
      <w:r>
        <w:rPr>
          <w:spacing w:val="-4"/>
        </w:rPr>
        <w:t xml:space="preserve"> </w:t>
      </w:r>
      <w:r>
        <w:t>y</w:t>
      </w:r>
      <w:r>
        <w:rPr>
          <w:spacing w:val="-4"/>
        </w:rPr>
        <w:t xml:space="preserve"> </w:t>
      </w:r>
      <w:r>
        <w:t>6</w:t>
      </w:r>
      <w:r>
        <w:rPr>
          <w:spacing w:val="-4"/>
        </w:rPr>
        <w:t xml:space="preserve"> </w:t>
      </w:r>
      <w:r>
        <w:t>años</w:t>
      </w:r>
      <w:r>
        <w:rPr>
          <w:spacing w:val="-4"/>
        </w:rPr>
        <w:t xml:space="preserve"> </w:t>
      </w:r>
      <w:r>
        <w:t>de</w:t>
      </w:r>
      <w:r>
        <w:rPr>
          <w:spacing w:val="-4"/>
        </w:rPr>
        <w:t xml:space="preserve"> </w:t>
      </w:r>
      <w:r>
        <w:t>plazo alcanzan en la actualidad valores entre 6</w:t>
      </w:r>
      <w:r>
        <w:t>5 y 75 dólares promedio app.</w:t>
      </w:r>
    </w:p>
    <w:p w:rsidR="008820FA" w:rsidRDefault="00133E59">
      <w:pPr>
        <w:pStyle w:val="Textoindependiente"/>
        <w:spacing w:line="360" w:lineRule="auto"/>
        <w:ind w:right="117"/>
      </w:pPr>
      <w:r>
        <w:t>Adicionalmente, el Profesor Humberto Verdejo de la misma Universidad ha realizado simulaciones donde usuarios regulados con tarifa AT4.3 cambien de régimen migrando al segmento de clientes libres, concluyendo los eventuales aho</w:t>
      </w:r>
      <w:r>
        <w:t>rros que obtendrían para tres capitales regionales del país y con precios de energía entre 65 y 75 dólares por MWh:</w:t>
      </w:r>
    </w:p>
    <w:p w:rsidR="008820FA" w:rsidRDefault="008820FA">
      <w:pPr>
        <w:spacing w:line="360" w:lineRule="auto"/>
        <w:sectPr w:rsidR="008820FA">
          <w:pgSz w:w="12240" w:h="15840"/>
          <w:pgMar w:top="1340" w:right="1580" w:bottom="1200" w:left="1600" w:header="0" w:footer="100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2"/>
        <w:gridCol w:w="1709"/>
        <w:gridCol w:w="1686"/>
        <w:gridCol w:w="1899"/>
      </w:tblGrid>
      <w:tr w:rsidR="008820FA">
        <w:trPr>
          <w:trHeight w:val="276"/>
        </w:trPr>
        <w:tc>
          <w:tcPr>
            <w:tcW w:w="2962" w:type="dxa"/>
            <w:vMerge w:val="restart"/>
            <w:tcBorders>
              <w:left w:val="single" w:sz="12" w:space="0" w:color="000000"/>
              <w:bottom w:val="single" w:sz="12" w:space="0" w:color="000000"/>
              <w:right w:val="single" w:sz="12" w:space="0" w:color="000000"/>
            </w:tcBorders>
            <w:shd w:val="clear" w:color="auto" w:fill="ECECEC"/>
          </w:tcPr>
          <w:p w:rsidR="008820FA" w:rsidRDefault="00133E59">
            <w:pPr>
              <w:pStyle w:val="TableParagraph"/>
              <w:spacing w:before="153" w:line="240" w:lineRule="auto"/>
              <w:ind w:left="121"/>
              <w:jc w:val="left"/>
            </w:pPr>
            <w:r>
              <w:rPr>
                <w:w w:val="110"/>
              </w:rPr>
              <w:t>Precio</w:t>
            </w:r>
            <w:r>
              <w:rPr>
                <w:spacing w:val="20"/>
                <w:w w:val="110"/>
              </w:rPr>
              <w:t xml:space="preserve"> </w:t>
            </w:r>
            <w:r>
              <w:rPr>
                <w:w w:val="110"/>
              </w:rPr>
              <w:t>Energía</w:t>
            </w:r>
            <w:r>
              <w:rPr>
                <w:spacing w:val="6"/>
                <w:w w:val="110"/>
              </w:rPr>
              <w:t xml:space="preserve"> </w:t>
            </w:r>
            <w:r>
              <w:rPr>
                <w:spacing w:val="-2"/>
                <w:w w:val="110"/>
              </w:rPr>
              <w:t>(USD/MWh)</w:t>
            </w:r>
          </w:p>
        </w:tc>
        <w:tc>
          <w:tcPr>
            <w:tcW w:w="5294" w:type="dxa"/>
            <w:gridSpan w:val="3"/>
            <w:tcBorders>
              <w:left w:val="single" w:sz="12" w:space="0" w:color="000000"/>
              <w:bottom w:val="single" w:sz="12" w:space="0" w:color="000000"/>
              <w:right w:val="nil"/>
            </w:tcBorders>
            <w:shd w:val="clear" w:color="auto" w:fill="E1EEDA"/>
          </w:tcPr>
          <w:p w:rsidR="008820FA" w:rsidRDefault="00133E59">
            <w:pPr>
              <w:pStyle w:val="TableParagraph"/>
              <w:spacing w:before="13"/>
              <w:ind w:left="577"/>
              <w:jc w:val="left"/>
            </w:pPr>
            <w:r>
              <w:rPr>
                <w:w w:val="110"/>
              </w:rPr>
              <w:t>Ahorro</w:t>
            </w:r>
            <w:r>
              <w:rPr>
                <w:spacing w:val="17"/>
                <w:w w:val="110"/>
              </w:rPr>
              <w:t xml:space="preserve"> </w:t>
            </w:r>
            <w:r>
              <w:rPr>
                <w:w w:val="110"/>
              </w:rPr>
              <w:t>con</w:t>
            </w:r>
            <w:r>
              <w:rPr>
                <w:spacing w:val="21"/>
                <w:w w:val="110"/>
              </w:rPr>
              <w:t xml:space="preserve"> </w:t>
            </w:r>
            <w:r>
              <w:rPr>
                <w:w w:val="110"/>
              </w:rPr>
              <w:t>tarifas</w:t>
            </w:r>
            <w:r>
              <w:rPr>
                <w:spacing w:val="2"/>
                <w:w w:val="110"/>
              </w:rPr>
              <w:t xml:space="preserve"> </w:t>
            </w:r>
            <w:r>
              <w:rPr>
                <w:w w:val="110"/>
              </w:rPr>
              <w:t>actuales</w:t>
            </w:r>
            <w:r>
              <w:rPr>
                <w:spacing w:val="3"/>
                <w:w w:val="110"/>
              </w:rPr>
              <w:t xml:space="preserve"> </w:t>
            </w:r>
            <w:r>
              <w:rPr>
                <w:w w:val="110"/>
              </w:rPr>
              <w:t>(Decreto</w:t>
            </w:r>
            <w:r>
              <w:rPr>
                <w:spacing w:val="21"/>
                <w:w w:val="110"/>
              </w:rPr>
              <w:t xml:space="preserve"> </w:t>
            </w:r>
            <w:r>
              <w:rPr>
                <w:spacing w:val="-4"/>
                <w:w w:val="110"/>
              </w:rPr>
              <w:t>16T)</w:t>
            </w:r>
          </w:p>
        </w:tc>
      </w:tr>
      <w:tr w:rsidR="008820FA">
        <w:trPr>
          <w:trHeight w:val="272"/>
        </w:trPr>
        <w:tc>
          <w:tcPr>
            <w:tcW w:w="2962" w:type="dxa"/>
            <w:vMerge/>
            <w:tcBorders>
              <w:top w:val="nil"/>
              <w:left w:val="single" w:sz="12" w:space="0" w:color="000000"/>
              <w:bottom w:val="single" w:sz="12" w:space="0" w:color="000000"/>
              <w:right w:val="single" w:sz="12" w:space="0" w:color="000000"/>
            </w:tcBorders>
            <w:shd w:val="clear" w:color="auto" w:fill="ECECEC"/>
          </w:tcPr>
          <w:p w:rsidR="008820FA" w:rsidRDefault="008820FA">
            <w:pPr>
              <w:rPr>
                <w:sz w:val="2"/>
                <w:szCs w:val="2"/>
              </w:rPr>
            </w:pPr>
          </w:p>
        </w:tc>
        <w:tc>
          <w:tcPr>
            <w:tcW w:w="1709" w:type="dxa"/>
            <w:tcBorders>
              <w:top w:val="single" w:sz="12" w:space="0" w:color="000000"/>
              <w:left w:val="single" w:sz="12" w:space="0" w:color="000000"/>
              <w:bottom w:val="single" w:sz="12" w:space="0" w:color="000000"/>
              <w:right w:val="single" w:sz="12" w:space="0" w:color="000000"/>
            </w:tcBorders>
            <w:shd w:val="clear" w:color="auto" w:fill="DDEBF7"/>
          </w:tcPr>
          <w:p w:rsidR="008820FA" w:rsidRDefault="00133E59">
            <w:pPr>
              <w:pStyle w:val="TableParagraph"/>
              <w:ind w:left="600"/>
              <w:jc w:val="left"/>
            </w:pPr>
            <w:r>
              <w:rPr>
                <w:spacing w:val="-2"/>
                <w:w w:val="115"/>
              </w:rPr>
              <w:t>Arica</w:t>
            </w:r>
          </w:p>
        </w:tc>
        <w:tc>
          <w:tcPr>
            <w:tcW w:w="1686" w:type="dxa"/>
            <w:tcBorders>
              <w:top w:val="single" w:sz="12" w:space="0" w:color="000000"/>
              <w:left w:val="single" w:sz="12" w:space="0" w:color="000000"/>
              <w:bottom w:val="single" w:sz="12" w:space="0" w:color="000000"/>
              <w:right w:val="single" w:sz="12" w:space="0" w:color="000000"/>
            </w:tcBorders>
            <w:shd w:val="clear" w:color="auto" w:fill="DDEBF7"/>
          </w:tcPr>
          <w:p w:rsidR="008820FA" w:rsidRDefault="00133E59">
            <w:pPr>
              <w:pStyle w:val="TableParagraph"/>
              <w:ind w:left="382" w:right="363"/>
            </w:pPr>
            <w:r>
              <w:rPr>
                <w:spacing w:val="-2"/>
                <w:w w:val="115"/>
              </w:rPr>
              <w:t>Santiago</w:t>
            </w:r>
          </w:p>
        </w:tc>
        <w:tc>
          <w:tcPr>
            <w:tcW w:w="1899" w:type="dxa"/>
            <w:tcBorders>
              <w:top w:val="single" w:sz="12" w:space="0" w:color="000000"/>
              <w:left w:val="single" w:sz="12" w:space="0" w:color="000000"/>
              <w:bottom w:val="single" w:sz="12" w:space="0" w:color="000000"/>
              <w:right w:val="nil"/>
            </w:tcBorders>
            <w:shd w:val="clear" w:color="auto" w:fill="DDEBF7"/>
          </w:tcPr>
          <w:p w:rsidR="008820FA" w:rsidRDefault="00133E59">
            <w:pPr>
              <w:pStyle w:val="TableParagraph"/>
              <w:ind w:right="312"/>
            </w:pPr>
            <w:r>
              <w:rPr>
                <w:spacing w:val="-2"/>
                <w:w w:val="115"/>
              </w:rPr>
              <w:t>Concepción</w:t>
            </w:r>
          </w:p>
        </w:tc>
      </w:tr>
      <w:tr w:rsidR="008820FA">
        <w:trPr>
          <w:trHeight w:val="272"/>
        </w:trPr>
        <w:tc>
          <w:tcPr>
            <w:tcW w:w="2962" w:type="dxa"/>
            <w:tcBorders>
              <w:top w:val="single" w:sz="12" w:space="0" w:color="000000"/>
              <w:left w:val="single" w:sz="12" w:space="0" w:color="000000"/>
              <w:bottom w:val="single" w:sz="12" w:space="0" w:color="000000"/>
              <w:right w:val="single" w:sz="12" w:space="0" w:color="000000"/>
            </w:tcBorders>
          </w:tcPr>
          <w:p w:rsidR="008820FA" w:rsidRDefault="00133E59">
            <w:pPr>
              <w:pStyle w:val="TableParagraph"/>
              <w:ind w:left="0" w:right="1314"/>
              <w:jc w:val="right"/>
            </w:pPr>
            <w:r>
              <w:rPr>
                <w:spacing w:val="-5"/>
                <w:w w:val="115"/>
              </w:rPr>
              <w:t>65</w:t>
            </w:r>
          </w:p>
        </w:tc>
        <w:tc>
          <w:tcPr>
            <w:tcW w:w="1709" w:type="dxa"/>
            <w:tcBorders>
              <w:top w:val="single" w:sz="12" w:space="0" w:color="000000"/>
              <w:left w:val="single" w:sz="12" w:space="0" w:color="000000"/>
              <w:bottom w:val="single" w:sz="12" w:space="0" w:color="000000"/>
              <w:right w:val="single" w:sz="12" w:space="0" w:color="000000"/>
            </w:tcBorders>
          </w:tcPr>
          <w:p w:rsidR="008820FA" w:rsidRDefault="00133E59">
            <w:pPr>
              <w:pStyle w:val="TableParagraph"/>
              <w:ind w:left="624"/>
              <w:jc w:val="left"/>
            </w:pPr>
            <w:r>
              <w:rPr>
                <w:spacing w:val="-5"/>
                <w:w w:val="115"/>
              </w:rPr>
              <w:t>15%</w:t>
            </w:r>
          </w:p>
        </w:tc>
        <w:tc>
          <w:tcPr>
            <w:tcW w:w="1686" w:type="dxa"/>
            <w:tcBorders>
              <w:top w:val="single" w:sz="12" w:space="0" w:color="000000"/>
              <w:left w:val="single" w:sz="12" w:space="0" w:color="000000"/>
              <w:bottom w:val="single" w:sz="12" w:space="0" w:color="000000"/>
              <w:right w:val="single" w:sz="12" w:space="0" w:color="000000"/>
            </w:tcBorders>
          </w:tcPr>
          <w:p w:rsidR="008820FA" w:rsidRDefault="00133E59">
            <w:pPr>
              <w:pStyle w:val="TableParagraph"/>
              <w:ind w:left="382" w:right="338"/>
            </w:pPr>
            <w:r>
              <w:rPr>
                <w:spacing w:val="-5"/>
                <w:w w:val="115"/>
              </w:rPr>
              <w:t>12%</w:t>
            </w:r>
          </w:p>
        </w:tc>
        <w:tc>
          <w:tcPr>
            <w:tcW w:w="1899" w:type="dxa"/>
            <w:tcBorders>
              <w:top w:val="single" w:sz="12" w:space="0" w:color="000000"/>
              <w:left w:val="single" w:sz="12" w:space="0" w:color="000000"/>
              <w:bottom w:val="single" w:sz="12" w:space="0" w:color="000000"/>
              <w:right w:val="nil"/>
            </w:tcBorders>
          </w:tcPr>
          <w:p w:rsidR="008820FA" w:rsidRDefault="00133E59">
            <w:pPr>
              <w:pStyle w:val="TableParagraph"/>
              <w:ind w:right="309"/>
            </w:pPr>
            <w:r>
              <w:rPr>
                <w:spacing w:val="-5"/>
                <w:w w:val="115"/>
              </w:rPr>
              <w:t>18%</w:t>
            </w:r>
          </w:p>
        </w:tc>
      </w:tr>
      <w:tr w:rsidR="008820FA">
        <w:trPr>
          <w:trHeight w:val="272"/>
        </w:trPr>
        <w:tc>
          <w:tcPr>
            <w:tcW w:w="2962" w:type="dxa"/>
            <w:tcBorders>
              <w:top w:val="single" w:sz="12" w:space="0" w:color="000000"/>
              <w:left w:val="single" w:sz="12" w:space="0" w:color="000000"/>
              <w:bottom w:val="single" w:sz="12" w:space="0" w:color="000000"/>
              <w:right w:val="single" w:sz="12" w:space="0" w:color="000000"/>
            </w:tcBorders>
          </w:tcPr>
          <w:p w:rsidR="008820FA" w:rsidRDefault="00133E59">
            <w:pPr>
              <w:pStyle w:val="TableParagraph"/>
              <w:ind w:left="0" w:right="1314"/>
              <w:jc w:val="right"/>
            </w:pPr>
            <w:r>
              <w:rPr>
                <w:spacing w:val="-5"/>
                <w:w w:val="115"/>
              </w:rPr>
              <w:t>70</w:t>
            </w:r>
          </w:p>
        </w:tc>
        <w:tc>
          <w:tcPr>
            <w:tcW w:w="1709" w:type="dxa"/>
            <w:tcBorders>
              <w:top w:val="single" w:sz="12" w:space="0" w:color="000000"/>
              <w:left w:val="single" w:sz="12" w:space="0" w:color="000000"/>
              <w:bottom w:val="single" w:sz="12" w:space="0" w:color="000000"/>
              <w:right w:val="single" w:sz="12" w:space="0" w:color="000000"/>
            </w:tcBorders>
          </w:tcPr>
          <w:p w:rsidR="008820FA" w:rsidRDefault="00133E59">
            <w:pPr>
              <w:pStyle w:val="TableParagraph"/>
              <w:ind w:left="624"/>
              <w:jc w:val="left"/>
            </w:pPr>
            <w:r>
              <w:rPr>
                <w:spacing w:val="-5"/>
                <w:w w:val="115"/>
              </w:rPr>
              <w:t>12%</w:t>
            </w:r>
          </w:p>
        </w:tc>
        <w:tc>
          <w:tcPr>
            <w:tcW w:w="1686" w:type="dxa"/>
            <w:tcBorders>
              <w:top w:val="single" w:sz="12" w:space="0" w:color="000000"/>
              <w:left w:val="single" w:sz="12" w:space="0" w:color="000000"/>
              <w:bottom w:val="single" w:sz="12" w:space="0" w:color="000000"/>
              <w:right w:val="single" w:sz="12" w:space="0" w:color="000000"/>
            </w:tcBorders>
          </w:tcPr>
          <w:p w:rsidR="008820FA" w:rsidRDefault="00133E59">
            <w:pPr>
              <w:pStyle w:val="TableParagraph"/>
              <w:ind w:left="382" w:right="338"/>
            </w:pPr>
            <w:r>
              <w:rPr>
                <w:spacing w:val="-5"/>
                <w:w w:val="115"/>
              </w:rPr>
              <w:t>8%</w:t>
            </w:r>
          </w:p>
        </w:tc>
        <w:tc>
          <w:tcPr>
            <w:tcW w:w="1899" w:type="dxa"/>
            <w:tcBorders>
              <w:top w:val="single" w:sz="12" w:space="0" w:color="000000"/>
              <w:left w:val="single" w:sz="12" w:space="0" w:color="000000"/>
              <w:bottom w:val="single" w:sz="12" w:space="0" w:color="000000"/>
              <w:right w:val="nil"/>
            </w:tcBorders>
          </w:tcPr>
          <w:p w:rsidR="008820FA" w:rsidRDefault="00133E59">
            <w:pPr>
              <w:pStyle w:val="TableParagraph"/>
              <w:ind w:right="309"/>
            </w:pPr>
            <w:r>
              <w:rPr>
                <w:spacing w:val="-5"/>
                <w:w w:val="115"/>
              </w:rPr>
              <w:t>15%</w:t>
            </w:r>
          </w:p>
        </w:tc>
      </w:tr>
      <w:tr w:rsidR="008820FA">
        <w:trPr>
          <w:trHeight w:val="272"/>
        </w:trPr>
        <w:tc>
          <w:tcPr>
            <w:tcW w:w="2962" w:type="dxa"/>
            <w:tcBorders>
              <w:top w:val="single" w:sz="12" w:space="0" w:color="000000"/>
              <w:left w:val="single" w:sz="12" w:space="0" w:color="000000"/>
              <w:bottom w:val="single" w:sz="12" w:space="0" w:color="000000"/>
              <w:right w:val="single" w:sz="12" w:space="0" w:color="000000"/>
            </w:tcBorders>
          </w:tcPr>
          <w:p w:rsidR="008820FA" w:rsidRDefault="00133E59">
            <w:pPr>
              <w:pStyle w:val="TableParagraph"/>
              <w:ind w:left="0" w:right="1314"/>
              <w:jc w:val="right"/>
            </w:pPr>
            <w:r>
              <w:rPr>
                <w:spacing w:val="-5"/>
                <w:w w:val="115"/>
              </w:rPr>
              <w:t>75</w:t>
            </w:r>
          </w:p>
        </w:tc>
        <w:tc>
          <w:tcPr>
            <w:tcW w:w="1709" w:type="dxa"/>
            <w:tcBorders>
              <w:top w:val="single" w:sz="12" w:space="0" w:color="000000"/>
              <w:left w:val="single" w:sz="12" w:space="0" w:color="000000"/>
              <w:bottom w:val="single" w:sz="12" w:space="0" w:color="000000"/>
              <w:right w:val="single" w:sz="12" w:space="0" w:color="000000"/>
            </w:tcBorders>
          </w:tcPr>
          <w:p w:rsidR="008820FA" w:rsidRDefault="00133E59">
            <w:pPr>
              <w:pStyle w:val="TableParagraph"/>
              <w:ind w:left="680" w:right="659"/>
            </w:pPr>
            <w:r>
              <w:rPr>
                <w:spacing w:val="-5"/>
                <w:w w:val="115"/>
              </w:rPr>
              <w:t>8%</w:t>
            </w:r>
          </w:p>
        </w:tc>
        <w:tc>
          <w:tcPr>
            <w:tcW w:w="1686" w:type="dxa"/>
            <w:tcBorders>
              <w:top w:val="single" w:sz="12" w:space="0" w:color="000000"/>
              <w:left w:val="single" w:sz="12" w:space="0" w:color="000000"/>
              <w:bottom w:val="single" w:sz="12" w:space="0" w:color="000000"/>
              <w:right w:val="single" w:sz="12" w:space="0" w:color="000000"/>
            </w:tcBorders>
          </w:tcPr>
          <w:p w:rsidR="008820FA" w:rsidRDefault="00133E59">
            <w:pPr>
              <w:pStyle w:val="TableParagraph"/>
              <w:ind w:left="382" w:right="338"/>
            </w:pPr>
            <w:r>
              <w:rPr>
                <w:spacing w:val="-5"/>
                <w:w w:val="115"/>
              </w:rPr>
              <w:t>4%</w:t>
            </w:r>
          </w:p>
        </w:tc>
        <w:tc>
          <w:tcPr>
            <w:tcW w:w="1899" w:type="dxa"/>
            <w:tcBorders>
              <w:top w:val="single" w:sz="12" w:space="0" w:color="000000"/>
              <w:left w:val="single" w:sz="12" w:space="0" w:color="000000"/>
              <w:bottom w:val="single" w:sz="12" w:space="0" w:color="000000"/>
              <w:right w:val="nil"/>
            </w:tcBorders>
          </w:tcPr>
          <w:p w:rsidR="008820FA" w:rsidRDefault="00133E59">
            <w:pPr>
              <w:pStyle w:val="TableParagraph"/>
              <w:ind w:right="309"/>
            </w:pPr>
            <w:r>
              <w:rPr>
                <w:spacing w:val="-5"/>
                <w:w w:val="115"/>
              </w:rPr>
              <w:t>11%</w:t>
            </w:r>
          </w:p>
        </w:tc>
      </w:tr>
      <w:tr w:rsidR="008820FA">
        <w:trPr>
          <w:trHeight w:val="272"/>
        </w:trPr>
        <w:tc>
          <w:tcPr>
            <w:tcW w:w="2962" w:type="dxa"/>
            <w:vMerge w:val="restart"/>
            <w:tcBorders>
              <w:top w:val="single" w:sz="12" w:space="0" w:color="000000"/>
              <w:left w:val="single" w:sz="12" w:space="0" w:color="000000"/>
              <w:bottom w:val="single" w:sz="12" w:space="0" w:color="000000"/>
              <w:right w:val="single" w:sz="12" w:space="0" w:color="000000"/>
            </w:tcBorders>
            <w:shd w:val="clear" w:color="auto" w:fill="ECECEC"/>
          </w:tcPr>
          <w:p w:rsidR="008820FA" w:rsidRDefault="00133E59">
            <w:pPr>
              <w:pStyle w:val="TableParagraph"/>
              <w:spacing w:before="149" w:line="240" w:lineRule="auto"/>
              <w:ind w:left="121"/>
              <w:jc w:val="left"/>
            </w:pPr>
            <w:r>
              <w:rPr>
                <w:w w:val="110"/>
              </w:rPr>
              <w:t>Precio</w:t>
            </w:r>
            <w:r>
              <w:rPr>
                <w:spacing w:val="20"/>
                <w:w w:val="110"/>
              </w:rPr>
              <w:t xml:space="preserve"> </w:t>
            </w:r>
            <w:r>
              <w:rPr>
                <w:w w:val="110"/>
              </w:rPr>
              <w:t>Energía</w:t>
            </w:r>
            <w:r>
              <w:rPr>
                <w:spacing w:val="6"/>
                <w:w w:val="110"/>
              </w:rPr>
              <w:t xml:space="preserve"> </w:t>
            </w:r>
            <w:r>
              <w:rPr>
                <w:spacing w:val="-2"/>
                <w:w w:val="110"/>
              </w:rPr>
              <w:t>(USD/MWh)</w:t>
            </w:r>
          </w:p>
        </w:tc>
        <w:tc>
          <w:tcPr>
            <w:tcW w:w="5294" w:type="dxa"/>
            <w:gridSpan w:val="3"/>
            <w:tcBorders>
              <w:top w:val="single" w:sz="12" w:space="0" w:color="000000"/>
              <w:left w:val="single" w:sz="12" w:space="0" w:color="000000"/>
              <w:bottom w:val="single" w:sz="12" w:space="0" w:color="000000"/>
              <w:right w:val="nil"/>
            </w:tcBorders>
            <w:shd w:val="clear" w:color="auto" w:fill="E1EEDA"/>
          </w:tcPr>
          <w:p w:rsidR="008820FA" w:rsidRDefault="00133E59">
            <w:pPr>
              <w:pStyle w:val="TableParagraph"/>
              <w:ind w:left="350"/>
              <w:jc w:val="left"/>
            </w:pPr>
            <w:r>
              <w:rPr>
                <w:w w:val="110"/>
              </w:rPr>
              <w:t>Ahorro</w:t>
            </w:r>
            <w:r>
              <w:rPr>
                <w:spacing w:val="21"/>
                <w:w w:val="110"/>
              </w:rPr>
              <w:t xml:space="preserve"> </w:t>
            </w:r>
            <w:r>
              <w:rPr>
                <w:w w:val="110"/>
              </w:rPr>
              <w:t>con</w:t>
            </w:r>
            <w:r>
              <w:rPr>
                <w:spacing w:val="20"/>
                <w:w w:val="110"/>
              </w:rPr>
              <w:t xml:space="preserve"> </w:t>
            </w:r>
            <w:r>
              <w:rPr>
                <w:w w:val="110"/>
              </w:rPr>
              <w:t>tarifas</w:t>
            </w:r>
            <w:r>
              <w:rPr>
                <w:spacing w:val="2"/>
                <w:w w:val="110"/>
              </w:rPr>
              <w:t xml:space="preserve"> </w:t>
            </w:r>
            <w:r>
              <w:rPr>
                <w:w w:val="110"/>
              </w:rPr>
              <w:t>actuales</w:t>
            </w:r>
            <w:r>
              <w:rPr>
                <w:spacing w:val="3"/>
                <w:w w:val="110"/>
              </w:rPr>
              <w:t xml:space="preserve"> </w:t>
            </w:r>
            <w:r>
              <w:rPr>
                <w:w w:val="110"/>
              </w:rPr>
              <w:t>(Decreto</w:t>
            </w:r>
            <w:r>
              <w:rPr>
                <w:spacing w:val="19"/>
                <w:w w:val="110"/>
              </w:rPr>
              <w:t xml:space="preserve"> </w:t>
            </w:r>
            <w:r>
              <w:rPr>
                <w:w w:val="110"/>
              </w:rPr>
              <w:t>2s-</w:t>
            </w:r>
            <w:r>
              <w:rPr>
                <w:spacing w:val="-2"/>
                <w:w w:val="110"/>
              </w:rPr>
              <w:t>2023)</w:t>
            </w:r>
          </w:p>
        </w:tc>
      </w:tr>
      <w:tr w:rsidR="008820FA">
        <w:trPr>
          <w:trHeight w:val="272"/>
        </w:trPr>
        <w:tc>
          <w:tcPr>
            <w:tcW w:w="2962" w:type="dxa"/>
            <w:vMerge/>
            <w:tcBorders>
              <w:top w:val="nil"/>
              <w:left w:val="single" w:sz="12" w:space="0" w:color="000000"/>
              <w:bottom w:val="single" w:sz="12" w:space="0" w:color="000000"/>
              <w:right w:val="single" w:sz="12" w:space="0" w:color="000000"/>
            </w:tcBorders>
            <w:shd w:val="clear" w:color="auto" w:fill="ECECEC"/>
          </w:tcPr>
          <w:p w:rsidR="008820FA" w:rsidRDefault="008820FA">
            <w:pPr>
              <w:rPr>
                <w:sz w:val="2"/>
                <w:szCs w:val="2"/>
              </w:rPr>
            </w:pPr>
          </w:p>
        </w:tc>
        <w:tc>
          <w:tcPr>
            <w:tcW w:w="1709" w:type="dxa"/>
            <w:tcBorders>
              <w:top w:val="single" w:sz="12" w:space="0" w:color="000000"/>
              <w:left w:val="single" w:sz="12" w:space="0" w:color="000000"/>
              <w:bottom w:val="single" w:sz="12" w:space="0" w:color="000000"/>
              <w:right w:val="single" w:sz="12" w:space="0" w:color="000000"/>
            </w:tcBorders>
            <w:shd w:val="clear" w:color="auto" w:fill="DDEBF7"/>
          </w:tcPr>
          <w:p w:rsidR="008820FA" w:rsidRDefault="00133E59">
            <w:pPr>
              <w:pStyle w:val="TableParagraph"/>
              <w:ind w:left="600"/>
              <w:jc w:val="left"/>
            </w:pPr>
            <w:r>
              <w:rPr>
                <w:spacing w:val="-2"/>
                <w:w w:val="115"/>
              </w:rPr>
              <w:t>Arica</w:t>
            </w:r>
          </w:p>
        </w:tc>
        <w:tc>
          <w:tcPr>
            <w:tcW w:w="1686" w:type="dxa"/>
            <w:tcBorders>
              <w:top w:val="single" w:sz="12" w:space="0" w:color="000000"/>
              <w:left w:val="single" w:sz="12" w:space="0" w:color="000000"/>
              <w:bottom w:val="single" w:sz="12" w:space="0" w:color="000000"/>
              <w:right w:val="single" w:sz="12" w:space="0" w:color="000000"/>
            </w:tcBorders>
            <w:shd w:val="clear" w:color="auto" w:fill="DDEBF7"/>
          </w:tcPr>
          <w:p w:rsidR="008820FA" w:rsidRDefault="00133E59">
            <w:pPr>
              <w:pStyle w:val="TableParagraph"/>
              <w:ind w:left="382" w:right="363"/>
            </w:pPr>
            <w:r>
              <w:rPr>
                <w:spacing w:val="-2"/>
                <w:w w:val="115"/>
              </w:rPr>
              <w:t>Santiago</w:t>
            </w:r>
          </w:p>
        </w:tc>
        <w:tc>
          <w:tcPr>
            <w:tcW w:w="1899" w:type="dxa"/>
            <w:tcBorders>
              <w:top w:val="single" w:sz="12" w:space="0" w:color="000000"/>
              <w:left w:val="single" w:sz="12" w:space="0" w:color="000000"/>
              <w:bottom w:val="single" w:sz="12" w:space="0" w:color="000000"/>
              <w:right w:val="nil"/>
            </w:tcBorders>
            <w:shd w:val="clear" w:color="auto" w:fill="DDEBF7"/>
          </w:tcPr>
          <w:p w:rsidR="008820FA" w:rsidRDefault="00133E59">
            <w:pPr>
              <w:pStyle w:val="TableParagraph"/>
              <w:ind w:right="312"/>
            </w:pPr>
            <w:r>
              <w:rPr>
                <w:spacing w:val="-2"/>
                <w:w w:val="115"/>
              </w:rPr>
              <w:t>Concepción</w:t>
            </w:r>
          </w:p>
        </w:tc>
      </w:tr>
      <w:tr w:rsidR="008820FA">
        <w:trPr>
          <w:trHeight w:val="272"/>
        </w:trPr>
        <w:tc>
          <w:tcPr>
            <w:tcW w:w="2962" w:type="dxa"/>
            <w:tcBorders>
              <w:top w:val="single" w:sz="12" w:space="0" w:color="000000"/>
              <w:left w:val="single" w:sz="12" w:space="0" w:color="000000"/>
              <w:bottom w:val="single" w:sz="12" w:space="0" w:color="000000"/>
              <w:right w:val="single" w:sz="12" w:space="0" w:color="000000"/>
            </w:tcBorders>
          </w:tcPr>
          <w:p w:rsidR="008820FA" w:rsidRDefault="00133E59">
            <w:pPr>
              <w:pStyle w:val="TableParagraph"/>
              <w:ind w:left="0" w:right="1314"/>
              <w:jc w:val="right"/>
            </w:pPr>
            <w:r>
              <w:rPr>
                <w:spacing w:val="-5"/>
                <w:w w:val="115"/>
              </w:rPr>
              <w:t>65</w:t>
            </w:r>
          </w:p>
        </w:tc>
        <w:tc>
          <w:tcPr>
            <w:tcW w:w="1709" w:type="dxa"/>
            <w:tcBorders>
              <w:top w:val="single" w:sz="12" w:space="0" w:color="000000"/>
              <w:left w:val="single" w:sz="12" w:space="0" w:color="000000"/>
              <w:bottom w:val="single" w:sz="12" w:space="0" w:color="000000"/>
              <w:right w:val="single" w:sz="12" w:space="0" w:color="000000"/>
            </w:tcBorders>
          </w:tcPr>
          <w:p w:rsidR="008820FA" w:rsidRDefault="00133E59">
            <w:pPr>
              <w:pStyle w:val="TableParagraph"/>
              <w:ind w:left="624"/>
              <w:jc w:val="left"/>
            </w:pPr>
            <w:r>
              <w:rPr>
                <w:spacing w:val="-5"/>
                <w:w w:val="115"/>
              </w:rPr>
              <w:t>59%</w:t>
            </w:r>
          </w:p>
        </w:tc>
        <w:tc>
          <w:tcPr>
            <w:tcW w:w="1686" w:type="dxa"/>
            <w:tcBorders>
              <w:top w:val="single" w:sz="12" w:space="0" w:color="000000"/>
              <w:left w:val="single" w:sz="12" w:space="0" w:color="000000"/>
              <w:bottom w:val="single" w:sz="12" w:space="0" w:color="000000"/>
              <w:right w:val="single" w:sz="12" w:space="0" w:color="000000"/>
            </w:tcBorders>
          </w:tcPr>
          <w:p w:rsidR="008820FA" w:rsidRDefault="00133E59">
            <w:pPr>
              <w:pStyle w:val="TableParagraph"/>
              <w:ind w:left="382" w:right="338"/>
            </w:pPr>
            <w:r>
              <w:rPr>
                <w:spacing w:val="-5"/>
                <w:w w:val="115"/>
              </w:rPr>
              <w:t>56%</w:t>
            </w:r>
          </w:p>
        </w:tc>
        <w:tc>
          <w:tcPr>
            <w:tcW w:w="1899" w:type="dxa"/>
            <w:tcBorders>
              <w:top w:val="single" w:sz="12" w:space="0" w:color="000000"/>
              <w:left w:val="single" w:sz="12" w:space="0" w:color="000000"/>
              <w:bottom w:val="single" w:sz="12" w:space="0" w:color="000000"/>
              <w:right w:val="nil"/>
            </w:tcBorders>
          </w:tcPr>
          <w:p w:rsidR="008820FA" w:rsidRDefault="00133E59">
            <w:pPr>
              <w:pStyle w:val="TableParagraph"/>
              <w:ind w:right="309"/>
            </w:pPr>
            <w:r>
              <w:rPr>
                <w:spacing w:val="-5"/>
                <w:w w:val="115"/>
              </w:rPr>
              <w:t>58%</w:t>
            </w:r>
          </w:p>
        </w:tc>
      </w:tr>
      <w:tr w:rsidR="008820FA">
        <w:trPr>
          <w:trHeight w:val="272"/>
        </w:trPr>
        <w:tc>
          <w:tcPr>
            <w:tcW w:w="2962" w:type="dxa"/>
            <w:tcBorders>
              <w:top w:val="single" w:sz="12" w:space="0" w:color="000000"/>
              <w:left w:val="single" w:sz="12" w:space="0" w:color="000000"/>
              <w:bottom w:val="single" w:sz="12" w:space="0" w:color="000000"/>
              <w:right w:val="single" w:sz="12" w:space="0" w:color="000000"/>
            </w:tcBorders>
          </w:tcPr>
          <w:p w:rsidR="008820FA" w:rsidRDefault="00133E59">
            <w:pPr>
              <w:pStyle w:val="TableParagraph"/>
              <w:ind w:left="0" w:right="1314"/>
              <w:jc w:val="right"/>
            </w:pPr>
            <w:r>
              <w:rPr>
                <w:spacing w:val="-5"/>
                <w:w w:val="115"/>
              </w:rPr>
              <w:t>70</w:t>
            </w:r>
          </w:p>
        </w:tc>
        <w:tc>
          <w:tcPr>
            <w:tcW w:w="1709" w:type="dxa"/>
            <w:tcBorders>
              <w:top w:val="single" w:sz="12" w:space="0" w:color="000000"/>
              <w:left w:val="single" w:sz="12" w:space="0" w:color="000000"/>
              <w:bottom w:val="single" w:sz="12" w:space="0" w:color="000000"/>
              <w:right w:val="single" w:sz="12" w:space="0" w:color="000000"/>
            </w:tcBorders>
          </w:tcPr>
          <w:p w:rsidR="008820FA" w:rsidRDefault="00133E59">
            <w:pPr>
              <w:pStyle w:val="TableParagraph"/>
              <w:ind w:left="624"/>
              <w:jc w:val="left"/>
            </w:pPr>
            <w:r>
              <w:rPr>
                <w:spacing w:val="-5"/>
                <w:w w:val="115"/>
              </w:rPr>
              <w:t>57%</w:t>
            </w:r>
          </w:p>
        </w:tc>
        <w:tc>
          <w:tcPr>
            <w:tcW w:w="1686" w:type="dxa"/>
            <w:tcBorders>
              <w:top w:val="single" w:sz="12" w:space="0" w:color="000000"/>
              <w:left w:val="single" w:sz="12" w:space="0" w:color="000000"/>
              <w:bottom w:val="single" w:sz="12" w:space="0" w:color="000000"/>
              <w:right w:val="single" w:sz="12" w:space="0" w:color="000000"/>
            </w:tcBorders>
          </w:tcPr>
          <w:p w:rsidR="008820FA" w:rsidRDefault="00133E59">
            <w:pPr>
              <w:pStyle w:val="TableParagraph"/>
              <w:ind w:left="382" w:right="338"/>
            </w:pPr>
            <w:r>
              <w:rPr>
                <w:spacing w:val="-5"/>
                <w:w w:val="115"/>
              </w:rPr>
              <w:t>54%</w:t>
            </w:r>
          </w:p>
        </w:tc>
        <w:tc>
          <w:tcPr>
            <w:tcW w:w="1899" w:type="dxa"/>
            <w:tcBorders>
              <w:top w:val="single" w:sz="12" w:space="0" w:color="000000"/>
              <w:left w:val="single" w:sz="12" w:space="0" w:color="000000"/>
              <w:bottom w:val="single" w:sz="12" w:space="0" w:color="000000"/>
              <w:right w:val="nil"/>
            </w:tcBorders>
          </w:tcPr>
          <w:p w:rsidR="008820FA" w:rsidRDefault="00133E59">
            <w:pPr>
              <w:pStyle w:val="TableParagraph"/>
              <w:ind w:right="309"/>
            </w:pPr>
            <w:r>
              <w:rPr>
                <w:spacing w:val="-5"/>
                <w:w w:val="115"/>
              </w:rPr>
              <w:t>56%</w:t>
            </w:r>
          </w:p>
        </w:tc>
      </w:tr>
      <w:tr w:rsidR="008820FA">
        <w:trPr>
          <w:trHeight w:val="274"/>
        </w:trPr>
        <w:tc>
          <w:tcPr>
            <w:tcW w:w="2962" w:type="dxa"/>
            <w:tcBorders>
              <w:top w:val="single" w:sz="12" w:space="0" w:color="000000"/>
              <w:left w:val="single" w:sz="12" w:space="0" w:color="000000"/>
              <w:right w:val="single" w:sz="12" w:space="0" w:color="000000"/>
            </w:tcBorders>
          </w:tcPr>
          <w:p w:rsidR="008820FA" w:rsidRDefault="00133E59">
            <w:pPr>
              <w:pStyle w:val="TableParagraph"/>
              <w:spacing w:line="246" w:lineRule="exact"/>
              <w:ind w:left="0" w:right="1314"/>
              <w:jc w:val="right"/>
            </w:pPr>
            <w:r>
              <w:rPr>
                <w:spacing w:val="-5"/>
                <w:w w:val="115"/>
              </w:rPr>
              <w:t>75</w:t>
            </w:r>
          </w:p>
        </w:tc>
        <w:tc>
          <w:tcPr>
            <w:tcW w:w="1709" w:type="dxa"/>
            <w:tcBorders>
              <w:top w:val="single" w:sz="12" w:space="0" w:color="000000"/>
              <w:left w:val="single" w:sz="12" w:space="0" w:color="000000"/>
              <w:right w:val="single" w:sz="12" w:space="0" w:color="000000"/>
            </w:tcBorders>
          </w:tcPr>
          <w:p w:rsidR="008820FA" w:rsidRDefault="00133E59">
            <w:pPr>
              <w:pStyle w:val="TableParagraph"/>
              <w:spacing w:line="246" w:lineRule="exact"/>
              <w:ind w:left="624"/>
              <w:jc w:val="left"/>
            </w:pPr>
            <w:r>
              <w:rPr>
                <w:spacing w:val="-5"/>
                <w:w w:val="115"/>
              </w:rPr>
              <w:t>55%</w:t>
            </w:r>
          </w:p>
        </w:tc>
        <w:tc>
          <w:tcPr>
            <w:tcW w:w="1686" w:type="dxa"/>
            <w:tcBorders>
              <w:top w:val="single" w:sz="12" w:space="0" w:color="000000"/>
              <w:left w:val="single" w:sz="12" w:space="0" w:color="000000"/>
              <w:right w:val="single" w:sz="12" w:space="0" w:color="000000"/>
            </w:tcBorders>
          </w:tcPr>
          <w:p w:rsidR="008820FA" w:rsidRDefault="00133E59">
            <w:pPr>
              <w:pStyle w:val="TableParagraph"/>
              <w:spacing w:line="246" w:lineRule="exact"/>
              <w:ind w:left="382" w:right="338"/>
            </w:pPr>
            <w:r>
              <w:rPr>
                <w:spacing w:val="-5"/>
                <w:w w:val="115"/>
              </w:rPr>
              <w:t>52%</w:t>
            </w:r>
          </w:p>
        </w:tc>
        <w:tc>
          <w:tcPr>
            <w:tcW w:w="1899" w:type="dxa"/>
            <w:tcBorders>
              <w:top w:val="single" w:sz="12" w:space="0" w:color="000000"/>
              <w:left w:val="single" w:sz="12" w:space="0" w:color="000000"/>
              <w:right w:val="nil"/>
            </w:tcBorders>
          </w:tcPr>
          <w:p w:rsidR="008820FA" w:rsidRDefault="00133E59">
            <w:pPr>
              <w:pStyle w:val="TableParagraph"/>
              <w:spacing w:line="246" w:lineRule="exact"/>
              <w:ind w:right="309"/>
            </w:pPr>
            <w:r>
              <w:rPr>
                <w:spacing w:val="-5"/>
                <w:w w:val="115"/>
              </w:rPr>
              <w:t>55%</w:t>
            </w:r>
          </w:p>
        </w:tc>
      </w:tr>
    </w:tbl>
    <w:p w:rsidR="008820FA" w:rsidRDefault="008820FA">
      <w:pPr>
        <w:pStyle w:val="Textoindependiente"/>
        <w:spacing w:before="7"/>
        <w:ind w:left="0"/>
        <w:jc w:val="left"/>
        <w:rPr>
          <w:sz w:val="20"/>
        </w:rPr>
      </w:pPr>
    </w:p>
    <w:p w:rsidR="008820FA" w:rsidRDefault="00133E59">
      <w:pPr>
        <w:pStyle w:val="Textoindependiente"/>
        <w:spacing w:before="92" w:line="360" w:lineRule="auto"/>
        <w:ind w:right="122"/>
      </w:pPr>
      <w:r>
        <w:t xml:space="preserve">En todos los escenarios evaluados el ahorro es considerable, teniendo en cuenta que los cálculos realizados incluyen los cargos asociados a los servicios </w:t>
      </w:r>
      <w:r>
        <w:rPr>
          <w:spacing w:val="-2"/>
        </w:rPr>
        <w:t>complementarios.</w:t>
      </w:r>
    </w:p>
    <w:p w:rsidR="008820FA" w:rsidRDefault="00133E59">
      <w:pPr>
        <w:pStyle w:val="Textoindependiente"/>
        <w:spacing w:line="360" w:lineRule="auto"/>
        <w:ind w:right="120"/>
      </w:pPr>
      <w:r>
        <w:t>De acuerdo a los datos de la Comisión Nacional de Energía (CNE), existen aproximadame</w:t>
      </w:r>
      <w:r>
        <w:t>nte 40.000 usuarios que pudiesen migrar el segmento de clientes libres si sólo se reduce el límite de 500 kW a 400 kW, donde potencialmente la totalidad</w:t>
      </w:r>
      <w:r>
        <w:rPr>
          <w:spacing w:val="-2"/>
        </w:rPr>
        <w:t xml:space="preserve"> </w:t>
      </w:r>
      <w:r>
        <w:t>son</w:t>
      </w:r>
      <w:r>
        <w:rPr>
          <w:spacing w:val="-2"/>
        </w:rPr>
        <w:t xml:space="preserve"> </w:t>
      </w:r>
      <w:r>
        <w:t>pequeñas</w:t>
      </w:r>
      <w:r>
        <w:rPr>
          <w:spacing w:val="-3"/>
        </w:rPr>
        <w:t xml:space="preserve"> </w:t>
      </w:r>
      <w:r>
        <w:t>y</w:t>
      </w:r>
      <w:r>
        <w:rPr>
          <w:spacing w:val="-3"/>
        </w:rPr>
        <w:t xml:space="preserve"> </w:t>
      </w:r>
      <w:r>
        <w:t>medianas</w:t>
      </w:r>
      <w:r>
        <w:rPr>
          <w:spacing w:val="-3"/>
        </w:rPr>
        <w:t xml:space="preserve"> </w:t>
      </w:r>
      <w:r>
        <w:t>empresas;</w:t>
      </w:r>
      <w:r>
        <w:rPr>
          <w:spacing w:val="-2"/>
        </w:rPr>
        <w:t xml:space="preserve"> </w:t>
      </w:r>
      <w:r>
        <w:t>establecimientos</w:t>
      </w:r>
      <w:r>
        <w:rPr>
          <w:spacing w:val="-3"/>
        </w:rPr>
        <w:t xml:space="preserve"> </w:t>
      </w:r>
      <w:r>
        <w:t>educacionales,</w:t>
      </w:r>
      <w:r>
        <w:rPr>
          <w:spacing w:val="-5"/>
        </w:rPr>
        <w:t xml:space="preserve"> </w:t>
      </w:r>
      <w:r>
        <w:t>de salud y recintos municipales; incr</w:t>
      </w:r>
      <w:r>
        <w:t xml:space="preserve">ementándose dicho número de eventuales beneficiados si el límite disminuye a 300 kW, 200 kW o 100kW, según sea la </w:t>
      </w:r>
      <w:r>
        <w:rPr>
          <w:spacing w:val="-2"/>
        </w:rPr>
        <w:t>decisión.</w:t>
      </w:r>
    </w:p>
    <w:p w:rsidR="008820FA" w:rsidRDefault="00133E59">
      <w:pPr>
        <w:pStyle w:val="Textoindependiente"/>
        <w:spacing w:before="160" w:line="360" w:lineRule="auto"/>
        <w:ind w:right="123"/>
      </w:pPr>
      <w:r>
        <w:t>Por lo tanto, implementar esta política pública para las PYMES y las demás instituciones</w:t>
      </w:r>
      <w:r>
        <w:rPr>
          <w:spacing w:val="-17"/>
        </w:rPr>
        <w:t xml:space="preserve"> </w:t>
      </w:r>
      <w:r>
        <w:t>que</w:t>
      </w:r>
      <w:r>
        <w:rPr>
          <w:spacing w:val="-15"/>
        </w:rPr>
        <w:t xml:space="preserve"> </w:t>
      </w:r>
      <w:r>
        <w:t>hemos</w:t>
      </w:r>
      <w:r>
        <w:rPr>
          <w:spacing w:val="-17"/>
        </w:rPr>
        <w:t xml:space="preserve"> </w:t>
      </w:r>
      <w:r>
        <w:t>señalado,</w:t>
      </w:r>
      <w:r>
        <w:rPr>
          <w:spacing w:val="-15"/>
        </w:rPr>
        <w:t xml:space="preserve"> </w:t>
      </w:r>
      <w:r>
        <w:t>representará</w:t>
      </w:r>
      <w:r>
        <w:rPr>
          <w:spacing w:val="-17"/>
        </w:rPr>
        <w:t xml:space="preserve"> </w:t>
      </w:r>
      <w:r>
        <w:t>un</w:t>
      </w:r>
      <w:r>
        <w:rPr>
          <w:spacing w:val="-15"/>
        </w:rPr>
        <w:t xml:space="preserve"> </w:t>
      </w:r>
      <w:r>
        <w:t>benefic</w:t>
      </w:r>
      <w:r>
        <w:t>io</w:t>
      </w:r>
      <w:r>
        <w:rPr>
          <w:spacing w:val="-16"/>
        </w:rPr>
        <w:t xml:space="preserve"> </w:t>
      </w:r>
      <w:r>
        <w:t>directo</w:t>
      </w:r>
      <w:r>
        <w:rPr>
          <w:spacing w:val="-17"/>
        </w:rPr>
        <w:t xml:space="preserve"> </w:t>
      </w:r>
      <w:r>
        <w:t>en</w:t>
      </w:r>
      <w:r>
        <w:rPr>
          <w:spacing w:val="-15"/>
        </w:rPr>
        <w:t xml:space="preserve"> </w:t>
      </w:r>
      <w:r>
        <w:t>el</w:t>
      </w:r>
      <w:r>
        <w:rPr>
          <w:spacing w:val="-17"/>
        </w:rPr>
        <w:t xml:space="preserve"> </w:t>
      </w:r>
      <w:r>
        <w:t>escenario actual y en el próximo en que las tarifas tendrán un incremento sustancial.</w:t>
      </w:r>
    </w:p>
    <w:p w:rsidR="008820FA" w:rsidRDefault="00133E59">
      <w:pPr>
        <w:pStyle w:val="Textoindependiente"/>
        <w:spacing w:before="160" w:line="360" w:lineRule="auto"/>
        <w:ind w:right="112"/>
      </w:pPr>
      <w:r>
        <w:t>En</w:t>
      </w:r>
      <w:r>
        <w:rPr>
          <w:spacing w:val="-12"/>
        </w:rPr>
        <w:t xml:space="preserve"> </w:t>
      </w:r>
      <w:r>
        <w:t>este</w:t>
      </w:r>
      <w:r>
        <w:rPr>
          <w:spacing w:val="-11"/>
        </w:rPr>
        <w:t xml:space="preserve"> </w:t>
      </w:r>
      <w:r>
        <w:t>sentido,</w:t>
      </w:r>
      <w:r>
        <w:rPr>
          <w:spacing w:val="-14"/>
        </w:rPr>
        <w:t xml:space="preserve"> </w:t>
      </w:r>
      <w:r>
        <w:t>se</w:t>
      </w:r>
      <w:r>
        <w:rPr>
          <w:spacing w:val="-14"/>
        </w:rPr>
        <w:t xml:space="preserve"> </w:t>
      </w:r>
      <w:r>
        <w:t>modifica</w:t>
      </w:r>
      <w:r>
        <w:rPr>
          <w:spacing w:val="-12"/>
        </w:rPr>
        <w:t xml:space="preserve"> </w:t>
      </w:r>
      <w:r>
        <w:t>el</w:t>
      </w:r>
      <w:r>
        <w:rPr>
          <w:spacing w:val="-16"/>
        </w:rPr>
        <w:t xml:space="preserve"> </w:t>
      </w:r>
      <w:r>
        <w:t>artículo</w:t>
      </w:r>
      <w:r>
        <w:rPr>
          <w:spacing w:val="-12"/>
        </w:rPr>
        <w:t xml:space="preserve"> </w:t>
      </w:r>
      <w:r>
        <w:t>147</w:t>
      </w:r>
      <w:r>
        <w:rPr>
          <w:spacing w:val="-14"/>
        </w:rPr>
        <w:t xml:space="preserve"> </w:t>
      </w:r>
      <w:r>
        <w:t>de</w:t>
      </w:r>
      <w:r>
        <w:rPr>
          <w:spacing w:val="-14"/>
        </w:rPr>
        <w:t xml:space="preserve"> </w:t>
      </w:r>
      <w:r>
        <w:t>la</w:t>
      </w:r>
      <w:r>
        <w:rPr>
          <w:spacing w:val="-12"/>
        </w:rPr>
        <w:t xml:space="preserve"> </w:t>
      </w:r>
      <w:r>
        <w:t>ley</w:t>
      </w:r>
      <w:r>
        <w:rPr>
          <w:spacing w:val="-15"/>
        </w:rPr>
        <w:t xml:space="preserve"> </w:t>
      </w:r>
      <w:r>
        <w:t>General</w:t>
      </w:r>
      <w:r>
        <w:rPr>
          <w:spacing w:val="-13"/>
        </w:rPr>
        <w:t xml:space="preserve"> </w:t>
      </w:r>
      <w:r>
        <w:t>de</w:t>
      </w:r>
      <w:r>
        <w:rPr>
          <w:spacing w:val="-12"/>
        </w:rPr>
        <w:t xml:space="preserve"> </w:t>
      </w:r>
      <w:r>
        <w:t>Servicios</w:t>
      </w:r>
      <w:r>
        <w:rPr>
          <w:spacing w:val="-9"/>
        </w:rPr>
        <w:t xml:space="preserve"> </w:t>
      </w:r>
      <w:r>
        <w:t>eléctricos, modificando los requisitos que actualmente considera la ley para optar por un régimen de tarifa regulada o de precio libre.</w:t>
      </w:r>
    </w:p>
    <w:p w:rsidR="008820FA" w:rsidRDefault="00133E59">
      <w:pPr>
        <w:pStyle w:val="Textoindependiente"/>
        <w:spacing w:before="162" w:line="360" w:lineRule="auto"/>
        <w:ind w:right="123"/>
      </w:pPr>
      <w:r>
        <w:t xml:space="preserve">Finalmente, podemos señalar que la propuesta que se presenta no irroga gasto fiscal de ningún tipo por cuanto la propia </w:t>
      </w:r>
      <w:r>
        <w:t>ley de 21.472 del PEC2 establece el mecanismo para asegurar que el aporte que realizan los clientes que consumen más de 500 KWh y que pudieran cambiar de régimen desde clientes regulados a clientes libres, sigan aportando al Fondo de estabilización:</w:t>
      </w:r>
    </w:p>
    <w:p w:rsidR="008820FA" w:rsidRDefault="008820FA">
      <w:pPr>
        <w:spacing w:line="360" w:lineRule="auto"/>
        <w:sectPr w:rsidR="008820FA">
          <w:pgSz w:w="12240" w:h="15840"/>
          <w:pgMar w:top="1400" w:right="1580" w:bottom="1200" w:left="1600" w:header="0" w:footer="1000" w:gutter="0"/>
          <w:cols w:space="720"/>
        </w:sectPr>
      </w:pPr>
    </w:p>
    <w:p w:rsidR="008820FA" w:rsidRDefault="00133E59">
      <w:pPr>
        <w:spacing w:before="77" w:line="360" w:lineRule="auto"/>
        <w:ind w:left="102" w:right="114" w:firstLine="669"/>
        <w:jc w:val="both"/>
        <w:rPr>
          <w:i/>
          <w:sz w:val="24"/>
        </w:rPr>
      </w:pPr>
      <w:r>
        <w:rPr>
          <w:i/>
          <w:sz w:val="24"/>
        </w:rPr>
        <w:t>“Artículo 15.- Cambio de régimen. Los clientes sometidos a regulación de precios que opten por cambiar al régimen de precios libres, a partir de la vigencia de esta ley y hasta el término del mecanismo de estabilización en ella establecido, d</w:t>
      </w:r>
      <w:r>
        <w:rPr>
          <w:i/>
          <w:sz w:val="24"/>
        </w:rPr>
        <w:t>eberán</w:t>
      </w:r>
      <w:r>
        <w:rPr>
          <w:i/>
          <w:spacing w:val="-10"/>
          <w:sz w:val="24"/>
        </w:rPr>
        <w:t xml:space="preserve"> </w:t>
      </w:r>
      <w:r>
        <w:rPr>
          <w:i/>
          <w:sz w:val="24"/>
        </w:rPr>
        <w:t>participar</w:t>
      </w:r>
      <w:r>
        <w:rPr>
          <w:i/>
          <w:spacing w:val="-12"/>
          <w:sz w:val="24"/>
        </w:rPr>
        <w:t xml:space="preserve"> </w:t>
      </w:r>
      <w:r>
        <w:rPr>
          <w:i/>
          <w:sz w:val="24"/>
        </w:rPr>
        <w:t>de</w:t>
      </w:r>
      <w:r>
        <w:rPr>
          <w:i/>
          <w:spacing w:val="-10"/>
          <w:sz w:val="24"/>
        </w:rPr>
        <w:t xml:space="preserve"> </w:t>
      </w:r>
      <w:r>
        <w:rPr>
          <w:i/>
          <w:sz w:val="24"/>
        </w:rPr>
        <w:t>este</w:t>
      </w:r>
      <w:r>
        <w:rPr>
          <w:i/>
          <w:spacing w:val="-10"/>
          <w:sz w:val="24"/>
        </w:rPr>
        <w:t xml:space="preserve"> </w:t>
      </w:r>
      <w:r>
        <w:rPr>
          <w:i/>
          <w:sz w:val="24"/>
        </w:rPr>
        <w:t>mecanismo</w:t>
      </w:r>
      <w:r>
        <w:rPr>
          <w:i/>
          <w:spacing w:val="-10"/>
          <w:sz w:val="24"/>
        </w:rPr>
        <w:t xml:space="preserve"> </w:t>
      </w:r>
      <w:r>
        <w:rPr>
          <w:i/>
          <w:sz w:val="24"/>
        </w:rPr>
        <w:t>de</w:t>
      </w:r>
      <w:r>
        <w:rPr>
          <w:i/>
          <w:spacing w:val="-10"/>
          <w:sz w:val="24"/>
        </w:rPr>
        <w:t xml:space="preserve"> </w:t>
      </w:r>
      <w:r>
        <w:rPr>
          <w:i/>
          <w:sz w:val="24"/>
        </w:rPr>
        <w:t>estabilización</w:t>
      </w:r>
      <w:r>
        <w:rPr>
          <w:i/>
          <w:spacing w:val="-10"/>
          <w:sz w:val="24"/>
        </w:rPr>
        <w:t xml:space="preserve"> </w:t>
      </w:r>
      <w:r>
        <w:rPr>
          <w:i/>
          <w:sz w:val="24"/>
        </w:rPr>
        <w:t>en</w:t>
      </w:r>
      <w:r>
        <w:rPr>
          <w:i/>
          <w:spacing w:val="-10"/>
          <w:sz w:val="24"/>
        </w:rPr>
        <w:t xml:space="preserve"> </w:t>
      </w:r>
      <w:r>
        <w:rPr>
          <w:i/>
          <w:sz w:val="24"/>
        </w:rPr>
        <w:t>igualdad</w:t>
      </w:r>
      <w:r>
        <w:rPr>
          <w:i/>
          <w:spacing w:val="-13"/>
          <w:sz w:val="24"/>
        </w:rPr>
        <w:t xml:space="preserve"> </w:t>
      </w:r>
      <w:r>
        <w:rPr>
          <w:i/>
          <w:sz w:val="24"/>
        </w:rPr>
        <w:t>de</w:t>
      </w:r>
      <w:r>
        <w:rPr>
          <w:i/>
          <w:spacing w:val="-4"/>
          <w:sz w:val="24"/>
        </w:rPr>
        <w:t xml:space="preserve"> </w:t>
      </w:r>
      <w:r>
        <w:rPr>
          <w:i/>
          <w:sz w:val="24"/>
        </w:rPr>
        <w:t>condiciones con el resto de los clientes regulados y en igualdad de condiciones entre tales clientes libres, a través de una componente específica que se adicionará al peaje de distribuci</w:t>
      </w:r>
      <w:r>
        <w:rPr>
          <w:i/>
          <w:sz w:val="24"/>
        </w:rPr>
        <w:t>ón conforme lo determine la Comisión Nacional de Energía por resolución exenta.”</w:t>
      </w:r>
    </w:p>
    <w:p w:rsidR="008820FA" w:rsidRDefault="00133E59">
      <w:pPr>
        <w:pStyle w:val="Textoindependiente"/>
      </w:pPr>
      <w:r>
        <w:t>En</w:t>
      </w:r>
      <w:r>
        <w:rPr>
          <w:spacing w:val="-5"/>
        </w:rPr>
        <w:t xml:space="preserve"> </w:t>
      </w:r>
      <w:r>
        <w:t>razón</w:t>
      </w:r>
      <w:r>
        <w:rPr>
          <w:spacing w:val="-2"/>
        </w:rPr>
        <w:t xml:space="preserve"> </w:t>
      </w:r>
      <w:r>
        <w:t>de</w:t>
      </w:r>
      <w:r>
        <w:rPr>
          <w:spacing w:val="-3"/>
        </w:rPr>
        <w:t xml:space="preserve"> </w:t>
      </w:r>
      <w:r>
        <w:t>los</w:t>
      </w:r>
      <w:r>
        <w:rPr>
          <w:spacing w:val="-4"/>
        </w:rPr>
        <w:t xml:space="preserve"> </w:t>
      </w:r>
      <w:r>
        <w:t>antecedentes</w:t>
      </w:r>
      <w:r>
        <w:rPr>
          <w:spacing w:val="-2"/>
        </w:rPr>
        <w:t xml:space="preserve"> </w:t>
      </w:r>
      <w:r>
        <w:t>señalados,</w:t>
      </w:r>
      <w:r>
        <w:rPr>
          <w:spacing w:val="-3"/>
        </w:rPr>
        <w:t xml:space="preserve"> </w:t>
      </w:r>
      <w:r>
        <w:t>venimos</w:t>
      </w:r>
      <w:r>
        <w:rPr>
          <w:spacing w:val="-4"/>
        </w:rPr>
        <w:t xml:space="preserve"> </w:t>
      </w:r>
      <w:r>
        <w:t>en</w:t>
      </w:r>
      <w:r>
        <w:rPr>
          <w:spacing w:val="3"/>
        </w:rPr>
        <w:t xml:space="preserve"> </w:t>
      </w:r>
      <w:r>
        <w:rPr>
          <w:spacing w:val="-2"/>
        </w:rPr>
        <w:t>presentar:</w:t>
      </w:r>
    </w:p>
    <w:p w:rsidR="008820FA" w:rsidRDefault="008820FA">
      <w:pPr>
        <w:pStyle w:val="Textoindependiente"/>
        <w:spacing w:before="10"/>
        <w:ind w:left="0"/>
        <w:jc w:val="left"/>
        <w:rPr>
          <w:sz w:val="25"/>
        </w:rPr>
      </w:pPr>
    </w:p>
    <w:p w:rsidR="008820FA" w:rsidRDefault="00133E59">
      <w:pPr>
        <w:pStyle w:val="Ttulo1"/>
        <w:ind w:left="545" w:right="563"/>
      </w:pPr>
      <w:r>
        <w:t>Proyecto</w:t>
      </w:r>
      <w:r>
        <w:rPr>
          <w:spacing w:val="-4"/>
        </w:rPr>
        <w:t xml:space="preserve"> </w:t>
      </w:r>
      <w:r>
        <w:t>de</w:t>
      </w:r>
      <w:r>
        <w:rPr>
          <w:spacing w:val="-2"/>
        </w:rPr>
        <w:t xml:space="preserve"> </w:t>
      </w:r>
      <w:r>
        <w:rPr>
          <w:spacing w:val="-5"/>
        </w:rPr>
        <w:t>Ley</w:t>
      </w:r>
    </w:p>
    <w:p w:rsidR="008820FA" w:rsidRDefault="008820FA">
      <w:pPr>
        <w:pStyle w:val="Textoindependiente"/>
        <w:spacing w:before="10"/>
        <w:ind w:left="0"/>
        <w:jc w:val="left"/>
        <w:rPr>
          <w:b/>
          <w:sz w:val="25"/>
        </w:rPr>
      </w:pPr>
    </w:p>
    <w:p w:rsidR="008820FA" w:rsidRDefault="00133E59">
      <w:pPr>
        <w:spacing w:before="1" w:line="360" w:lineRule="auto"/>
        <w:ind w:left="102" w:right="120"/>
        <w:jc w:val="both"/>
        <w:rPr>
          <w:b/>
          <w:sz w:val="24"/>
        </w:rPr>
      </w:pPr>
      <w:r>
        <w:rPr>
          <w:b/>
          <w:sz w:val="24"/>
        </w:rPr>
        <w:t>Articulo Único: Modifíquese el DFL 4/20018 que Fija Texto Refundido, Coordinado y sistematizado del Decreto con Fuerza de Ley Nº 1, de Minería, de</w:t>
      </w:r>
      <w:r>
        <w:rPr>
          <w:b/>
          <w:spacing w:val="-4"/>
          <w:sz w:val="24"/>
        </w:rPr>
        <w:t xml:space="preserve"> </w:t>
      </w:r>
      <w:r>
        <w:rPr>
          <w:b/>
          <w:sz w:val="24"/>
        </w:rPr>
        <w:t>1982,</w:t>
      </w:r>
      <w:r>
        <w:rPr>
          <w:b/>
          <w:spacing w:val="-6"/>
          <w:sz w:val="24"/>
        </w:rPr>
        <w:t xml:space="preserve"> </w:t>
      </w:r>
      <w:r>
        <w:rPr>
          <w:b/>
          <w:sz w:val="24"/>
        </w:rPr>
        <w:t>Ley</w:t>
      </w:r>
      <w:r>
        <w:rPr>
          <w:b/>
          <w:spacing w:val="-4"/>
          <w:sz w:val="24"/>
        </w:rPr>
        <w:t xml:space="preserve"> </w:t>
      </w:r>
      <w:r>
        <w:rPr>
          <w:b/>
          <w:sz w:val="24"/>
        </w:rPr>
        <w:t>General</w:t>
      </w:r>
      <w:r>
        <w:rPr>
          <w:b/>
          <w:spacing w:val="-6"/>
          <w:sz w:val="24"/>
        </w:rPr>
        <w:t xml:space="preserve"> </w:t>
      </w:r>
      <w:r>
        <w:rPr>
          <w:b/>
          <w:sz w:val="24"/>
        </w:rPr>
        <w:t>de</w:t>
      </w:r>
      <w:r>
        <w:rPr>
          <w:b/>
          <w:spacing w:val="-4"/>
          <w:sz w:val="24"/>
        </w:rPr>
        <w:t xml:space="preserve"> </w:t>
      </w:r>
      <w:r>
        <w:rPr>
          <w:b/>
          <w:sz w:val="24"/>
        </w:rPr>
        <w:t>Servicios</w:t>
      </w:r>
      <w:r>
        <w:rPr>
          <w:b/>
          <w:spacing w:val="-5"/>
          <w:sz w:val="24"/>
        </w:rPr>
        <w:t xml:space="preserve"> </w:t>
      </w:r>
      <w:r>
        <w:rPr>
          <w:b/>
          <w:sz w:val="24"/>
        </w:rPr>
        <w:t>Eléctricos,</w:t>
      </w:r>
      <w:r>
        <w:rPr>
          <w:b/>
          <w:spacing w:val="-4"/>
          <w:sz w:val="24"/>
        </w:rPr>
        <w:t xml:space="preserve"> </w:t>
      </w:r>
      <w:r>
        <w:rPr>
          <w:b/>
          <w:sz w:val="24"/>
        </w:rPr>
        <w:t>en</w:t>
      </w:r>
      <w:r>
        <w:rPr>
          <w:b/>
          <w:spacing w:val="-7"/>
          <w:sz w:val="24"/>
        </w:rPr>
        <w:t xml:space="preserve"> </w:t>
      </w:r>
      <w:r>
        <w:rPr>
          <w:b/>
          <w:sz w:val="24"/>
        </w:rPr>
        <w:t>materia</w:t>
      </w:r>
      <w:r>
        <w:rPr>
          <w:b/>
          <w:spacing w:val="-3"/>
          <w:sz w:val="24"/>
        </w:rPr>
        <w:t xml:space="preserve"> </w:t>
      </w:r>
      <w:r>
        <w:rPr>
          <w:b/>
          <w:sz w:val="24"/>
        </w:rPr>
        <w:t>de</w:t>
      </w:r>
      <w:r>
        <w:rPr>
          <w:b/>
          <w:spacing w:val="-4"/>
          <w:sz w:val="24"/>
        </w:rPr>
        <w:t xml:space="preserve"> </w:t>
      </w:r>
      <w:r>
        <w:rPr>
          <w:b/>
          <w:sz w:val="24"/>
        </w:rPr>
        <w:t>Energía</w:t>
      </w:r>
      <w:r>
        <w:rPr>
          <w:b/>
          <w:spacing w:val="-5"/>
          <w:sz w:val="24"/>
        </w:rPr>
        <w:t xml:space="preserve"> </w:t>
      </w:r>
      <w:r>
        <w:rPr>
          <w:b/>
          <w:sz w:val="24"/>
        </w:rPr>
        <w:t>Eléctrica, en el siguiente sentido:</w:t>
      </w:r>
    </w:p>
    <w:p w:rsidR="008820FA" w:rsidRDefault="00133E59">
      <w:pPr>
        <w:pStyle w:val="Textoindependiente"/>
      </w:pPr>
      <w:r>
        <w:t>Reemplác</w:t>
      </w:r>
      <w:r>
        <w:t>ese</w:t>
      </w:r>
      <w:r>
        <w:rPr>
          <w:spacing w:val="-5"/>
        </w:rPr>
        <w:t xml:space="preserve"> </w:t>
      </w:r>
      <w:r>
        <w:t>en</w:t>
      </w:r>
      <w:r>
        <w:rPr>
          <w:spacing w:val="-5"/>
        </w:rPr>
        <w:t xml:space="preserve"> </w:t>
      </w:r>
      <w:r>
        <w:t>el</w:t>
      </w:r>
      <w:r>
        <w:rPr>
          <w:spacing w:val="-6"/>
        </w:rPr>
        <w:t xml:space="preserve"> </w:t>
      </w:r>
      <w:r>
        <w:t>artículo</w:t>
      </w:r>
      <w:r>
        <w:rPr>
          <w:spacing w:val="-4"/>
        </w:rPr>
        <w:t xml:space="preserve"> </w:t>
      </w:r>
      <w:r>
        <w:t>147,</w:t>
      </w:r>
      <w:r>
        <w:rPr>
          <w:spacing w:val="-6"/>
        </w:rPr>
        <w:t xml:space="preserve"> </w:t>
      </w:r>
      <w:r>
        <w:t>en</w:t>
      </w:r>
      <w:r>
        <w:rPr>
          <w:spacing w:val="-6"/>
        </w:rPr>
        <w:t xml:space="preserve"> </w:t>
      </w:r>
      <w:r>
        <w:t>el</w:t>
      </w:r>
      <w:r>
        <w:rPr>
          <w:spacing w:val="-5"/>
        </w:rPr>
        <w:t xml:space="preserve"> </w:t>
      </w:r>
      <w:r>
        <w:t>inciso</w:t>
      </w:r>
      <w:r>
        <w:rPr>
          <w:spacing w:val="-6"/>
        </w:rPr>
        <w:t xml:space="preserve"> </w:t>
      </w:r>
      <w:r>
        <w:t>tercero</w:t>
      </w:r>
      <w:r>
        <w:rPr>
          <w:spacing w:val="-4"/>
        </w:rPr>
        <w:t xml:space="preserve"> </w:t>
      </w:r>
      <w:r>
        <w:t>la</w:t>
      </w:r>
      <w:r>
        <w:rPr>
          <w:spacing w:val="-4"/>
        </w:rPr>
        <w:t xml:space="preserve"> </w:t>
      </w:r>
      <w:r>
        <w:t>letra</w:t>
      </w:r>
      <w:r>
        <w:rPr>
          <w:spacing w:val="-4"/>
        </w:rPr>
        <w:t xml:space="preserve"> </w:t>
      </w:r>
      <w:r>
        <w:t>d),</w:t>
      </w:r>
      <w:r>
        <w:rPr>
          <w:spacing w:val="-7"/>
        </w:rPr>
        <w:t xml:space="preserve"> </w:t>
      </w:r>
      <w:r>
        <w:t>por</w:t>
      </w:r>
      <w:r>
        <w:rPr>
          <w:spacing w:val="-4"/>
        </w:rPr>
        <w:t xml:space="preserve"> </w:t>
      </w:r>
      <w:r>
        <w:t>la</w:t>
      </w:r>
      <w:r>
        <w:rPr>
          <w:spacing w:val="-4"/>
        </w:rPr>
        <w:t xml:space="preserve"> </w:t>
      </w:r>
      <w:r>
        <w:rPr>
          <w:spacing w:val="-2"/>
        </w:rPr>
        <w:t>siguiente:</w:t>
      </w:r>
    </w:p>
    <w:p w:rsidR="008820FA" w:rsidRDefault="008820FA">
      <w:pPr>
        <w:pStyle w:val="Textoindependiente"/>
        <w:spacing w:before="10"/>
        <w:ind w:left="0"/>
        <w:jc w:val="left"/>
        <w:rPr>
          <w:sz w:val="25"/>
        </w:rPr>
      </w:pPr>
    </w:p>
    <w:p w:rsidR="008820FA" w:rsidRDefault="00133E59">
      <w:pPr>
        <w:spacing w:line="360" w:lineRule="auto"/>
        <w:ind w:left="102" w:right="117"/>
        <w:jc w:val="both"/>
        <w:rPr>
          <w:i/>
          <w:sz w:val="24"/>
        </w:rPr>
      </w:pPr>
      <w:r>
        <w:rPr>
          <w:i/>
          <w:sz w:val="24"/>
        </w:rPr>
        <w:t>“d) Cuando</w:t>
      </w:r>
      <w:r>
        <w:rPr>
          <w:i/>
          <w:spacing w:val="-1"/>
          <w:sz w:val="24"/>
        </w:rPr>
        <w:t xml:space="preserve"> </w:t>
      </w:r>
      <w:r>
        <w:rPr>
          <w:i/>
          <w:sz w:val="24"/>
        </w:rPr>
        <w:t>la</w:t>
      </w:r>
      <w:r>
        <w:rPr>
          <w:i/>
          <w:spacing w:val="-2"/>
          <w:sz w:val="24"/>
        </w:rPr>
        <w:t xml:space="preserve"> </w:t>
      </w:r>
      <w:r>
        <w:rPr>
          <w:i/>
          <w:sz w:val="24"/>
        </w:rPr>
        <w:t>potencia</w:t>
      </w:r>
      <w:r>
        <w:rPr>
          <w:i/>
          <w:spacing w:val="-2"/>
          <w:sz w:val="24"/>
        </w:rPr>
        <w:t xml:space="preserve"> </w:t>
      </w:r>
      <w:r>
        <w:rPr>
          <w:i/>
          <w:sz w:val="24"/>
        </w:rPr>
        <w:t>conectada</w:t>
      </w:r>
      <w:r>
        <w:rPr>
          <w:i/>
          <w:spacing w:val="-1"/>
          <w:sz w:val="24"/>
        </w:rPr>
        <w:t xml:space="preserve"> </w:t>
      </w:r>
      <w:r>
        <w:rPr>
          <w:i/>
          <w:sz w:val="24"/>
        </w:rPr>
        <w:t>del</w:t>
      </w:r>
      <w:r>
        <w:rPr>
          <w:i/>
          <w:spacing w:val="-3"/>
          <w:sz w:val="24"/>
        </w:rPr>
        <w:t xml:space="preserve"> </w:t>
      </w:r>
      <w:r>
        <w:rPr>
          <w:i/>
          <w:sz w:val="24"/>
        </w:rPr>
        <w:t>usuario</w:t>
      </w:r>
      <w:r>
        <w:rPr>
          <w:i/>
          <w:spacing w:val="-1"/>
          <w:sz w:val="24"/>
        </w:rPr>
        <w:t xml:space="preserve"> </w:t>
      </w:r>
      <w:r>
        <w:rPr>
          <w:i/>
          <w:sz w:val="24"/>
        </w:rPr>
        <w:t>final</w:t>
      </w:r>
      <w:r>
        <w:rPr>
          <w:i/>
          <w:spacing w:val="-3"/>
          <w:sz w:val="24"/>
        </w:rPr>
        <w:t xml:space="preserve"> </w:t>
      </w:r>
      <w:r>
        <w:rPr>
          <w:i/>
          <w:sz w:val="24"/>
        </w:rPr>
        <w:t>sea</w:t>
      </w:r>
      <w:r>
        <w:rPr>
          <w:i/>
          <w:spacing w:val="-1"/>
          <w:sz w:val="24"/>
        </w:rPr>
        <w:t xml:space="preserve"> </w:t>
      </w:r>
      <w:r>
        <w:rPr>
          <w:i/>
          <w:sz w:val="24"/>
        </w:rPr>
        <w:t>superior</w:t>
      </w:r>
      <w:r>
        <w:rPr>
          <w:i/>
          <w:spacing w:val="-2"/>
          <w:sz w:val="24"/>
        </w:rPr>
        <w:t xml:space="preserve"> </w:t>
      </w:r>
      <w:r>
        <w:rPr>
          <w:i/>
          <w:sz w:val="24"/>
        </w:rPr>
        <w:t>a</w:t>
      </w:r>
      <w:r>
        <w:rPr>
          <w:i/>
          <w:spacing w:val="-2"/>
          <w:sz w:val="24"/>
        </w:rPr>
        <w:t xml:space="preserve"> </w:t>
      </w:r>
      <w:r>
        <w:rPr>
          <w:i/>
          <w:sz w:val="24"/>
        </w:rPr>
        <w:t>100 kilowatts.</w:t>
      </w:r>
      <w:r>
        <w:rPr>
          <w:i/>
          <w:spacing w:val="-2"/>
          <w:sz w:val="24"/>
        </w:rPr>
        <w:t xml:space="preserve"> </w:t>
      </w:r>
      <w:r>
        <w:rPr>
          <w:i/>
          <w:sz w:val="24"/>
        </w:rPr>
        <w:t>En este</w:t>
      </w:r>
      <w:r>
        <w:rPr>
          <w:i/>
          <w:spacing w:val="-2"/>
          <w:sz w:val="24"/>
        </w:rPr>
        <w:t xml:space="preserve"> </w:t>
      </w:r>
      <w:r>
        <w:rPr>
          <w:i/>
          <w:sz w:val="24"/>
        </w:rPr>
        <w:t>caso,</w:t>
      </w:r>
      <w:r>
        <w:rPr>
          <w:i/>
          <w:spacing w:val="-3"/>
          <w:sz w:val="24"/>
        </w:rPr>
        <w:t xml:space="preserve"> </w:t>
      </w:r>
      <w:r>
        <w:rPr>
          <w:i/>
          <w:sz w:val="24"/>
        </w:rPr>
        <w:t>el</w:t>
      </w:r>
      <w:r>
        <w:rPr>
          <w:i/>
          <w:spacing w:val="-1"/>
          <w:sz w:val="24"/>
        </w:rPr>
        <w:t xml:space="preserve"> </w:t>
      </w:r>
      <w:r>
        <w:rPr>
          <w:i/>
          <w:sz w:val="24"/>
        </w:rPr>
        <w:t>usuario</w:t>
      </w:r>
      <w:r>
        <w:rPr>
          <w:i/>
          <w:spacing w:val="-2"/>
          <w:sz w:val="24"/>
        </w:rPr>
        <w:t xml:space="preserve"> </w:t>
      </w:r>
      <w:r>
        <w:rPr>
          <w:i/>
          <w:sz w:val="24"/>
        </w:rPr>
        <w:t>final</w:t>
      </w:r>
      <w:r>
        <w:rPr>
          <w:i/>
          <w:spacing w:val="-1"/>
          <w:sz w:val="24"/>
        </w:rPr>
        <w:t xml:space="preserve"> </w:t>
      </w:r>
      <w:r>
        <w:rPr>
          <w:i/>
          <w:sz w:val="24"/>
        </w:rPr>
        <w:t>tendrá</w:t>
      </w:r>
      <w:r>
        <w:rPr>
          <w:i/>
          <w:spacing w:val="-3"/>
          <w:sz w:val="24"/>
        </w:rPr>
        <w:t xml:space="preserve"> </w:t>
      </w:r>
      <w:r>
        <w:rPr>
          <w:i/>
          <w:sz w:val="24"/>
        </w:rPr>
        <w:t>derecho</w:t>
      </w:r>
      <w:r>
        <w:rPr>
          <w:i/>
          <w:spacing w:val="-2"/>
          <w:sz w:val="24"/>
        </w:rPr>
        <w:t xml:space="preserve"> </w:t>
      </w:r>
      <w:r>
        <w:rPr>
          <w:i/>
          <w:sz w:val="24"/>
        </w:rPr>
        <w:t>a</w:t>
      </w:r>
      <w:r>
        <w:rPr>
          <w:i/>
          <w:spacing w:val="-2"/>
          <w:sz w:val="24"/>
        </w:rPr>
        <w:t xml:space="preserve"> </w:t>
      </w:r>
      <w:r>
        <w:rPr>
          <w:i/>
          <w:sz w:val="24"/>
        </w:rPr>
        <w:t>optar</w:t>
      </w:r>
      <w:r>
        <w:rPr>
          <w:i/>
          <w:spacing w:val="-3"/>
          <w:sz w:val="24"/>
        </w:rPr>
        <w:t xml:space="preserve"> </w:t>
      </w:r>
      <w:r>
        <w:rPr>
          <w:i/>
          <w:sz w:val="24"/>
        </w:rPr>
        <w:t>por</w:t>
      </w:r>
      <w:r>
        <w:rPr>
          <w:i/>
          <w:spacing w:val="-3"/>
          <w:sz w:val="24"/>
        </w:rPr>
        <w:t xml:space="preserve"> </w:t>
      </w:r>
      <w:r>
        <w:rPr>
          <w:i/>
          <w:sz w:val="24"/>
        </w:rPr>
        <w:t>un</w:t>
      </w:r>
      <w:r>
        <w:rPr>
          <w:i/>
          <w:spacing w:val="-2"/>
          <w:sz w:val="24"/>
        </w:rPr>
        <w:t xml:space="preserve"> </w:t>
      </w:r>
      <w:r>
        <w:rPr>
          <w:i/>
          <w:sz w:val="24"/>
        </w:rPr>
        <w:t>régimen</w:t>
      </w:r>
      <w:r>
        <w:rPr>
          <w:i/>
          <w:spacing w:val="-3"/>
          <w:sz w:val="24"/>
        </w:rPr>
        <w:t xml:space="preserve"> </w:t>
      </w:r>
      <w:r>
        <w:rPr>
          <w:i/>
          <w:sz w:val="24"/>
        </w:rPr>
        <w:t>de</w:t>
      </w:r>
      <w:r>
        <w:rPr>
          <w:i/>
          <w:spacing w:val="-2"/>
          <w:sz w:val="24"/>
        </w:rPr>
        <w:t xml:space="preserve"> </w:t>
      </w:r>
      <w:r>
        <w:rPr>
          <w:i/>
          <w:sz w:val="24"/>
        </w:rPr>
        <w:t>tarifa</w:t>
      </w:r>
      <w:r>
        <w:rPr>
          <w:i/>
          <w:spacing w:val="-2"/>
          <w:sz w:val="24"/>
        </w:rPr>
        <w:t xml:space="preserve"> </w:t>
      </w:r>
      <w:r>
        <w:rPr>
          <w:i/>
          <w:sz w:val="24"/>
        </w:rPr>
        <w:t>regulada o de precio libre, por un período mínimo de cuatro años de permanencia en cada régimen. El cambio de opción deberá ser comunicado a la concesionaria de distribución con una antelación de, al menos, 3 meses.”</w:t>
      </w:r>
    </w:p>
    <w:p w:rsidR="008820FA" w:rsidRDefault="008820FA">
      <w:pPr>
        <w:pStyle w:val="Textoindependiente"/>
        <w:spacing w:before="0"/>
        <w:ind w:left="0"/>
        <w:jc w:val="left"/>
        <w:rPr>
          <w:i/>
          <w:sz w:val="26"/>
        </w:rPr>
      </w:pPr>
    </w:p>
    <w:p w:rsidR="008820FA" w:rsidRDefault="008820FA">
      <w:pPr>
        <w:pStyle w:val="Textoindependiente"/>
        <w:spacing w:before="0"/>
        <w:ind w:left="0"/>
        <w:jc w:val="left"/>
        <w:rPr>
          <w:i/>
          <w:sz w:val="26"/>
        </w:rPr>
      </w:pPr>
    </w:p>
    <w:p w:rsidR="008820FA" w:rsidRDefault="008820FA">
      <w:pPr>
        <w:pStyle w:val="Textoindependiente"/>
        <w:spacing w:before="0"/>
        <w:ind w:left="0"/>
        <w:jc w:val="left"/>
        <w:rPr>
          <w:i/>
          <w:sz w:val="26"/>
        </w:rPr>
      </w:pPr>
    </w:p>
    <w:p w:rsidR="008820FA" w:rsidRDefault="008820FA">
      <w:pPr>
        <w:pStyle w:val="Textoindependiente"/>
        <w:spacing w:before="0"/>
        <w:ind w:left="0"/>
        <w:jc w:val="left"/>
        <w:rPr>
          <w:i/>
          <w:sz w:val="26"/>
        </w:rPr>
      </w:pPr>
    </w:p>
    <w:p w:rsidR="008820FA" w:rsidRDefault="008820FA">
      <w:pPr>
        <w:pStyle w:val="Textoindependiente"/>
        <w:spacing w:before="2"/>
        <w:ind w:left="0"/>
        <w:jc w:val="left"/>
        <w:rPr>
          <w:i/>
          <w:sz w:val="27"/>
        </w:rPr>
      </w:pPr>
    </w:p>
    <w:p w:rsidR="008820FA" w:rsidRDefault="00133E59">
      <w:pPr>
        <w:tabs>
          <w:tab w:val="left" w:pos="5903"/>
          <w:tab w:val="left" w:pos="5992"/>
        </w:tabs>
        <w:spacing w:line="259" w:lineRule="auto"/>
        <w:ind w:left="157" w:right="205" w:firstLine="90"/>
        <w:jc w:val="center"/>
        <w:rPr>
          <w:rFonts w:ascii="Calibri" w:hAnsi="Calibri"/>
          <w:b/>
          <w:sz w:val="24"/>
        </w:rPr>
      </w:pPr>
      <w:r>
        <w:rPr>
          <w:rFonts w:ascii="Calibri" w:hAnsi="Calibri"/>
          <w:b/>
          <w:sz w:val="24"/>
        </w:rPr>
        <w:t>DANIELLA CICARDINI</w:t>
      </w:r>
      <w:r>
        <w:rPr>
          <w:rFonts w:ascii="Calibri" w:hAnsi="Calibri"/>
          <w:b/>
          <w:sz w:val="24"/>
        </w:rPr>
        <w:tab/>
        <w:t>DANIEL MANOUCHE</w:t>
      </w:r>
      <w:r>
        <w:rPr>
          <w:rFonts w:ascii="Calibri" w:hAnsi="Calibri"/>
          <w:b/>
          <w:sz w:val="24"/>
        </w:rPr>
        <w:t>HRI DIPUTADA DE LA REPÚBLICA</w:t>
      </w:r>
      <w:r>
        <w:rPr>
          <w:rFonts w:ascii="Calibri" w:hAnsi="Calibri"/>
          <w:b/>
          <w:sz w:val="24"/>
        </w:rPr>
        <w:tab/>
      </w:r>
      <w:r>
        <w:rPr>
          <w:rFonts w:ascii="Calibri" w:hAnsi="Calibri"/>
          <w:b/>
          <w:sz w:val="24"/>
        </w:rPr>
        <w:tab/>
        <w:t>DIPUTADO</w:t>
      </w:r>
      <w:r>
        <w:rPr>
          <w:rFonts w:ascii="Calibri" w:hAnsi="Calibri"/>
          <w:b/>
          <w:spacing w:val="-14"/>
          <w:sz w:val="24"/>
        </w:rPr>
        <w:t xml:space="preserve"> </w:t>
      </w:r>
      <w:r>
        <w:rPr>
          <w:rFonts w:ascii="Calibri" w:hAnsi="Calibri"/>
          <w:b/>
          <w:sz w:val="24"/>
        </w:rPr>
        <w:t>DE</w:t>
      </w:r>
      <w:r>
        <w:rPr>
          <w:rFonts w:ascii="Calibri" w:hAnsi="Calibri"/>
          <w:b/>
          <w:spacing w:val="-14"/>
          <w:sz w:val="24"/>
        </w:rPr>
        <w:t xml:space="preserve"> </w:t>
      </w:r>
      <w:r>
        <w:rPr>
          <w:rFonts w:ascii="Calibri" w:hAnsi="Calibri"/>
          <w:b/>
          <w:sz w:val="24"/>
        </w:rPr>
        <w:t>LA</w:t>
      </w:r>
      <w:r>
        <w:rPr>
          <w:rFonts w:ascii="Calibri" w:hAnsi="Calibri"/>
          <w:b/>
          <w:spacing w:val="-13"/>
          <w:sz w:val="24"/>
        </w:rPr>
        <w:t xml:space="preserve"> </w:t>
      </w:r>
      <w:r>
        <w:rPr>
          <w:rFonts w:ascii="Calibri" w:hAnsi="Calibri"/>
          <w:b/>
          <w:sz w:val="24"/>
        </w:rPr>
        <w:t>REPÚBLICA</w:t>
      </w:r>
    </w:p>
    <w:sectPr w:rsidR="008820FA">
      <w:pgSz w:w="12240" w:h="15840"/>
      <w:pgMar w:top="1340" w:right="1580" w:bottom="1200" w:left="16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3E59" w:rsidRDefault="00133E59">
      <w:r>
        <w:separator/>
      </w:r>
    </w:p>
  </w:endnote>
  <w:endnote w:type="continuationSeparator" w:id="0">
    <w:p w:rsidR="00133E59" w:rsidRDefault="0013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20FA" w:rsidRDefault="00133E59">
    <w:pPr>
      <w:pStyle w:val="Textoindependiente"/>
      <w:spacing w:before="0" w:line="14" w:lineRule="auto"/>
      <w:ind w:left="0"/>
      <w:jc w:val="left"/>
      <w:rPr>
        <w:sz w:val="20"/>
      </w:rPr>
    </w:pPr>
    <w:r>
      <w:pict>
        <v:shapetype id="_x0000_t202" coordsize="21600,21600" o:spt="202" path="m,l,21600r21600,l21600,xe">
          <v:stroke joinstyle="miter"/>
          <v:path gradientshapeok="t" o:connecttype="rect"/>
        </v:shapetype>
        <v:shape id="docshape1" o:spid="_x0000_s2049" type="#_x0000_t202" style="position:absolute;margin-left:518.5pt;margin-top:731pt;width:12.6pt;height:13.05pt;z-index:-251658752;mso-position-horizontal-relative:page;mso-position-vertical-relative:page" filled="f" stroked="f">
          <v:textbox inset="0,0,0,0">
            <w:txbxContent>
              <w:p w:rsidR="008820FA" w:rsidRDefault="00133E59">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3E59" w:rsidRDefault="00133E59">
      <w:r>
        <w:separator/>
      </w:r>
    </w:p>
  </w:footnote>
  <w:footnote w:type="continuationSeparator" w:id="0">
    <w:p w:rsidR="00133E59" w:rsidRDefault="00133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A5F4E"/>
    <w:multiLevelType w:val="hybridMultilevel"/>
    <w:tmpl w:val="FA0AE67C"/>
    <w:lvl w:ilvl="0" w:tplc="CFFEFB4E">
      <w:start w:val="1"/>
      <w:numFmt w:val="decimal"/>
      <w:lvlText w:val="%1."/>
      <w:lvlJc w:val="left"/>
      <w:pPr>
        <w:ind w:left="102" w:hanging="322"/>
        <w:jc w:val="right"/>
      </w:pPr>
      <w:rPr>
        <w:rFonts w:hint="default"/>
        <w:w w:val="99"/>
        <w:lang w:val="es-ES" w:eastAsia="en-US" w:bidi="ar-SA"/>
      </w:rPr>
    </w:lvl>
    <w:lvl w:ilvl="1" w:tplc="7CF67FD0">
      <w:numFmt w:val="bullet"/>
      <w:lvlText w:val="•"/>
      <w:lvlJc w:val="left"/>
      <w:pPr>
        <w:ind w:left="996" w:hanging="322"/>
      </w:pPr>
      <w:rPr>
        <w:rFonts w:hint="default"/>
        <w:lang w:val="es-ES" w:eastAsia="en-US" w:bidi="ar-SA"/>
      </w:rPr>
    </w:lvl>
    <w:lvl w:ilvl="2" w:tplc="CA40A808">
      <w:numFmt w:val="bullet"/>
      <w:lvlText w:val="•"/>
      <w:lvlJc w:val="left"/>
      <w:pPr>
        <w:ind w:left="1892" w:hanging="322"/>
      </w:pPr>
      <w:rPr>
        <w:rFonts w:hint="default"/>
        <w:lang w:val="es-ES" w:eastAsia="en-US" w:bidi="ar-SA"/>
      </w:rPr>
    </w:lvl>
    <w:lvl w:ilvl="3" w:tplc="EA6CE85A">
      <w:numFmt w:val="bullet"/>
      <w:lvlText w:val="•"/>
      <w:lvlJc w:val="left"/>
      <w:pPr>
        <w:ind w:left="2788" w:hanging="322"/>
      </w:pPr>
      <w:rPr>
        <w:rFonts w:hint="default"/>
        <w:lang w:val="es-ES" w:eastAsia="en-US" w:bidi="ar-SA"/>
      </w:rPr>
    </w:lvl>
    <w:lvl w:ilvl="4" w:tplc="8BF6F332">
      <w:numFmt w:val="bullet"/>
      <w:lvlText w:val="•"/>
      <w:lvlJc w:val="left"/>
      <w:pPr>
        <w:ind w:left="3684" w:hanging="322"/>
      </w:pPr>
      <w:rPr>
        <w:rFonts w:hint="default"/>
        <w:lang w:val="es-ES" w:eastAsia="en-US" w:bidi="ar-SA"/>
      </w:rPr>
    </w:lvl>
    <w:lvl w:ilvl="5" w:tplc="58B80ACA">
      <w:numFmt w:val="bullet"/>
      <w:lvlText w:val="•"/>
      <w:lvlJc w:val="left"/>
      <w:pPr>
        <w:ind w:left="4580" w:hanging="322"/>
      </w:pPr>
      <w:rPr>
        <w:rFonts w:hint="default"/>
        <w:lang w:val="es-ES" w:eastAsia="en-US" w:bidi="ar-SA"/>
      </w:rPr>
    </w:lvl>
    <w:lvl w:ilvl="6" w:tplc="2E76CAC6">
      <w:numFmt w:val="bullet"/>
      <w:lvlText w:val="•"/>
      <w:lvlJc w:val="left"/>
      <w:pPr>
        <w:ind w:left="5476" w:hanging="322"/>
      </w:pPr>
      <w:rPr>
        <w:rFonts w:hint="default"/>
        <w:lang w:val="es-ES" w:eastAsia="en-US" w:bidi="ar-SA"/>
      </w:rPr>
    </w:lvl>
    <w:lvl w:ilvl="7" w:tplc="9678E104">
      <w:numFmt w:val="bullet"/>
      <w:lvlText w:val="•"/>
      <w:lvlJc w:val="left"/>
      <w:pPr>
        <w:ind w:left="6372" w:hanging="322"/>
      </w:pPr>
      <w:rPr>
        <w:rFonts w:hint="default"/>
        <w:lang w:val="es-ES" w:eastAsia="en-US" w:bidi="ar-SA"/>
      </w:rPr>
    </w:lvl>
    <w:lvl w:ilvl="8" w:tplc="0D1C4896">
      <w:numFmt w:val="bullet"/>
      <w:lvlText w:val="•"/>
      <w:lvlJc w:val="left"/>
      <w:pPr>
        <w:ind w:left="7268" w:hanging="322"/>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820FA"/>
    <w:rsid w:val="000931E5"/>
    <w:rsid w:val="00133E59"/>
    <w:rsid w:val="008820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1CB136B-3973-4B56-93D0-24A51D6A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2"/>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61"/>
      <w:ind w:left="102"/>
      <w:jc w:val="both"/>
    </w:pPr>
    <w:rPr>
      <w:sz w:val="24"/>
      <w:szCs w:val="24"/>
    </w:rPr>
  </w:style>
  <w:style w:type="paragraph" w:styleId="Prrafodelista">
    <w:name w:val="List Paragraph"/>
    <w:basedOn w:val="Normal"/>
    <w:uiPriority w:val="1"/>
    <w:qFormat/>
    <w:pPr>
      <w:spacing w:before="156"/>
      <w:ind w:left="102" w:right="120" w:firstLine="1135"/>
      <w:jc w:val="both"/>
    </w:pPr>
  </w:style>
  <w:style w:type="paragraph" w:customStyle="1" w:styleId="TableParagraph">
    <w:name w:val="Table Paragraph"/>
    <w:basedOn w:val="Normal"/>
    <w:uiPriority w:val="1"/>
    <w:qFormat/>
    <w:pPr>
      <w:spacing w:before="8" w:line="244" w:lineRule="exact"/>
      <w:ind w:left="353"/>
      <w:jc w:val="center"/>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1640</Words>
  <Characters>9022</Characters>
  <Application>Microsoft Office Word</Application>
  <DocSecurity>0</DocSecurity>
  <Lines>75</Lines>
  <Paragraphs>21</Paragraphs>
  <ScaleCrop>false</ScaleCrop>
  <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Daniella Cicardini Milla</dc:creator>
  <cp:lastModifiedBy>Guillermo Diaz Vallejos</cp:lastModifiedBy>
  <cp:revision>1</cp:revision>
  <dcterms:created xsi:type="dcterms:W3CDTF">2023-05-16T13:25:00Z</dcterms:created>
  <dcterms:modified xsi:type="dcterms:W3CDTF">2023-05-30T15:29:00Z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2023-05-15T00:00:00Z</vt:filetime>
  </property>
  <property fmtid="{D5CDD505-2E9C-101B-9397-08002B2CF9AE}" pid="3" name="Creator">
    <vt:lpwstr>Microsoft® Word LTSC</vt:lpwstr>
  </property>
  <property fmtid="{D5CDD505-2E9C-101B-9397-08002B2CF9AE}" pid="4" name="LastSaved">
    <vt:filetime>2023-05-16T00:00:00Z</vt:filetime>
  </property>
  <property fmtid="{D5CDD505-2E9C-101B-9397-08002B2CF9AE}" pid="5" name="Producer">
    <vt:lpwstr>Microsoft® Word LTSC</vt:lpwstr>
  </property>
</Properties>
</file>