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56E" w:rsidRDefault="00412F32">
      <w:pPr>
        <w:pStyle w:val="Textoindependiente"/>
        <w:ind w:left="371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1025940" cy="1072133"/>
            <wp:effectExtent l="0" t="0" r="0" b="0"/>
            <wp:docPr id="2" name="Image 2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  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940" cy="107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56E" w:rsidRDefault="005C056E">
      <w:pPr>
        <w:pStyle w:val="Textoindependiente"/>
        <w:spacing w:before="3"/>
        <w:rPr>
          <w:rFonts w:ascii="Times New Roman"/>
          <w:i w:val="0"/>
          <w:sz w:val="9"/>
        </w:rPr>
      </w:pPr>
    </w:p>
    <w:p w:rsidR="005C056E" w:rsidRDefault="00412F32">
      <w:pPr>
        <w:spacing w:before="92" w:line="259" w:lineRule="auto"/>
        <w:ind w:left="2453" w:right="2403" w:firstLine="927"/>
        <w:rPr>
          <w:b/>
          <w:sz w:val="24"/>
        </w:rPr>
      </w:pPr>
      <w:r>
        <w:rPr>
          <w:b/>
          <w:sz w:val="24"/>
        </w:rPr>
        <w:t>PROYECTO DE LEY “FUNDACIONES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TRANSPARENTES”</w:t>
      </w:r>
    </w:p>
    <w:p w:rsidR="005C056E" w:rsidRDefault="005C056E">
      <w:pPr>
        <w:pStyle w:val="Textoindependiente"/>
        <w:rPr>
          <w:b/>
          <w:i w:val="0"/>
          <w:sz w:val="26"/>
        </w:rPr>
      </w:pPr>
    </w:p>
    <w:p w:rsidR="005C056E" w:rsidRDefault="005C056E">
      <w:pPr>
        <w:pStyle w:val="Textoindependiente"/>
        <w:rPr>
          <w:b/>
          <w:i w:val="0"/>
          <w:sz w:val="26"/>
        </w:rPr>
      </w:pPr>
    </w:p>
    <w:p w:rsidR="005C056E" w:rsidRDefault="00412F32">
      <w:pPr>
        <w:spacing w:before="155"/>
        <w:ind w:left="102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5C056E" w:rsidRDefault="00412F32">
      <w:pPr>
        <w:spacing w:before="183" w:line="360" w:lineRule="auto"/>
        <w:ind w:left="102" w:right="115" w:firstLine="669"/>
        <w:jc w:val="both"/>
        <w:rPr>
          <w:sz w:val="24"/>
        </w:rPr>
      </w:pPr>
      <w:r>
        <w:rPr>
          <w:sz w:val="24"/>
        </w:rPr>
        <w:t>En nuestro ordenamiento jurídico la Constitución Política de la República contempla el derecho de asociación en el artículo 19 N°15, en virtud del cual se reconoce a todas las personas la posibilidad de organizarse y conformar distintos tipos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categorías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asociaciones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sociedad</w:t>
      </w:r>
      <w:r>
        <w:rPr>
          <w:spacing w:val="-5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(OSC),</w:t>
      </w:r>
      <w:r>
        <w:rPr>
          <w:spacing w:val="-2"/>
          <w:sz w:val="24"/>
        </w:rPr>
        <w:t xml:space="preserve"> </w:t>
      </w:r>
      <w:r>
        <w:rPr>
          <w:sz w:val="24"/>
        </w:rPr>
        <w:t>las cuales puedes ser territoriales o funcionales.</w:t>
      </w:r>
    </w:p>
    <w:p w:rsidR="005C056E" w:rsidRDefault="00412F32">
      <w:pPr>
        <w:spacing w:before="162" w:line="360" w:lineRule="auto"/>
        <w:ind w:left="102" w:right="115" w:firstLine="647"/>
        <w:jc w:val="both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año</w:t>
      </w:r>
      <w:r>
        <w:rPr>
          <w:spacing w:val="-4"/>
          <w:sz w:val="24"/>
        </w:rPr>
        <w:t xml:space="preserve"> </w:t>
      </w:r>
      <w:r>
        <w:rPr>
          <w:sz w:val="24"/>
        </w:rPr>
        <w:t>2011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promulgación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ley</w:t>
      </w:r>
      <w:r>
        <w:rPr>
          <w:spacing w:val="-7"/>
          <w:sz w:val="24"/>
        </w:rPr>
        <w:t xml:space="preserve"> </w:t>
      </w:r>
      <w:r>
        <w:rPr>
          <w:sz w:val="24"/>
        </w:rPr>
        <w:t>N°20.500 sobre</w:t>
      </w:r>
      <w:r>
        <w:rPr>
          <w:spacing w:val="-4"/>
          <w:sz w:val="24"/>
        </w:rPr>
        <w:t xml:space="preserve"> </w:t>
      </w:r>
      <w:r>
        <w:rPr>
          <w:sz w:val="24"/>
        </w:rPr>
        <w:t>Asociaciones</w:t>
      </w:r>
      <w:r>
        <w:rPr>
          <w:spacing w:val="-4"/>
          <w:sz w:val="24"/>
        </w:rPr>
        <w:t xml:space="preserve"> </w:t>
      </w:r>
      <w:r>
        <w:rPr>
          <w:sz w:val="24"/>
        </w:rPr>
        <w:t>y participación ciudadana en la gestión pública, que entró en vigencia partir del 17</w:t>
      </w:r>
      <w:r>
        <w:rPr>
          <w:spacing w:val="40"/>
          <w:sz w:val="24"/>
        </w:rPr>
        <w:t xml:space="preserve"> </w:t>
      </w:r>
      <w:r>
        <w:rPr>
          <w:sz w:val="24"/>
        </w:rPr>
        <w:t>de febrero del año 2012, se modificaron definiciones y mecanismos para la formación de las organizaciones de la sociedad civil, en las cuales se incluyen a las fundaciones</w:t>
      </w:r>
      <w:r>
        <w:rPr>
          <w:sz w:val="24"/>
        </w:rPr>
        <w:t xml:space="preserve"> y corporaciones.</w:t>
      </w:r>
    </w:p>
    <w:p w:rsidR="005C056E" w:rsidRDefault="00412F32">
      <w:pPr>
        <w:pStyle w:val="Textoindependiente"/>
        <w:spacing w:before="160" w:line="360" w:lineRule="auto"/>
        <w:ind w:left="102" w:right="116" w:firstLine="801"/>
        <w:jc w:val="both"/>
      </w:pPr>
      <w:r>
        <w:rPr>
          <w:i w:val="0"/>
        </w:rPr>
        <w:t>En dicha ley se crea además el</w:t>
      </w:r>
      <w:r>
        <w:rPr>
          <w:i w:val="0"/>
          <w:spacing w:val="40"/>
        </w:rPr>
        <w:t xml:space="preserve"> </w:t>
      </w:r>
      <w:r>
        <w:rPr>
          <w:i w:val="0"/>
        </w:rPr>
        <w:t>Registro Nacional de Personas Jurídicas sin Fines de Lucro, a cargo del Servicio del Registro Civil e Identificación,</w:t>
      </w:r>
      <w:r>
        <w:rPr>
          <w:i w:val="0"/>
          <w:spacing w:val="40"/>
        </w:rPr>
        <w:t xml:space="preserve"> </w:t>
      </w:r>
      <w:r>
        <w:t>“de</w:t>
      </w:r>
      <w:r>
        <w:t xml:space="preserve"> carácter electrónico y centralizado, tiene por objeto registrar y actualizar los ante</w:t>
      </w:r>
      <w:r>
        <w:t>cedentes relativos</w:t>
      </w:r>
      <w:r>
        <w:rPr>
          <w:spacing w:val="-1"/>
        </w:rPr>
        <w:t xml:space="preserve"> </w:t>
      </w:r>
      <w:r>
        <w:t>a la constitución, modificación, disolución o extinción de las Corporaciones y Fundaciones constituidas conforme a lo dispuesto en el Título XXXIII del Libro I del Código Civil; las Organizaciones Comunitarias Funcionales; Juntas de Veci</w:t>
      </w:r>
      <w:r>
        <w:t>nos y Uniones Comunales constituidas conforme a la Ley Nº</w:t>
      </w:r>
      <w:r>
        <w:rPr>
          <w:spacing w:val="40"/>
        </w:rPr>
        <w:t xml:space="preserve"> </w:t>
      </w:r>
      <w:r>
        <w:t>19.418, y las demás personas jurídicas sin fines de lucro regidas por leyes especiales que determina el reglamento Decreto N°84 año 2013 del Ministerio de Justicia, estas son: Las organizaciones dep</w:t>
      </w:r>
      <w:r>
        <w:t>ortivas sin fines de lucro constituidas por la Ley Nº 19.712, Ley del Deporte; Las entidades religiosas, regidas por la Ley</w:t>
      </w:r>
    </w:p>
    <w:p w:rsidR="005C056E" w:rsidRDefault="005C056E">
      <w:pPr>
        <w:spacing w:line="360" w:lineRule="auto"/>
        <w:jc w:val="both"/>
        <w:sectPr w:rsidR="005C056E">
          <w:footerReference w:type="default" r:id="rId8"/>
          <w:type w:val="continuous"/>
          <w:pgSz w:w="12240" w:h="15840"/>
          <w:pgMar w:top="1420" w:right="1580" w:bottom="1200" w:left="1600" w:header="0" w:footer="1003" w:gutter="0"/>
          <w:pgNumType w:start="1"/>
          <w:cols w:space="720"/>
        </w:sectPr>
      </w:pPr>
    </w:p>
    <w:p w:rsidR="005C056E" w:rsidRDefault="00412F32">
      <w:pPr>
        <w:pStyle w:val="Textoindependiente"/>
        <w:spacing w:before="71" w:line="362" w:lineRule="auto"/>
        <w:ind w:left="102" w:right="126"/>
        <w:jc w:val="both"/>
        <w:rPr>
          <w:i w:val="0"/>
        </w:rPr>
      </w:pPr>
      <w:r>
        <w:lastRenderedPageBreak/>
        <w:t>Nº 19.638; y Las comunidades y asociaciones indígenas reguladas en la Ley Nº</w:t>
      </w:r>
      <w:r>
        <w:t xml:space="preserve"> </w:t>
      </w:r>
      <w:r>
        <w:rPr>
          <w:spacing w:val="-2"/>
        </w:rPr>
        <w:t>19.253</w:t>
      </w:r>
      <w:r>
        <w:rPr>
          <w:i w:val="0"/>
          <w:spacing w:val="-2"/>
        </w:rPr>
        <w:t>.”</w:t>
      </w:r>
      <w:r>
        <w:rPr>
          <w:i w:val="0"/>
          <w:spacing w:val="-2"/>
          <w:vertAlign w:val="superscript"/>
        </w:rPr>
        <w:t>1</w:t>
      </w:r>
    </w:p>
    <w:p w:rsidR="005C056E" w:rsidRDefault="00412F32">
      <w:pPr>
        <w:spacing w:before="159" w:line="360" w:lineRule="auto"/>
        <w:ind w:left="102" w:right="114" w:firstLine="602"/>
        <w:jc w:val="both"/>
        <w:rPr>
          <w:sz w:val="24"/>
        </w:rPr>
      </w:pPr>
      <w:r>
        <w:rPr>
          <w:sz w:val="24"/>
        </w:rPr>
        <w:t>En este contexto normativo han surgido o proliferado una serie de Organizaciones de la Sociedad Civil (OSC), que según el estudio de “Impacto y adaptación de las Fundaci</w:t>
      </w:r>
      <w:r>
        <w:rPr>
          <w:sz w:val="24"/>
        </w:rPr>
        <w:t>ones en el Contexto de Pandemia” del Centro de Políticas Públicas UC “</w:t>
      </w:r>
      <w:r>
        <w:rPr>
          <w:i/>
          <w:sz w:val="24"/>
        </w:rPr>
        <w:t>En Chile, 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año 2020 existían más de 319.000 OSC,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las cuales 214.064 se encuentran activas, esto es, han renovado su directorio durante los últimos cinco años. De estas, cerca del 80</w:t>
      </w:r>
      <w:r>
        <w:rPr>
          <w:i/>
          <w:sz w:val="24"/>
        </w:rPr>
        <w:t>% representan a organizaciones comunitarias, las que en los últimos cinco años (2015-2020) no han aumentado significativamente. No obstante, durante el mismo periodo de tiempo ha habido un incremento de 2,9 puntos porcentuales en la conformación de fundaci</w:t>
      </w:r>
      <w:r>
        <w:rPr>
          <w:i/>
          <w:sz w:val="24"/>
        </w:rPr>
        <w:t>ones y asociaciones (del 6,8% en el año 2015 al 9,7% en el año 2020). Es relevante considerar también que dentro del total de OSC también se encuentran asociaciones gremiales (2,5%), sindicatos (4,5%) y agrupaciones estudiantiles (1,9%), entre otras.</w:t>
      </w:r>
      <w:r>
        <w:rPr>
          <w:sz w:val="24"/>
        </w:rPr>
        <w:t>”</w:t>
      </w:r>
      <w:r>
        <w:rPr>
          <w:sz w:val="24"/>
          <w:vertAlign w:val="superscript"/>
        </w:rPr>
        <w:t>2</w:t>
      </w:r>
    </w:p>
    <w:p w:rsidR="005C056E" w:rsidRDefault="00412F32">
      <w:pPr>
        <w:spacing w:before="160" w:line="360" w:lineRule="auto"/>
        <w:ind w:left="102" w:right="114" w:firstLine="801"/>
        <w:jc w:val="both"/>
        <w:rPr>
          <w:i/>
          <w:sz w:val="24"/>
        </w:rPr>
      </w:pPr>
      <w:r>
        <w:rPr>
          <w:sz w:val="24"/>
        </w:rPr>
        <w:t xml:space="preserve">Es </w:t>
      </w:r>
      <w:r>
        <w:rPr>
          <w:sz w:val="24"/>
        </w:rPr>
        <w:t>justamente ese último dato el que resulta relevante, al considerar el aumento que han experimentado en el último tiempo la creación de fundaciones y asociaciones, dado que juegan un rol importante en nuestra sociedad contribuyendo</w:t>
      </w:r>
      <w:r>
        <w:rPr>
          <w:spacing w:val="40"/>
          <w:sz w:val="24"/>
        </w:rPr>
        <w:t xml:space="preserve"> </w:t>
      </w:r>
      <w:r>
        <w:rPr>
          <w:sz w:val="24"/>
        </w:rPr>
        <w:t>a la creación o ejecución</w:t>
      </w:r>
      <w:r>
        <w:rPr>
          <w:sz w:val="24"/>
        </w:rPr>
        <w:t xml:space="preserve"> de políticas públicas, incluso en aquellos ámbitos donde el Estado no llega o no tiene cobertura a través de sus organismos o servicios. Según constató el Centro de Políticas UC “</w:t>
      </w:r>
      <w:r>
        <w:rPr>
          <w:i/>
          <w:sz w:val="24"/>
        </w:rPr>
        <w:t>Entre los temas mencionados como foco principal se encuentran protección y c</w:t>
      </w:r>
      <w:r>
        <w:rPr>
          <w:i/>
          <w:sz w:val="24"/>
        </w:rPr>
        <w:t>uidados de niños, niñas y personas mayores; inclusión de personas en situación de discapacidad; apoyo y generación de capacidades para el emprendimiento y la búsqueda de empleo; programas de educación y apoyo a estudiantes vulnerables, programas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integración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territorial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fortalecimiento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comunitario,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apoyo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en</w:t>
      </w:r>
    </w:p>
    <w:p w:rsidR="005C056E" w:rsidRDefault="005C056E">
      <w:pPr>
        <w:pStyle w:val="Textoindependiente"/>
        <w:rPr>
          <w:sz w:val="20"/>
        </w:rPr>
      </w:pPr>
    </w:p>
    <w:p w:rsidR="005C056E" w:rsidRDefault="005C056E">
      <w:pPr>
        <w:pStyle w:val="Textoindependiente"/>
        <w:rPr>
          <w:sz w:val="20"/>
        </w:rPr>
      </w:pPr>
    </w:p>
    <w:p w:rsidR="005C056E" w:rsidRDefault="005C056E">
      <w:pPr>
        <w:pStyle w:val="Textoindependiente"/>
        <w:rPr>
          <w:sz w:val="20"/>
        </w:rPr>
      </w:pPr>
    </w:p>
    <w:p w:rsidR="005C056E" w:rsidRDefault="005C056E">
      <w:pPr>
        <w:pStyle w:val="Textoindependiente"/>
        <w:rPr>
          <w:sz w:val="20"/>
        </w:rPr>
      </w:pPr>
    </w:p>
    <w:p w:rsidR="005C056E" w:rsidRDefault="00412F32">
      <w:pPr>
        <w:pStyle w:val="Textoindependiente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100248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C6E74" id="Graphic 3" o:spid="_x0000_s1026" style="position:absolute;margin-left:85.1pt;margin-top:7.9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056E" w:rsidRDefault="00412F32">
      <w:pPr>
        <w:spacing w:before="100"/>
        <w:ind w:left="102" w:right="183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-2"/>
          <w:sz w:val="20"/>
        </w:rPr>
        <w:t xml:space="preserve"> </w:t>
      </w:r>
      <w:hyperlink r:id="rId9">
        <w:r>
          <w:rPr>
            <w:rFonts w:ascii="Calibri"/>
            <w:color w:val="0462C1"/>
            <w:spacing w:val="-2"/>
            <w:sz w:val="20"/>
            <w:u w:val="single" w:color="0462C1"/>
          </w:rPr>
          <w:t>https://www.registrocivil.cl/principal/canal-tramites/inscripcion-al-registro-de-personas-juridicas-sin-fines-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10">
        <w:r>
          <w:rPr>
            <w:rFonts w:ascii="Calibri"/>
            <w:color w:val="0462C1"/>
            <w:spacing w:val="-2"/>
            <w:sz w:val="20"/>
            <w:u w:val="single" w:color="0462C1"/>
          </w:rPr>
          <w:t>de-lucro</w:t>
        </w:r>
      </w:hyperlink>
    </w:p>
    <w:p w:rsidR="005C056E" w:rsidRDefault="00412F32">
      <w:pPr>
        <w:spacing w:before="1"/>
        <w:ind w:left="102"/>
        <w:rPr>
          <w:rFonts w:ascii="Calibri"/>
          <w:sz w:val="20"/>
        </w:rPr>
      </w:pPr>
      <w:hyperlink r:id="rId11">
        <w:r>
          <w:rPr>
            <w:rFonts w:ascii="Calibri"/>
            <w:spacing w:val="-2"/>
            <w:sz w:val="20"/>
            <w:vertAlign w:val="superscript"/>
          </w:rPr>
          <w:t>2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https://politicaspublic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as.uc.cl/content/uploads/2021/11/COS_Estudio_VF.pdf</w:t>
        </w:r>
      </w:hyperlink>
    </w:p>
    <w:p w:rsidR="005C056E" w:rsidRDefault="005C056E">
      <w:pPr>
        <w:rPr>
          <w:rFonts w:ascii="Calibri"/>
          <w:sz w:val="20"/>
        </w:rPr>
        <w:sectPr w:rsidR="005C056E">
          <w:pgSz w:w="12240" w:h="15840"/>
          <w:pgMar w:top="1340" w:right="1580" w:bottom="1200" w:left="1600" w:header="0" w:footer="1003" w:gutter="0"/>
          <w:cols w:space="720"/>
        </w:sectPr>
      </w:pPr>
    </w:p>
    <w:p w:rsidR="005C056E" w:rsidRDefault="00412F32">
      <w:pPr>
        <w:pStyle w:val="Textoindependiente"/>
        <w:spacing w:before="71" w:line="362" w:lineRule="auto"/>
        <w:ind w:left="102" w:right="118"/>
        <w:jc w:val="both"/>
        <w:rPr>
          <w:rFonts w:ascii="Calibri" w:hAnsi="Calibri"/>
          <w:i w:val="0"/>
          <w:sz w:val="22"/>
        </w:rPr>
      </w:pPr>
      <w:r>
        <w:lastRenderedPageBreak/>
        <w:t>situación de calle, superación de la pobreza y reinserción de personas</w:t>
      </w:r>
      <w:r>
        <w:rPr>
          <w:spacing w:val="-1"/>
        </w:rPr>
        <w:t xml:space="preserve"> </w:t>
      </w:r>
      <w:r>
        <w:t>privadas</w:t>
      </w:r>
      <w:r>
        <w:rPr>
          <w:spacing w:val="-1"/>
        </w:rPr>
        <w:t xml:space="preserve"> </w:t>
      </w:r>
      <w:r>
        <w:t>de</w:t>
      </w:r>
      <w:r>
        <w:t xml:space="preserve"> </w:t>
      </w:r>
      <w:r>
        <w:rPr>
          <w:spacing w:val="-2"/>
        </w:rPr>
        <w:t>libertad</w:t>
      </w:r>
      <w:r>
        <w:rPr>
          <w:rFonts w:ascii="Calibri" w:hAnsi="Calibri"/>
          <w:i w:val="0"/>
          <w:spacing w:val="-2"/>
          <w:sz w:val="22"/>
        </w:rPr>
        <w:t>.”</w:t>
      </w:r>
      <w:r>
        <w:rPr>
          <w:rFonts w:ascii="Calibri" w:hAnsi="Calibri"/>
          <w:i w:val="0"/>
          <w:spacing w:val="-2"/>
          <w:sz w:val="22"/>
          <w:vertAlign w:val="superscript"/>
        </w:rPr>
        <w:t>3</w:t>
      </w:r>
    </w:p>
    <w:p w:rsidR="005C056E" w:rsidRDefault="00412F32">
      <w:pPr>
        <w:pStyle w:val="Textoindependiente"/>
        <w:spacing w:before="158" w:line="360" w:lineRule="auto"/>
        <w:ind w:left="102" w:right="116" w:firstLine="801"/>
        <w:jc w:val="both"/>
      </w:pPr>
      <w:r>
        <w:rPr>
          <w:i w:val="0"/>
        </w:rPr>
        <w:t>Las fundaciones u organizaciones sin fines de lucro se financian fundamentalmente a través de aportes privados o públicos, nuestra “</w:t>
      </w:r>
      <w:r>
        <w:t>normativa</w:t>
      </w:r>
      <w:r>
        <w:t xml:space="preserve"> vigente no establece restricciones para que las OSFL puedan recurrir a cualquier mecanismo legal para generar sus </w:t>
      </w:r>
      <w:r>
        <w:t>ingresos, sin perjuicio de que las rentas que perciban solo pueden destinarse a los fines de la asociación o fundación o a incrementar su patrimonio. El Estado ha generado diversos fondos a los que pueden acceder las OSFL, cumpliendo con los requisitos def</w:t>
      </w:r>
      <w:r>
        <w:t>inidos por los reglamentos de cada uno. Algunos de estos son: Fondo Nacional de Desarrollo Regional, Fondo de Fortalecimiento de Asociaciones de Interés Público, Fondo Social Presidencial y Fondo de Fortalecimiento de la Sociedad Civil. Además, el Estado t</w:t>
      </w:r>
      <w:r>
        <w:t>ransfiere recursos por la contraprestación de servicios. Dicha situación se da especialmente en materia de infancia, juventud y salud. Es así como las instituciones del Estado que mayores transferencias de este tipo realizan son el Servicio Nacional de Men</w:t>
      </w:r>
      <w:r>
        <w:t>ores (SENAME), la Junta Nacional de Jardines Infantiles (JUNJI) y el Ministerio de Salud (MINSAL).</w:t>
      </w:r>
      <w:r>
        <w:rPr>
          <w:vertAlign w:val="superscript"/>
        </w:rPr>
        <w:t>4</w:t>
      </w:r>
    </w:p>
    <w:p w:rsidR="005C056E" w:rsidRDefault="00412F32">
      <w:pPr>
        <w:spacing w:before="161" w:line="360" w:lineRule="auto"/>
        <w:ind w:left="102" w:right="116" w:firstLine="935"/>
        <w:jc w:val="both"/>
        <w:rPr>
          <w:sz w:val="24"/>
        </w:rPr>
      </w:pPr>
      <w:r>
        <w:rPr>
          <w:sz w:val="24"/>
        </w:rPr>
        <w:t>Es esta arista donde justamente han surgido los cuestionamientos respecto de la forma en que algunas fundaciones han accedido fácilmente al financiamiento e</w:t>
      </w:r>
      <w:r>
        <w:rPr>
          <w:sz w:val="24"/>
        </w:rPr>
        <w:t>statal. Particularmente a raíz de la investigación que se realiza actualmente respecto de las transferencias de recursos que ejecutó el Ministerio de Vivienda y Urbanismo, en la Región de</w:t>
      </w:r>
      <w:r>
        <w:rPr>
          <w:spacing w:val="-5"/>
          <w:sz w:val="24"/>
        </w:rPr>
        <w:t xml:space="preserve"> </w:t>
      </w:r>
      <w:r>
        <w:rPr>
          <w:sz w:val="24"/>
        </w:rPr>
        <w:t>Antofagasta a través de su Seremi con la Fundación “Democracia Viva”</w:t>
      </w:r>
      <w:r>
        <w:rPr>
          <w:sz w:val="24"/>
          <w:vertAlign w:val="superscript"/>
        </w:rPr>
        <w:t>5</w:t>
      </w:r>
      <w:r>
        <w:rPr>
          <w:sz w:val="24"/>
        </w:rPr>
        <w:t>, investigaciones que rebelaron una serie de falencias que presenta actualmente nuestra legislación y que es necesario revisar para evitar que este tipo de situaciones pueda repetirse en el futuro.</w:t>
      </w:r>
    </w:p>
    <w:p w:rsidR="005C056E" w:rsidRDefault="005C056E">
      <w:pPr>
        <w:pStyle w:val="Textoindependiente"/>
        <w:rPr>
          <w:i w:val="0"/>
          <w:sz w:val="20"/>
        </w:rPr>
      </w:pPr>
    </w:p>
    <w:p w:rsidR="005C056E" w:rsidRDefault="005C056E">
      <w:pPr>
        <w:pStyle w:val="Textoindependiente"/>
        <w:rPr>
          <w:i w:val="0"/>
          <w:sz w:val="20"/>
        </w:rPr>
      </w:pPr>
    </w:p>
    <w:p w:rsidR="005C056E" w:rsidRDefault="00412F32">
      <w:pPr>
        <w:pStyle w:val="Textoindependiente"/>
        <w:rPr>
          <w:i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183627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7FDE3" id="Graphic 4" o:spid="_x0000_s1026" style="position:absolute;margin-left:85.1pt;margin-top:14.4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056E" w:rsidRDefault="00412F32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2"/>
          <w:sz w:val="20"/>
        </w:rPr>
        <w:t xml:space="preserve"> </w:t>
      </w:r>
      <w:hyperlink r:id="rId12">
        <w:r>
          <w:rPr>
            <w:rFonts w:ascii="Calibri"/>
            <w:color w:val="0462C1"/>
            <w:spacing w:val="-2"/>
            <w:sz w:val="20"/>
            <w:u w:val="single" w:color="0462C1"/>
          </w:rPr>
          <w:t>https://politicaspublicas.uc.cl/content/uploads/2021/11/COS_Estudio_VF.pdf</w:t>
        </w:r>
      </w:hyperlink>
    </w:p>
    <w:p w:rsidR="005C056E" w:rsidRDefault="00412F32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2"/>
          <w:sz w:val="20"/>
        </w:rPr>
        <w:t xml:space="preserve"> </w:t>
      </w:r>
      <w:hyperlink r:id="rId13">
        <w:r>
          <w:rPr>
            <w:rFonts w:ascii="Calibri"/>
            <w:color w:val="0462C1"/>
            <w:spacing w:val="-2"/>
            <w:sz w:val="20"/>
            <w:u w:val="single" w:color="0462C1"/>
          </w:rPr>
          <w:t>https://www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.chiletransparente.cl/wp-</w:t>
        </w:r>
      </w:hyperlink>
    </w:p>
    <w:p w:rsidR="005C056E" w:rsidRDefault="00412F32">
      <w:pPr>
        <w:spacing w:line="243" w:lineRule="exact"/>
        <w:ind w:left="102"/>
        <w:rPr>
          <w:rFonts w:ascii="Calibri"/>
          <w:sz w:val="20"/>
        </w:rPr>
      </w:pPr>
      <w:hyperlink r:id="rId14">
        <w:r>
          <w:rPr>
            <w:rFonts w:ascii="Calibri"/>
            <w:color w:val="0462C1"/>
            <w:spacing w:val="-2"/>
            <w:sz w:val="20"/>
            <w:u w:val="single" w:color="0462C1"/>
          </w:rPr>
          <w:t>content/files_mf/1353010360TransparenciayRendiciondeCuentasenOSFL.pdf</w:t>
        </w:r>
      </w:hyperlink>
    </w:p>
    <w:p w:rsidR="005C056E" w:rsidRDefault="00412F32">
      <w:pPr>
        <w:ind w:left="102" w:right="719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5</w:t>
      </w:r>
      <w:r>
        <w:rPr>
          <w:rFonts w:ascii="Calibri"/>
          <w:spacing w:val="-2"/>
          <w:sz w:val="20"/>
        </w:rPr>
        <w:t xml:space="preserve"> </w:t>
      </w:r>
      <w:hyperlink r:id="rId15">
        <w:r>
          <w:rPr>
            <w:rFonts w:ascii="Calibri"/>
            <w:color w:val="0462C1"/>
            <w:spacing w:val="-2"/>
            <w:sz w:val="20"/>
            <w:u w:val="single" w:color="0462C1"/>
          </w:rPr>
          <w:t>https://www.latercera.com/politica/noticia/ministro-montes-entrega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ra-a-fiscalia-antecedentes-que-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16">
        <w:r>
          <w:rPr>
            <w:rFonts w:ascii="Calibri"/>
            <w:color w:val="0462C1"/>
            <w:spacing w:val="-2"/>
            <w:sz w:val="20"/>
            <w:u w:val="single" w:color="0462C1"/>
          </w:rPr>
          <w:t>vinculan-a-mas-personas-en-millonar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ios-convenios-con-fundacion-democracia-</w:t>
        </w:r>
      </w:hyperlink>
    </w:p>
    <w:p w:rsidR="005C056E" w:rsidRDefault="00412F32">
      <w:pPr>
        <w:spacing w:before="1"/>
        <w:ind w:left="102"/>
        <w:rPr>
          <w:rFonts w:ascii="Calibri"/>
          <w:sz w:val="20"/>
        </w:rPr>
      </w:pPr>
      <w:hyperlink r:id="rId17">
        <w:r>
          <w:rPr>
            <w:rFonts w:ascii="Calibri"/>
            <w:color w:val="0462C1"/>
            <w:spacing w:val="-2"/>
            <w:sz w:val="20"/>
            <w:u w:val="single" w:color="0462C1"/>
          </w:rPr>
          <w:t>viva/L5SU5BC7WFG4TPPA2FKILE72PI/</w:t>
        </w:r>
      </w:hyperlink>
    </w:p>
    <w:p w:rsidR="005C056E" w:rsidRDefault="005C056E">
      <w:pPr>
        <w:rPr>
          <w:rFonts w:ascii="Calibri"/>
          <w:sz w:val="20"/>
        </w:rPr>
        <w:sectPr w:rsidR="005C056E">
          <w:pgSz w:w="12240" w:h="15840"/>
          <w:pgMar w:top="1340" w:right="1580" w:bottom="1200" w:left="1600" w:header="0" w:footer="1003" w:gutter="0"/>
          <w:cols w:space="720"/>
        </w:sectPr>
      </w:pPr>
    </w:p>
    <w:p w:rsidR="005C056E" w:rsidRDefault="00412F32">
      <w:pPr>
        <w:spacing w:before="74" w:line="360" w:lineRule="auto"/>
        <w:ind w:left="102" w:right="124" w:firstLine="801"/>
        <w:jc w:val="both"/>
        <w:rPr>
          <w:sz w:val="24"/>
        </w:rPr>
      </w:pPr>
      <w:r>
        <w:rPr>
          <w:sz w:val="24"/>
        </w:rPr>
        <w:t>Ciertamente, no se puede desconocer el tremendo aporte que muchas fundaciones sin fines de lucro realizan en nuestra sociedad y por ello, para evitar que puedan</w:t>
      </w:r>
      <w:r>
        <w:rPr>
          <w:spacing w:val="-1"/>
          <w:sz w:val="24"/>
        </w:rPr>
        <w:t xml:space="preserve"> </w:t>
      </w:r>
      <w:r>
        <w:rPr>
          <w:sz w:val="24"/>
        </w:rPr>
        <w:t>verse afectadas</w:t>
      </w:r>
      <w:r>
        <w:rPr>
          <w:spacing w:val="-2"/>
          <w:sz w:val="24"/>
        </w:rPr>
        <w:t xml:space="preserve"> </w:t>
      </w:r>
      <w:r>
        <w:rPr>
          <w:sz w:val="24"/>
        </w:rPr>
        <w:t>aquellas que</w:t>
      </w:r>
      <w:r>
        <w:rPr>
          <w:spacing w:val="-1"/>
          <w:sz w:val="24"/>
        </w:rPr>
        <w:t xml:space="preserve"> </w:t>
      </w:r>
      <w:r>
        <w:rPr>
          <w:sz w:val="24"/>
        </w:rPr>
        <w:t>reamente hacen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trabajo y</w:t>
      </w:r>
      <w:r>
        <w:rPr>
          <w:spacing w:val="-2"/>
          <w:sz w:val="24"/>
        </w:rPr>
        <w:t xml:space="preserve"> </w:t>
      </w:r>
      <w:r>
        <w:rPr>
          <w:sz w:val="24"/>
        </w:rPr>
        <w:t>articulan la implementación de polític</w:t>
      </w:r>
      <w:r>
        <w:rPr>
          <w:sz w:val="24"/>
        </w:rPr>
        <w:t xml:space="preserve">as públicas en áreas o lugares donde el Estado no llega, en indispensable establecer estándares de transparencia aplicables a este tipo de </w:t>
      </w:r>
      <w:r>
        <w:rPr>
          <w:spacing w:val="-2"/>
          <w:sz w:val="24"/>
        </w:rPr>
        <w:t>organizaciones.</w:t>
      </w:r>
    </w:p>
    <w:p w:rsidR="005C056E" w:rsidRDefault="005C056E">
      <w:pPr>
        <w:pStyle w:val="Textoindependiente"/>
        <w:rPr>
          <w:i w:val="0"/>
          <w:sz w:val="26"/>
        </w:rPr>
      </w:pPr>
    </w:p>
    <w:p w:rsidR="005C056E" w:rsidRDefault="005C056E">
      <w:pPr>
        <w:pStyle w:val="Textoindependiente"/>
        <w:spacing w:before="8"/>
        <w:rPr>
          <w:i w:val="0"/>
          <w:sz w:val="27"/>
        </w:rPr>
      </w:pPr>
    </w:p>
    <w:p w:rsidR="005C056E" w:rsidRDefault="00412F32">
      <w:pPr>
        <w:ind w:left="102"/>
        <w:rPr>
          <w:b/>
          <w:sz w:val="24"/>
        </w:rPr>
      </w:pPr>
      <w:r>
        <w:rPr>
          <w:b/>
          <w:sz w:val="24"/>
        </w:rPr>
        <w:t>IDEAS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MATRICES</w:t>
      </w:r>
    </w:p>
    <w:p w:rsidR="005C056E" w:rsidRDefault="00412F32">
      <w:pPr>
        <w:spacing w:before="185" w:line="360" w:lineRule="auto"/>
        <w:ind w:left="102" w:right="114" w:firstLine="868"/>
        <w:jc w:val="both"/>
        <w:rPr>
          <w:sz w:val="24"/>
        </w:rPr>
      </w:pPr>
      <w:r>
        <w:rPr>
          <w:sz w:val="24"/>
        </w:rPr>
        <w:t>La iniciativa tiene por objetivo incorporar una serie de obligaciones que deberán cu</w:t>
      </w:r>
      <w:r>
        <w:rPr>
          <w:sz w:val="24"/>
        </w:rPr>
        <w:t xml:space="preserve">mplir las personas jurídicas a fin de garantizar el buen uso y destino de los recursos públicos que perciban, estableciendo nuevos estándares de transparencia y de información pública, además de disponer de sanciones ante el incumplimiento de estas nuevas </w:t>
      </w:r>
      <w:r>
        <w:rPr>
          <w:sz w:val="24"/>
        </w:rPr>
        <w:t>exigencias.</w:t>
      </w:r>
    </w:p>
    <w:p w:rsidR="005C056E" w:rsidRDefault="005C056E">
      <w:pPr>
        <w:pStyle w:val="Textoindependiente"/>
        <w:rPr>
          <w:i w:val="0"/>
          <w:sz w:val="26"/>
        </w:rPr>
      </w:pPr>
    </w:p>
    <w:p w:rsidR="005C056E" w:rsidRDefault="005C056E">
      <w:pPr>
        <w:pStyle w:val="Textoindependiente"/>
        <w:spacing w:before="9"/>
        <w:rPr>
          <w:i w:val="0"/>
          <w:sz w:val="37"/>
        </w:rPr>
      </w:pPr>
    </w:p>
    <w:p w:rsidR="005C056E" w:rsidRDefault="00412F32">
      <w:pPr>
        <w:ind w:left="102"/>
        <w:rPr>
          <w:b/>
          <w:sz w:val="24"/>
        </w:rPr>
      </w:pPr>
      <w:r>
        <w:rPr>
          <w:b/>
          <w:sz w:val="24"/>
        </w:rPr>
        <w:t>CONTENIDO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PROYECTO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5C056E" w:rsidRDefault="005C056E">
      <w:pPr>
        <w:pStyle w:val="Textoindependiente"/>
        <w:spacing w:before="10"/>
        <w:rPr>
          <w:b/>
          <w:i w:val="0"/>
          <w:sz w:val="25"/>
        </w:rPr>
      </w:pPr>
    </w:p>
    <w:p w:rsidR="005C056E" w:rsidRDefault="00412F32">
      <w:pPr>
        <w:pStyle w:val="Prrafodelista"/>
        <w:numPr>
          <w:ilvl w:val="0"/>
          <w:numId w:val="3"/>
        </w:numPr>
        <w:tabs>
          <w:tab w:val="left" w:pos="999"/>
          <w:tab w:val="left" w:pos="1001"/>
        </w:tabs>
        <w:spacing w:before="1" w:line="360" w:lineRule="auto"/>
        <w:ind w:left="1001" w:right="113"/>
        <w:jc w:val="both"/>
        <w:rPr>
          <w:sz w:val="24"/>
        </w:rPr>
      </w:pPr>
      <w:r>
        <w:rPr>
          <w:sz w:val="24"/>
        </w:rPr>
        <w:t xml:space="preserve">En este sentido, se propone modificar el artículo 17 de la ley N°20.500 sobre Asociaciones y participación ciudadana en la gestión pública que regula el </w:t>
      </w:r>
      <w:r>
        <w:rPr>
          <w:sz w:val="24"/>
          <w:u w:val="single"/>
        </w:rPr>
        <w:t>Registro Nacional de Personas Jurídicas sin Fines de Lucro,</w:t>
      </w:r>
      <w:r>
        <w:rPr>
          <w:sz w:val="24"/>
        </w:rPr>
        <w:t xml:space="preserve"> </w:t>
      </w:r>
      <w:r>
        <w:rPr>
          <w:sz w:val="24"/>
          <w:u w:val="single"/>
        </w:rPr>
        <w:t>actualmente a cargo del Registro Civil e Id</w:t>
      </w:r>
      <w:r>
        <w:rPr>
          <w:sz w:val="24"/>
          <w:u w:val="single"/>
        </w:rPr>
        <w:t>entificación, para que sea un</w:t>
      </w:r>
      <w:r>
        <w:rPr>
          <w:sz w:val="24"/>
        </w:rPr>
        <w:t xml:space="preserve"> </w:t>
      </w:r>
      <w:r>
        <w:rPr>
          <w:sz w:val="24"/>
          <w:u w:val="single"/>
        </w:rPr>
        <w:t>registro “Público</w:t>
      </w:r>
      <w:r>
        <w:rPr>
          <w:sz w:val="24"/>
        </w:rPr>
        <w:t>” al que cualquier persona pueda tener acceso, “</w:t>
      </w:r>
      <w:r>
        <w:rPr>
          <w:i/>
          <w:sz w:val="24"/>
        </w:rPr>
        <w:t>ya que según el actual artículo 10 de la Ley Nº 20.500, en el registro se deben inscribir los actos que determinen la composición de los órganos de dirección y a</w:t>
      </w:r>
      <w:r>
        <w:rPr>
          <w:i/>
          <w:sz w:val="24"/>
        </w:rPr>
        <w:t>dministración de las personas jurídicas registradas pero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nada se dice en la misma ley sobre la publicidad del Registro</w:t>
      </w:r>
      <w:r>
        <w:rPr>
          <w:sz w:val="24"/>
        </w:rPr>
        <w:t>.”</w:t>
      </w:r>
      <w:r>
        <w:rPr>
          <w:sz w:val="24"/>
          <w:vertAlign w:val="superscript"/>
        </w:rPr>
        <w:t>6</w:t>
      </w:r>
    </w:p>
    <w:p w:rsidR="005C056E" w:rsidRDefault="00412F32">
      <w:pPr>
        <w:spacing w:before="160" w:line="360" w:lineRule="auto"/>
        <w:ind w:left="102" w:right="116" w:firstLine="1000"/>
        <w:jc w:val="both"/>
        <w:rPr>
          <w:sz w:val="24"/>
        </w:rPr>
      </w:pPr>
      <w:r>
        <w:rPr>
          <w:sz w:val="24"/>
        </w:rPr>
        <w:t xml:space="preserve">Además, solo podrán recibir aportes del Estado cuando tengan </w:t>
      </w:r>
      <w:r>
        <w:rPr>
          <w:sz w:val="24"/>
          <w:u w:val="single"/>
        </w:rPr>
        <w:t>a lo</w:t>
      </w:r>
      <w:r>
        <w:rPr>
          <w:sz w:val="24"/>
        </w:rPr>
        <w:t xml:space="preserve"> </w:t>
      </w:r>
      <w:r>
        <w:rPr>
          <w:sz w:val="24"/>
          <w:u w:val="single"/>
        </w:rPr>
        <w:t>menos 2 años de antigüedad,</w:t>
      </w:r>
      <w:r>
        <w:rPr>
          <w:sz w:val="24"/>
        </w:rPr>
        <w:t xml:space="preserve"> para evitar que se constituyan organizac</w:t>
      </w:r>
      <w:r>
        <w:rPr>
          <w:sz w:val="24"/>
        </w:rPr>
        <w:t>iones solo para efectos de postular a fondos públicos. También, se obligará a publicar en sus</w:t>
      </w:r>
    </w:p>
    <w:p w:rsidR="005C056E" w:rsidRDefault="00412F32">
      <w:pPr>
        <w:pStyle w:val="Textoindependiente"/>
        <w:spacing w:before="2"/>
        <w:rPr>
          <w:i w:val="0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214181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12BC9" id="Graphic 5" o:spid="_x0000_s1026" style="position:absolute;margin-left:85.1pt;margin-top:16.8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056E" w:rsidRDefault="00412F32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2"/>
          <w:sz w:val="20"/>
        </w:rPr>
        <w:t xml:space="preserve"> </w:t>
      </w:r>
      <w:hyperlink r:id="rId18">
        <w:r>
          <w:rPr>
            <w:rFonts w:ascii="Calibri"/>
            <w:color w:val="0462C1"/>
            <w:spacing w:val="-2"/>
            <w:sz w:val="20"/>
            <w:u w:val="single" w:color="0462C1"/>
          </w:rPr>
          <w:t>https://www.chiletransparente.cl/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wp-</w:t>
        </w:r>
      </w:hyperlink>
    </w:p>
    <w:p w:rsidR="005C056E" w:rsidRDefault="00412F32">
      <w:pPr>
        <w:spacing w:before="1"/>
        <w:ind w:left="102"/>
        <w:rPr>
          <w:rFonts w:ascii="Calibri"/>
          <w:sz w:val="20"/>
        </w:rPr>
      </w:pPr>
      <w:hyperlink r:id="rId19">
        <w:r>
          <w:rPr>
            <w:rFonts w:ascii="Calibri"/>
            <w:color w:val="0462C1"/>
            <w:spacing w:val="-2"/>
            <w:sz w:val="20"/>
            <w:u w:val="single" w:color="0462C1"/>
          </w:rPr>
          <w:t>content/files_mf/1353010360TransparenciayRendiciondeCuentasenOSFL.pdf</w:t>
        </w:r>
      </w:hyperlink>
    </w:p>
    <w:p w:rsidR="005C056E" w:rsidRDefault="005C056E">
      <w:pPr>
        <w:rPr>
          <w:rFonts w:ascii="Calibri"/>
          <w:sz w:val="20"/>
        </w:rPr>
        <w:sectPr w:rsidR="005C056E">
          <w:pgSz w:w="12240" w:h="15840"/>
          <w:pgMar w:top="1340" w:right="1580" w:bottom="1200" w:left="1600" w:header="0" w:footer="1003" w:gutter="0"/>
          <w:cols w:space="720"/>
        </w:sectPr>
      </w:pPr>
    </w:p>
    <w:p w:rsidR="005C056E" w:rsidRDefault="00412F32">
      <w:pPr>
        <w:spacing w:before="74" w:line="360" w:lineRule="auto"/>
        <w:ind w:left="102" w:right="117"/>
        <w:jc w:val="both"/>
        <w:rPr>
          <w:sz w:val="24"/>
        </w:rPr>
      </w:pPr>
      <w:r>
        <w:rPr>
          <w:sz w:val="24"/>
        </w:rPr>
        <w:t xml:space="preserve">sitios electrónicos los contratos suscritos, informar el </w:t>
      </w:r>
      <w:r>
        <w:rPr>
          <w:sz w:val="24"/>
          <w:u w:val="single"/>
        </w:rPr>
        <w:t>monto, origen y destino de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los aportes que reciben</w:t>
      </w:r>
      <w:r>
        <w:rPr>
          <w:sz w:val="24"/>
        </w:rPr>
        <w:t xml:space="preserve">, como también las </w:t>
      </w:r>
      <w:r>
        <w:rPr>
          <w:sz w:val="24"/>
          <w:u w:val="single"/>
        </w:rPr>
        <w:t>remuneraciones que perciben sus</w:t>
      </w:r>
      <w:r>
        <w:rPr>
          <w:sz w:val="24"/>
        </w:rPr>
        <w:t xml:space="preserve"> </w:t>
      </w:r>
      <w:r>
        <w:rPr>
          <w:sz w:val="24"/>
          <w:u w:val="single"/>
        </w:rPr>
        <w:t>directivos y trabajadores</w:t>
      </w:r>
      <w:r>
        <w:rPr>
          <w:sz w:val="24"/>
        </w:rPr>
        <w:t xml:space="preserve"> con el objetivo de aplicar exigencias similares a las que actualmente co</w:t>
      </w:r>
      <w:r>
        <w:rPr>
          <w:sz w:val="24"/>
        </w:rPr>
        <w:t>ntempla la ley N°20.285 de Transparencia en los organismos públicos y empresas donde el Estado tiene participación.</w:t>
      </w:r>
    </w:p>
    <w:p w:rsidR="005C056E" w:rsidRDefault="00412F32">
      <w:pPr>
        <w:spacing w:before="162" w:line="360" w:lineRule="auto"/>
        <w:ind w:left="102" w:right="116" w:firstLine="935"/>
        <w:jc w:val="both"/>
        <w:rPr>
          <w:sz w:val="24"/>
        </w:rPr>
      </w:pPr>
      <w:r>
        <w:rPr>
          <w:sz w:val="24"/>
        </w:rPr>
        <w:t>Y se dispone que en caso de no cumplir con las exigencias,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deben </w:t>
      </w:r>
      <w:r>
        <w:rPr>
          <w:sz w:val="24"/>
          <w:u w:val="single"/>
        </w:rPr>
        <w:t>devolver el dinero percibido, serán eliminadas del registro que regula la l</w:t>
      </w:r>
      <w:r>
        <w:rPr>
          <w:sz w:val="24"/>
          <w:u w:val="single"/>
        </w:rPr>
        <w:t>ey 19.862</w:t>
      </w:r>
      <w:r>
        <w:rPr>
          <w:sz w:val="24"/>
        </w:rPr>
        <w:t xml:space="preserve"> </w:t>
      </w:r>
      <w:r>
        <w:rPr>
          <w:sz w:val="24"/>
          <w:u w:val="single"/>
        </w:rPr>
        <w:t>y no podrán recibir fondos públicos por un periodo de cinco años.</w:t>
      </w:r>
    </w:p>
    <w:p w:rsidR="005C056E" w:rsidRDefault="00412F32">
      <w:pPr>
        <w:pStyle w:val="Prrafodelista"/>
        <w:numPr>
          <w:ilvl w:val="0"/>
          <w:numId w:val="3"/>
        </w:numPr>
        <w:tabs>
          <w:tab w:val="left" w:pos="999"/>
          <w:tab w:val="left" w:pos="1001"/>
        </w:tabs>
        <w:spacing w:before="161" w:line="360" w:lineRule="auto"/>
        <w:ind w:left="1001"/>
        <w:jc w:val="both"/>
        <w:rPr>
          <w:sz w:val="24"/>
        </w:rPr>
      </w:pPr>
      <w:r>
        <w:rPr>
          <w:sz w:val="24"/>
        </w:rPr>
        <w:t>Se modifica el artículo 6 de la ley N°19.862 que Establece Registros de</w:t>
      </w:r>
      <w:r>
        <w:rPr>
          <w:spacing w:val="40"/>
          <w:sz w:val="24"/>
        </w:rPr>
        <w:t xml:space="preserve"> </w:t>
      </w:r>
      <w:r>
        <w:rPr>
          <w:sz w:val="24"/>
        </w:rPr>
        <w:t>las Personas Jurídicas receptoras de fondos públicos,</w:t>
      </w:r>
      <w:r>
        <w:rPr>
          <w:spacing w:val="40"/>
          <w:sz w:val="24"/>
        </w:rPr>
        <w:t xml:space="preserve"> </w:t>
      </w:r>
      <w:r>
        <w:rPr>
          <w:sz w:val="24"/>
        </w:rPr>
        <w:t>para incorporar las nuevas exigencias contempladas en el artículo 17 de la Ley N°20.500.</w:t>
      </w:r>
    </w:p>
    <w:p w:rsidR="005C056E" w:rsidRDefault="005C056E">
      <w:pPr>
        <w:pStyle w:val="Textoindependiente"/>
        <w:rPr>
          <w:i w:val="0"/>
          <w:sz w:val="26"/>
        </w:rPr>
      </w:pPr>
    </w:p>
    <w:p w:rsidR="005C056E" w:rsidRDefault="005C056E">
      <w:pPr>
        <w:pStyle w:val="Textoindependiente"/>
        <w:spacing w:before="9"/>
        <w:rPr>
          <w:i w:val="0"/>
          <w:sz w:val="33"/>
        </w:rPr>
      </w:pPr>
    </w:p>
    <w:p w:rsidR="005C056E" w:rsidRDefault="00412F32">
      <w:pPr>
        <w:ind w:left="3584" w:right="3602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5C056E" w:rsidRDefault="00412F32">
      <w:pPr>
        <w:spacing w:before="182" w:line="360" w:lineRule="auto"/>
        <w:ind w:left="105" w:right="117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PRIMERO.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Incorpórese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20.500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Asociaciones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 participación ciudadana 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 gestión pública,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 siguientes modificaciones:</w:t>
      </w:r>
    </w:p>
    <w:p w:rsidR="005C056E" w:rsidRDefault="00412F32">
      <w:pPr>
        <w:pStyle w:val="Prrafodelista"/>
        <w:numPr>
          <w:ilvl w:val="0"/>
          <w:numId w:val="2"/>
        </w:numPr>
        <w:tabs>
          <w:tab w:val="left" w:pos="819"/>
          <w:tab w:val="left" w:pos="821"/>
        </w:tabs>
        <w:spacing w:before="162" w:line="357" w:lineRule="auto"/>
        <w:ind w:left="821" w:right="121"/>
        <w:jc w:val="both"/>
        <w:rPr>
          <w:i/>
          <w:sz w:val="24"/>
        </w:rPr>
      </w:pPr>
      <w:r>
        <w:rPr>
          <w:b/>
          <w:sz w:val="24"/>
        </w:rPr>
        <w:t>Inc</w:t>
      </w:r>
      <w:r>
        <w:rPr>
          <w:b/>
          <w:sz w:val="24"/>
        </w:rPr>
        <w:t xml:space="preserve">orpórese en el artículo 8 inciso primero, a continuación de la frase “Existirá un”, la siguientes palabra </w:t>
      </w:r>
      <w:r>
        <w:rPr>
          <w:i/>
          <w:sz w:val="24"/>
        </w:rPr>
        <w:t>“público”.</w:t>
      </w:r>
    </w:p>
    <w:p w:rsidR="005C056E" w:rsidRDefault="005C056E">
      <w:pPr>
        <w:pStyle w:val="Textoindependiente"/>
        <w:spacing w:before="4"/>
        <w:rPr>
          <w:sz w:val="36"/>
        </w:rPr>
      </w:pPr>
    </w:p>
    <w:p w:rsidR="005C056E" w:rsidRDefault="00412F32">
      <w:pPr>
        <w:pStyle w:val="Prrafodelista"/>
        <w:numPr>
          <w:ilvl w:val="0"/>
          <w:numId w:val="2"/>
        </w:numPr>
        <w:tabs>
          <w:tab w:val="left" w:pos="819"/>
        </w:tabs>
        <w:ind w:left="819" w:right="0" w:hanging="358"/>
        <w:rPr>
          <w:b/>
          <w:sz w:val="24"/>
        </w:rPr>
      </w:pPr>
      <w:r>
        <w:rPr>
          <w:b/>
          <w:sz w:val="24"/>
        </w:rPr>
        <w:t>Remplácese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siguiente:</w:t>
      </w:r>
    </w:p>
    <w:p w:rsidR="005C056E" w:rsidRDefault="005C056E">
      <w:pPr>
        <w:pStyle w:val="Textoindependiente"/>
        <w:spacing w:before="10"/>
        <w:rPr>
          <w:b/>
          <w:i w:val="0"/>
          <w:sz w:val="25"/>
        </w:rPr>
      </w:pPr>
    </w:p>
    <w:p w:rsidR="005C056E" w:rsidRDefault="00412F32">
      <w:pPr>
        <w:pStyle w:val="Textoindependiente"/>
        <w:spacing w:line="360" w:lineRule="auto"/>
        <w:ind w:left="102" w:right="118"/>
        <w:jc w:val="both"/>
      </w:pPr>
      <w:r>
        <w:rPr>
          <w:i w:val="0"/>
        </w:rPr>
        <w:t>“</w:t>
      </w:r>
      <w:r>
        <w:t>Artículo 17. Las personas jurídicas a que se refiere este título solo podrán recibir</w:t>
      </w:r>
      <w:r>
        <w:t xml:space="preserve"> fondos públicos, en calidad de asignaciones para la ejecución de proyectos, subvenciones o subsidios, o a cualquier otro título, entregados directamente o a través de proc</w:t>
      </w:r>
      <w:r>
        <w:t>edimientos concursales, cuando tengan más de dos años de antigüedad desde la fecha de su constitución.</w:t>
      </w:r>
    </w:p>
    <w:p w:rsidR="005C056E" w:rsidRDefault="00412F32">
      <w:pPr>
        <w:pStyle w:val="Textoindependiente"/>
        <w:spacing w:before="161" w:line="360" w:lineRule="auto"/>
        <w:ind w:left="102" w:right="123"/>
        <w:jc w:val="both"/>
      </w:pPr>
      <w:r>
        <w:t>Además, deberán mantener a disposición del público a través de sus sitios</w:t>
      </w:r>
      <w:r>
        <w:t xml:space="preserve"> electrónicos, al menos una vez al mes, los siguientes antecedentes actualizados</w:t>
      </w:r>
      <w:r>
        <w:t>:</w:t>
      </w:r>
    </w:p>
    <w:p w:rsidR="005C056E" w:rsidRDefault="00412F32">
      <w:pPr>
        <w:pStyle w:val="Prrafodelista"/>
        <w:numPr>
          <w:ilvl w:val="0"/>
          <w:numId w:val="1"/>
        </w:numPr>
        <w:tabs>
          <w:tab w:val="left" w:pos="819"/>
          <w:tab w:val="left" w:pos="821"/>
        </w:tabs>
        <w:spacing w:before="158" w:line="360" w:lineRule="auto"/>
        <w:ind w:left="821" w:right="125"/>
        <w:jc w:val="both"/>
        <w:rPr>
          <w:i/>
          <w:sz w:val="24"/>
        </w:rPr>
      </w:pPr>
      <w:r>
        <w:rPr>
          <w:i/>
          <w:sz w:val="24"/>
        </w:rPr>
        <w:t xml:space="preserve">Su estructura orgánica y las remuneraciones que perciben sus directivos y </w:t>
      </w:r>
      <w:r>
        <w:rPr>
          <w:i/>
          <w:spacing w:val="-2"/>
          <w:sz w:val="24"/>
        </w:rPr>
        <w:t>trabajadores.</w:t>
      </w:r>
    </w:p>
    <w:p w:rsidR="005C056E" w:rsidRDefault="005C056E">
      <w:pPr>
        <w:spacing w:line="360" w:lineRule="auto"/>
        <w:jc w:val="both"/>
        <w:rPr>
          <w:sz w:val="24"/>
        </w:rPr>
        <w:sectPr w:rsidR="005C056E">
          <w:pgSz w:w="12240" w:h="15840"/>
          <w:pgMar w:top="1340" w:right="1580" w:bottom="1200" w:left="1600" w:header="0" w:footer="1003" w:gutter="0"/>
          <w:cols w:space="720"/>
        </w:sectPr>
      </w:pPr>
    </w:p>
    <w:p w:rsidR="005C056E" w:rsidRDefault="00412F32">
      <w:pPr>
        <w:pStyle w:val="Prrafodelista"/>
        <w:numPr>
          <w:ilvl w:val="0"/>
          <w:numId w:val="1"/>
        </w:numPr>
        <w:tabs>
          <w:tab w:val="left" w:pos="819"/>
          <w:tab w:val="left" w:pos="821"/>
        </w:tabs>
        <w:spacing w:before="71" w:line="362" w:lineRule="auto"/>
        <w:ind w:left="821"/>
        <w:rPr>
          <w:i/>
          <w:sz w:val="24"/>
        </w:rPr>
      </w:pPr>
      <w:r>
        <w:rPr>
          <w:i/>
          <w:sz w:val="24"/>
        </w:rPr>
        <w:t>Publicar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contratos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convenios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suscritos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entidades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públicas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 xml:space="preserve"> privadas, dentro del plazo de treinta días desde su celebración.</w:t>
      </w:r>
    </w:p>
    <w:p w:rsidR="005C056E" w:rsidRDefault="00412F32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/>
        <w:rPr>
          <w:i/>
          <w:sz w:val="24"/>
        </w:rPr>
      </w:pPr>
      <w:r>
        <w:rPr>
          <w:i/>
          <w:sz w:val="24"/>
        </w:rPr>
        <w:t>Informar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montos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donaciones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recibidas,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así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también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las entidades desde donde provienen.</w:t>
      </w:r>
    </w:p>
    <w:p w:rsidR="005C056E" w:rsidRDefault="00412F32">
      <w:pPr>
        <w:pStyle w:val="Prrafodelista"/>
        <w:numPr>
          <w:ilvl w:val="0"/>
          <w:numId w:val="1"/>
        </w:numPr>
        <w:tabs>
          <w:tab w:val="left" w:pos="819"/>
        </w:tabs>
        <w:ind w:left="819" w:right="0" w:hanging="358"/>
        <w:rPr>
          <w:i/>
          <w:sz w:val="24"/>
        </w:rPr>
      </w:pPr>
      <w:r>
        <w:rPr>
          <w:i/>
          <w:sz w:val="24"/>
        </w:rPr>
        <w:t>Informar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acerca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recursos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percibidos.</w:t>
      </w:r>
    </w:p>
    <w:p w:rsidR="005C056E" w:rsidRDefault="005C056E">
      <w:pPr>
        <w:pStyle w:val="Textoindependiente"/>
        <w:spacing w:before="8"/>
        <w:rPr>
          <w:sz w:val="25"/>
        </w:rPr>
      </w:pPr>
    </w:p>
    <w:p w:rsidR="005C056E" w:rsidRDefault="00412F32">
      <w:pPr>
        <w:pStyle w:val="Textoindependiente"/>
        <w:spacing w:line="360" w:lineRule="auto"/>
        <w:ind w:left="102" w:right="125" w:firstLine="393"/>
        <w:jc w:val="both"/>
      </w:pPr>
      <w:r>
        <w:t>Anualmente, las organizaciones de inter</w:t>
      </w:r>
      <w:r>
        <w:t>és público deberán dar a conocer su</w:t>
      </w:r>
      <w:r>
        <w:t xml:space="preserve"> balance contable en sus respectivos sitios electrónicos.</w:t>
      </w:r>
    </w:p>
    <w:p w:rsidR="005C056E" w:rsidRDefault="00412F32">
      <w:pPr>
        <w:pStyle w:val="Textoindependiente"/>
        <w:spacing w:before="158" w:line="360" w:lineRule="auto"/>
        <w:ind w:left="102" w:right="115" w:firstLine="400"/>
        <w:jc w:val="both"/>
      </w:pPr>
      <w:r>
        <w:t>En caso de no dar cumplimiento a cualquiera de las obligaciones</w:t>
      </w:r>
      <w:r>
        <w:rPr>
          <w:spacing w:val="40"/>
        </w:rPr>
        <w:t xml:space="preserve"> </w:t>
      </w:r>
      <w:r>
        <w:t>mencionadas, las personas jurídicas deberán devolver los montos percibidos a la entidad que los entregó, serán eliminadas del registro que regula la ley 19.862 y</w:t>
      </w:r>
      <w:r>
        <w:rPr>
          <w:spacing w:val="40"/>
        </w:rPr>
        <w:t xml:space="preserve"> </w:t>
      </w:r>
      <w:r>
        <w:t>no podrá</w:t>
      </w:r>
      <w:r>
        <w:rPr>
          <w:spacing w:val="40"/>
        </w:rPr>
        <w:t xml:space="preserve"> </w:t>
      </w:r>
      <w:r>
        <w:t>recibir nuevos fondos públicos por un periodo de cinco años.”</w:t>
      </w:r>
    </w:p>
    <w:p w:rsidR="005C056E" w:rsidRDefault="005C056E">
      <w:pPr>
        <w:pStyle w:val="Textoindependiente"/>
        <w:rPr>
          <w:sz w:val="26"/>
        </w:rPr>
      </w:pPr>
    </w:p>
    <w:p w:rsidR="005C056E" w:rsidRDefault="005C056E">
      <w:pPr>
        <w:pStyle w:val="Textoindependiente"/>
        <w:spacing w:before="2"/>
        <w:rPr>
          <w:sz w:val="28"/>
        </w:rPr>
      </w:pPr>
    </w:p>
    <w:p w:rsidR="005C056E" w:rsidRDefault="00412F32">
      <w:pPr>
        <w:spacing w:line="360" w:lineRule="auto"/>
        <w:ind w:left="102" w:right="111"/>
        <w:jc w:val="both"/>
        <w:rPr>
          <w:b/>
          <w:sz w:val="24"/>
        </w:rPr>
      </w:pPr>
      <w:r>
        <w:rPr>
          <w:b/>
          <w:sz w:val="24"/>
        </w:rPr>
        <w:t>ARTICULO SEGUNDO. Mod</w:t>
      </w:r>
      <w:r>
        <w:rPr>
          <w:b/>
          <w:sz w:val="24"/>
        </w:rPr>
        <w:t>ifíquese el artículo 6 inciso primero de la ley N°19.862 que Establece Registros de las Personas Jurídicas receptoras de fondos públicos, en el siguiente tenor:</w:t>
      </w:r>
    </w:p>
    <w:p w:rsidR="005C056E" w:rsidRDefault="00412F32">
      <w:pPr>
        <w:spacing w:before="160" w:line="360" w:lineRule="auto"/>
        <w:ind w:left="102" w:right="115"/>
        <w:jc w:val="both"/>
        <w:rPr>
          <w:sz w:val="24"/>
        </w:rPr>
      </w:pPr>
      <w:r>
        <w:rPr>
          <w:b/>
          <w:sz w:val="24"/>
        </w:rPr>
        <w:t>Reemplazar la frase “en todo caso, únicamente a partir de la vigencia señalada en el artículo 1</w:t>
      </w:r>
      <w:r>
        <w:rPr>
          <w:b/>
          <w:sz w:val="24"/>
        </w:rPr>
        <w:t xml:space="preserve">º transitorio.” Por la siguiente </w:t>
      </w:r>
      <w:r>
        <w:rPr>
          <w:sz w:val="24"/>
        </w:rPr>
        <w:t>“</w:t>
      </w:r>
      <w:r>
        <w:rPr>
          <w:i/>
          <w:sz w:val="24"/>
        </w:rPr>
        <w:t>que cumplan con los requisitos establecidos en el artículo 17 de la ley N°20.500</w:t>
      </w:r>
      <w:r>
        <w:rPr>
          <w:sz w:val="24"/>
        </w:rPr>
        <w:t>.”</w:t>
      </w:r>
    </w:p>
    <w:p w:rsidR="005C056E" w:rsidRDefault="005C056E">
      <w:pPr>
        <w:pStyle w:val="Textoindependiente"/>
        <w:rPr>
          <w:i w:val="0"/>
          <w:sz w:val="26"/>
        </w:rPr>
      </w:pPr>
    </w:p>
    <w:p w:rsidR="005C056E" w:rsidRDefault="005C056E">
      <w:pPr>
        <w:pStyle w:val="Textoindependiente"/>
        <w:rPr>
          <w:i w:val="0"/>
          <w:sz w:val="26"/>
        </w:rPr>
      </w:pPr>
    </w:p>
    <w:p w:rsidR="005C056E" w:rsidRDefault="005C056E">
      <w:pPr>
        <w:pStyle w:val="Textoindependiente"/>
        <w:rPr>
          <w:i w:val="0"/>
          <w:sz w:val="26"/>
        </w:rPr>
      </w:pPr>
    </w:p>
    <w:p w:rsidR="005C056E" w:rsidRDefault="005C056E">
      <w:pPr>
        <w:pStyle w:val="Textoindependiente"/>
        <w:rPr>
          <w:i w:val="0"/>
          <w:sz w:val="26"/>
        </w:rPr>
      </w:pPr>
    </w:p>
    <w:p w:rsidR="005C056E" w:rsidRDefault="005C056E">
      <w:pPr>
        <w:pStyle w:val="Textoindependiente"/>
        <w:rPr>
          <w:i w:val="0"/>
          <w:sz w:val="26"/>
        </w:rPr>
      </w:pPr>
    </w:p>
    <w:p w:rsidR="005C056E" w:rsidRDefault="005C056E">
      <w:pPr>
        <w:pStyle w:val="Textoindependiente"/>
        <w:spacing w:before="6"/>
        <w:rPr>
          <w:i w:val="0"/>
          <w:sz w:val="23"/>
        </w:rPr>
      </w:pPr>
    </w:p>
    <w:p w:rsidR="005C056E" w:rsidRDefault="00412F32">
      <w:pPr>
        <w:tabs>
          <w:tab w:val="left" w:pos="5750"/>
        </w:tabs>
        <w:ind w:left="236"/>
        <w:rPr>
          <w:b/>
          <w:sz w:val="24"/>
        </w:rPr>
      </w:pPr>
      <w:r>
        <w:rPr>
          <w:b/>
          <w:sz w:val="24"/>
        </w:rPr>
        <w:t>DANIELLA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CICARDINI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MILLA</w:t>
      </w:r>
      <w:r>
        <w:rPr>
          <w:b/>
          <w:sz w:val="24"/>
        </w:rPr>
        <w:tab/>
        <w:t>DANIEL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MANOUCHEHRI</w:t>
      </w:r>
    </w:p>
    <w:p w:rsidR="005C056E" w:rsidRDefault="00412F32">
      <w:pPr>
        <w:tabs>
          <w:tab w:val="left" w:pos="5370"/>
        </w:tabs>
        <w:ind w:left="169"/>
        <w:rPr>
          <w:b/>
          <w:sz w:val="24"/>
        </w:rPr>
      </w:pPr>
      <w:r>
        <w:rPr>
          <w:b/>
          <w:sz w:val="24"/>
        </w:rPr>
        <w:t>DIPUTADA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REPÚBLICA</w:t>
      </w:r>
      <w:r>
        <w:rPr>
          <w:b/>
          <w:sz w:val="24"/>
        </w:rPr>
        <w:tab/>
        <w:t>DIPUTADO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5C056E">
      <w:pgSz w:w="12240" w:h="15840"/>
      <w:pgMar w:top="1340" w:right="158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2F32" w:rsidRDefault="00412F32">
      <w:r>
        <w:separator/>
      </w:r>
    </w:p>
  </w:endnote>
  <w:endnote w:type="continuationSeparator" w:id="0">
    <w:p w:rsidR="00412F32" w:rsidRDefault="0041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56E" w:rsidRDefault="00412F32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9281871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056E" w:rsidRDefault="00412F3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5pt;margin-top:730.85pt;width:12.6pt;height:13.0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AEEbRuIAAAAPAQAADwAAAAAAAAAAAAAAAAD+AwAAZHJzL2Rvd25yZXYueG1sUEsF&#10;BgAAAAAEAAQA8wAAAA0FAAAAAA==&#10;" filled="f" stroked="f">
              <v:textbox inset="0,0,0,0">
                <w:txbxContent>
                  <w:p w:rsidR="005C056E" w:rsidRDefault="00412F3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2F32" w:rsidRDefault="00412F32">
      <w:r>
        <w:separator/>
      </w:r>
    </w:p>
  </w:footnote>
  <w:footnote w:type="continuationSeparator" w:id="0">
    <w:p w:rsidR="00412F32" w:rsidRDefault="0041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F55"/>
    <w:multiLevelType w:val="hybridMultilevel"/>
    <w:tmpl w:val="DF6CCC14"/>
    <w:lvl w:ilvl="0" w:tplc="9238D428">
      <w:start w:val="1"/>
      <w:numFmt w:val="decimal"/>
      <w:lvlText w:val="%1)"/>
      <w:lvlJc w:val="left"/>
      <w:pPr>
        <w:ind w:left="100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C2E6858E">
      <w:numFmt w:val="bullet"/>
      <w:lvlText w:val="•"/>
      <w:lvlJc w:val="left"/>
      <w:pPr>
        <w:ind w:left="1806" w:hanging="360"/>
      </w:pPr>
      <w:rPr>
        <w:rFonts w:hint="default"/>
        <w:lang w:val="es-ES" w:eastAsia="en-US" w:bidi="ar-SA"/>
      </w:rPr>
    </w:lvl>
    <w:lvl w:ilvl="2" w:tplc="3522C4CE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3" w:tplc="CA469C44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4AC49AE0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5" w:tplc="1A00C3B4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456213FA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  <w:lvl w:ilvl="7" w:tplc="DC2E7E52">
      <w:numFmt w:val="bullet"/>
      <w:lvlText w:val="•"/>
      <w:lvlJc w:val="left"/>
      <w:pPr>
        <w:ind w:left="6642" w:hanging="360"/>
      </w:pPr>
      <w:rPr>
        <w:rFonts w:hint="default"/>
        <w:lang w:val="es-ES" w:eastAsia="en-US" w:bidi="ar-SA"/>
      </w:rPr>
    </w:lvl>
    <w:lvl w:ilvl="8" w:tplc="A176DEDE">
      <w:numFmt w:val="bullet"/>
      <w:lvlText w:val="•"/>
      <w:lvlJc w:val="left"/>
      <w:pPr>
        <w:ind w:left="744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6EF4B17"/>
    <w:multiLevelType w:val="hybridMultilevel"/>
    <w:tmpl w:val="0E7CEB12"/>
    <w:lvl w:ilvl="0" w:tplc="A38EFA32">
      <w:start w:val="1"/>
      <w:numFmt w:val="lowerLetter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E370DC5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A27E38A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806170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4F6EC34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67ACB3E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0AE8EBB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4EA22A08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D3503B0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EA547C1"/>
    <w:multiLevelType w:val="hybridMultilevel"/>
    <w:tmpl w:val="12B4025C"/>
    <w:lvl w:ilvl="0" w:tplc="E87445CC">
      <w:start w:val="1"/>
      <w:numFmt w:val="lowerLetter"/>
      <w:lvlText w:val="%1)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172C85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AFC82D7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936791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B3E00B6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9AD445D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262830A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EFBEEB5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3A04F62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56E"/>
    <w:rsid w:val="00412F32"/>
    <w:rsid w:val="005C056E"/>
    <w:rsid w:val="00B7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8EB1-7BD5-49FC-964E-4458A4A2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hiletransparente.cl/wp-content/files_mf/1353010360TransparenciayRendiciondeCuentasenOSFL.pdf" TargetMode="External"/><Relationship Id="rId18" Type="http://schemas.openxmlformats.org/officeDocument/2006/relationships/hyperlink" Target="https://www.chiletransparente.cl/wp-content/files_mf/1353010360TransparenciayRendiciondeCuentasenOSFL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politicaspublicas.uc.cl/content/uploads/2021/11/COS_Estudio_VF.pdf" TargetMode="External"/><Relationship Id="rId17" Type="http://schemas.openxmlformats.org/officeDocument/2006/relationships/hyperlink" Target="https://www.latercera.com/politica/noticia/ministro-montes-entregara-a-fiscalia-antecedentes-que-vinculan-a-mas-personas-en-millonarios-convenios-con-fundacion-democracia-viva/L5SU5BC7WFG4TPPA2FKILE72P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tercera.com/politica/noticia/ministro-montes-entregara-a-fiscalia-antecedentes-que-vinculan-a-mas-personas-en-millonarios-convenios-con-fundacion-democracia-viva/L5SU5BC7WFG4TPPA2FKILE72P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iticaspublicas.uc.cl/content/uploads/2021/11/COS_Estudio_VF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atercera.com/politica/noticia/ministro-montes-entregara-a-fiscalia-antecedentes-que-vinculan-a-mas-personas-en-millonarios-convenios-con-fundacion-democracia-viva/L5SU5BC7WFG4TPPA2FKILE72PI/" TargetMode="External"/><Relationship Id="rId10" Type="http://schemas.openxmlformats.org/officeDocument/2006/relationships/hyperlink" Target="https://www.registrocivil.cl/principal/canal-tramites/inscripcion-al-registro-de-personas-juridicas-sin-fines-de-lucro" TargetMode="External"/><Relationship Id="rId19" Type="http://schemas.openxmlformats.org/officeDocument/2006/relationships/hyperlink" Target="https://www.chiletransparente.cl/wp-content/files_mf/1353010360TransparenciayRendiciondeCuentasenOSF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strocivil.cl/principal/canal-tramites/inscripcion-al-registro-de-personas-juridicas-sin-fines-de-lucro" TargetMode="External"/><Relationship Id="rId14" Type="http://schemas.openxmlformats.org/officeDocument/2006/relationships/hyperlink" Target="https://www.chiletransparente.cl/wp-content/files_mf/1353010360TransparenciayRendiciondeCuentasenOSF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1895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Mariluz Valdes</dc:creator>
  <cp:lastModifiedBy>Guillermo Diaz Vallejos</cp:lastModifiedBy>
  <cp:revision>1</cp:revision>
  <dcterms:created xsi:type="dcterms:W3CDTF">2023-07-03T14:08:00Z</dcterms:created>
  <dcterms:modified xsi:type="dcterms:W3CDTF">2023-07-11T14:26:00Z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2023-07-03T00:00:00Z</vt:filetime>
  </property>
  <property fmtid="{D5CDD505-2E9C-101B-9397-08002B2CF9AE}" pid="5" name="Producer">
    <vt:lpwstr>Microsoft® Word 2010</vt:lpwstr>
  </property>
</Properties>
</file>