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2BB" w:rsidRDefault="00466B8A">
      <w:pPr>
        <w:pStyle w:val="Textoindependiente"/>
        <w:ind w:left="377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44167" cy="69608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67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BB" w:rsidRDefault="00B442BB">
      <w:pPr>
        <w:pStyle w:val="Textoindependiente"/>
        <w:rPr>
          <w:sz w:val="20"/>
        </w:rPr>
      </w:pPr>
    </w:p>
    <w:p w:rsidR="00B442BB" w:rsidRDefault="00B442BB">
      <w:pPr>
        <w:pStyle w:val="Textoindependiente"/>
        <w:rPr>
          <w:sz w:val="20"/>
        </w:rPr>
      </w:pPr>
    </w:p>
    <w:p w:rsidR="00B442BB" w:rsidRDefault="00B442BB">
      <w:pPr>
        <w:pStyle w:val="Textoindependiente"/>
        <w:spacing w:before="4"/>
        <w:rPr>
          <w:sz w:val="21"/>
        </w:rPr>
      </w:pPr>
    </w:p>
    <w:p w:rsidR="00B442BB" w:rsidRDefault="00466B8A">
      <w:pPr>
        <w:pStyle w:val="Ttulo1"/>
        <w:spacing w:before="90" w:line="276" w:lineRule="auto"/>
        <w:ind w:left="879" w:hanging="394"/>
      </w:pPr>
      <w:r>
        <w:rPr>
          <w:spacing w:val="-2"/>
        </w:rPr>
        <w:t>PROYECTO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MODIFICA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CÓDIGO</w:t>
      </w:r>
      <w:r>
        <w:rPr>
          <w:spacing w:val="-9"/>
        </w:rPr>
        <w:t xml:space="preserve"> </w:t>
      </w:r>
      <w:r>
        <w:rPr>
          <w:spacing w:val="-2"/>
        </w:rPr>
        <w:t>PENAL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CREA</w:t>
      </w:r>
      <w:r>
        <w:rPr>
          <w:spacing w:val="-10"/>
        </w:rPr>
        <w:t xml:space="preserve"> </w:t>
      </w:r>
      <w:r>
        <w:rPr>
          <w:spacing w:val="-2"/>
        </w:rPr>
        <w:t xml:space="preserve">EL </w:t>
      </w:r>
      <w:r>
        <w:t>DELITO DE CONSPIRACIÓN PARA DEFRAUDAR AL ESTADO.</w:t>
      </w:r>
    </w:p>
    <w:p w:rsidR="00B442BB" w:rsidRDefault="00B442BB">
      <w:pPr>
        <w:pStyle w:val="Textoindependiente"/>
        <w:rPr>
          <w:b/>
          <w:sz w:val="26"/>
        </w:rPr>
      </w:pPr>
    </w:p>
    <w:p w:rsidR="00B442BB" w:rsidRDefault="00B442BB">
      <w:pPr>
        <w:pStyle w:val="Textoindependiente"/>
        <w:spacing w:before="6"/>
        <w:rPr>
          <w:b/>
          <w:sz w:val="32"/>
        </w:rPr>
      </w:pPr>
    </w:p>
    <w:p w:rsidR="00B442BB" w:rsidRDefault="00466B8A">
      <w:pPr>
        <w:pStyle w:val="Prrafodelista"/>
        <w:numPr>
          <w:ilvl w:val="0"/>
          <w:numId w:val="1"/>
        </w:numPr>
        <w:tabs>
          <w:tab w:val="left" w:pos="1181"/>
        </w:tabs>
        <w:ind w:left="1181"/>
        <w:rPr>
          <w:b/>
          <w:sz w:val="24"/>
        </w:rPr>
      </w:pPr>
      <w:r>
        <w:rPr>
          <w:b/>
          <w:spacing w:val="-4"/>
          <w:sz w:val="24"/>
        </w:rPr>
        <w:t>ANTECEDENTES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GENERALES:</w:t>
      </w:r>
    </w:p>
    <w:p w:rsidR="00B442BB" w:rsidRDefault="00B442BB">
      <w:pPr>
        <w:pStyle w:val="Textoindependiente"/>
        <w:spacing w:before="11"/>
        <w:rPr>
          <w:b/>
          <w:sz w:val="27"/>
        </w:rPr>
      </w:pPr>
    </w:p>
    <w:p w:rsidR="00B442BB" w:rsidRDefault="00466B8A">
      <w:pPr>
        <w:pStyle w:val="Textoindependiente"/>
        <w:spacing w:line="276" w:lineRule="auto"/>
        <w:ind w:left="102" w:right="118"/>
        <w:jc w:val="both"/>
      </w:pP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últimas</w:t>
      </w:r>
      <w:r>
        <w:rPr>
          <w:spacing w:val="-14"/>
        </w:rPr>
        <w:t xml:space="preserve"> </w:t>
      </w:r>
      <w:r>
        <w:t>semanas,</w:t>
      </w:r>
      <w:r>
        <w:rPr>
          <w:spacing w:val="-15"/>
        </w:rPr>
        <w:t xml:space="preserve"> </w:t>
      </w:r>
      <w:r>
        <w:t>hemos</w:t>
      </w:r>
      <w:r>
        <w:rPr>
          <w:spacing w:val="-14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testigos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diversos</w:t>
      </w:r>
      <w:r>
        <w:rPr>
          <w:spacing w:val="-14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vinculado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figuras políticas, instituciones públicas y transferencias de fondos a fundaciones privadas en las regiones de Antofagasta y el Maule. A medida que avanzan los días, se ha evidenciado que esta práctica no es un hecho aislado, sino que lamentablemente parec</w:t>
      </w:r>
      <w:r>
        <w:t>e haberse normalizado. Es muy probable que sigan surgiendo casos a medida que se respondan a los requerimientos y se lleven a cabo las investigaciones correspondientes.</w:t>
      </w:r>
    </w:p>
    <w:p w:rsidR="00B442BB" w:rsidRDefault="00B442BB">
      <w:pPr>
        <w:pStyle w:val="Textoindependiente"/>
        <w:spacing w:before="2"/>
      </w:pPr>
    </w:p>
    <w:p w:rsidR="00B442BB" w:rsidRDefault="00466B8A">
      <w:pPr>
        <w:pStyle w:val="Textoindependiente"/>
        <w:spacing w:line="276" w:lineRule="auto"/>
        <w:ind w:left="102" w:right="119"/>
        <w:jc w:val="both"/>
      </w:pPr>
      <w:r>
        <w:t>Las</w:t>
      </w:r>
      <w:r>
        <w:rPr>
          <w:spacing w:val="-4"/>
        </w:rPr>
        <w:t xml:space="preserve"> </w:t>
      </w:r>
      <w:r>
        <w:t>polémicas</w:t>
      </w:r>
      <w:r>
        <w:rPr>
          <w:spacing w:val="-11"/>
        </w:rPr>
        <w:t xml:space="preserve"> </w:t>
      </w:r>
      <w:r>
        <w:t>donaciones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fundación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dirigentes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Revolución</w:t>
      </w:r>
      <w:r>
        <w:rPr>
          <w:spacing w:val="-12"/>
        </w:rPr>
        <w:t xml:space="preserve"> </w:t>
      </w:r>
      <w:r>
        <w:t>Democrática</w:t>
      </w:r>
      <w:r>
        <w:rPr>
          <w:spacing w:val="-12"/>
        </w:rPr>
        <w:t xml:space="preserve"> </w:t>
      </w:r>
      <w:r>
        <w:t xml:space="preserve">(RD), </w:t>
      </w:r>
      <w:r>
        <w:rPr>
          <w:b/>
        </w:rPr>
        <w:t>Democracia</w:t>
      </w:r>
      <w:r>
        <w:rPr>
          <w:b/>
          <w:spacing w:val="-8"/>
        </w:rPr>
        <w:t xml:space="preserve"> </w:t>
      </w:r>
      <w:r>
        <w:rPr>
          <w:b/>
        </w:rPr>
        <w:t>Viva</w:t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$426</w:t>
      </w:r>
      <w:r>
        <w:rPr>
          <w:spacing w:val="-3"/>
        </w:rPr>
        <w:t xml:space="preserve"> </w:t>
      </w:r>
      <w:r>
        <w:t>millones,</w:t>
      </w:r>
      <w:r>
        <w:rPr>
          <w:spacing w:val="-3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seguidilla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controvertidos traspasos de fondos desde la Seremi de Vivienda (Serviu) de Antofagasta. Este último órgano público fue liderado en esa época por Carlos Contreras (RD), quien comenzó a </w:t>
      </w:r>
      <w:r>
        <w:t>decretar los convenios entre octubre y diciembre de 2022</w:t>
      </w:r>
      <w:r>
        <w:rPr>
          <w:vertAlign w:val="superscript"/>
        </w:rPr>
        <w:t>1</w:t>
      </w:r>
      <w:r>
        <w:t>.</w:t>
      </w:r>
    </w:p>
    <w:p w:rsidR="00B442BB" w:rsidRDefault="00466B8A">
      <w:pPr>
        <w:pStyle w:val="Textoindependiente"/>
        <w:spacing w:before="161" w:line="276" w:lineRule="auto"/>
        <w:ind w:left="102" w:right="115"/>
        <w:jc w:val="both"/>
      </w:pPr>
      <w:r>
        <w:t>Apenas unos días después de conocer el caso de Democracia Viva, se desclasificó otro caso que vincula a la SEREMI de Vivienda y Urbanismo del Maule y a otra fundación ligada a RD, denominada Urbani</w:t>
      </w:r>
      <w:r>
        <w:t>smo Social. En esta ONG estuvo por seis años y siete meses, según su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Linkedin</w:t>
        </w:r>
      </w:hyperlink>
      <w:r>
        <w:t>, Rodrigo Hernández, también militante de Revolución Democrática y actual seremi de Vivienda en el Maule. Hernández sali</w:t>
      </w:r>
      <w:r>
        <w:t>ó de Urbanismo Social en abril de 2022 y los traspasos se hicieron ese mismo año</w:t>
      </w:r>
      <w:r>
        <w:rPr>
          <w:vertAlign w:val="superscript"/>
        </w:rPr>
        <w:t>2</w:t>
      </w:r>
      <w:r>
        <w:t>.</w:t>
      </w:r>
    </w:p>
    <w:p w:rsidR="00B442BB" w:rsidRDefault="00B442BB">
      <w:pPr>
        <w:pStyle w:val="Textoindependiente"/>
        <w:spacing w:before="3"/>
      </w:pPr>
    </w:p>
    <w:p w:rsidR="00B442BB" w:rsidRDefault="00466B8A">
      <w:pPr>
        <w:spacing w:before="1" w:line="276" w:lineRule="auto"/>
        <w:ind w:left="102" w:right="120"/>
        <w:jc w:val="both"/>
        <w:rPr>
          <w:b/>
          <w:sz w:val="24"/>
        </w:rPr>
      </w:pPr>
      <w:r>
        <w:rPr>
          <w:sz w:val="24"/>
        </w:rPr>
        <w:t>La Fiscalía comenzó a reunir antecedentes, pues había indicios de irregularidades, principalmente, por el nexo entre Hernández, Urbanismo Social y su rol como seremi, entre</w:t>
      </w:r>
      <w:r>
        <w:rPr>
          <w:sz w:val="24"/>
        </w:rPr>
        <w:t xml:space="preserve"> ellos, una publicación del medio Ex-Ante, en que retrató que entre octubre y diciembre de 2022 la S</w:t>
      </w:r>
      <w:r>
        <w:rPr>
          <w:b/>
          <w:sz w:val="24"/>
        </w:rPr>
        <w:t>eremi de Vivienda de Antofagasta realizó ocho donaciones a Urbanismo Social, por un total de $ 577 millones</w:t>
      </w:r>
      <w:r>
        <w:rPr>
          <w:b/>
          <w:position w:val="8"/>
          <w:sz w:val="16"/>
        </w:rPr>
        <w:t>3</w:t>
      </w:r>
      <w:r>
        <w:rPr>
          <w:b/>
          <w:sz w:val="24"/>
        </w:rPr>
        <w:t>.</w:t>
      </w:r>
    </w:p>
    <w:p w:rsidR="00B442BB" w:rsidRDefault="00B442BB">
      <w:pPr>
        <w:pStyle w:val="Textoindependiente"/>
        <w:spacing w:before="11"/>
        <w:rPr>
          <w:b/>
          <w:sz w:val="23"/>
        </w:rPr>
      </w:pPr>
    </w:p>
    <w:p w:rsidR="00B442BB" w:rsidRDefault="00466B8A">
      <w:pPr>
        <w:pStyle w:val="Textoindependiente"/>
        <w:spacing w:line="276" w:lineRule="auto"/>
        <w:ind w:left="102" w:right="117"/>
        <w:jc w:val="both"/>
      </w:pPr>
      <w:r>
        <w:t>Sin</w:t>
      </w:r>
      <w:r>
        <w:rPr>
          <w:spacing w:val="-4"/>
        </w:rPr>
        <w:t xml:space="preserve"> </w:t>
      </w:r>
      <w:r>
        <w:t>embargo,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propia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Revolución</w:t>
      </w:r>
      <w:r>
        <w:rPr>
          <w:spacing w:val="-4"/>
        </w:rPr>
        <w:t xml:space="preserve"> </w:t>
      </w:r>
      <w:r>
        <w:t>Democrática,</w:t>
      </w:r>
      <w:r>
        <w:rPr>
          <w:spacing w:val="-4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parece ser un mecanismo utilizado de manera transversal por la clase política. Luego de oficiar a</w:t>
      </w:r>
      <w:r>
        <w:rPr>
          <w:spacing w:val="-15"/>
        </w:rPr>
        <w:t xml:space="preserve"> </w:t>
      </w:r>
      <w:r>
        <w:t>distintas</w:t>
      </w:r>
      <w:r>
        <w:rPr>
          <w:spacing w:val="-15"/>
        </w:rPr>
        <w:t xml:space="preserve"> </w:t>
      </w:r>
      <w:r>
        <w:t>instituciones</w:t>
      </w:r>
      <w:r>
        <w:rPr>
          <w:spacing w:val="-15"/>
        </w:rPr>
        <w:t xml:space="preserve"> </w:t>
      </w:r>
      <w:r>
        <w:t>públicas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contexto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recién</w:t>
      </w:r>
      <w:r>
        <w:rPr>
          <w:spacing w:val="-15"/>
        </w:rPr>
        <w:t xml:space="preserve"> </w:t>
      </w:r>
      <w:r>
        <w:t>citados,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hizo</w:t>
      </w:r>
      <w:r>
        <w:rPr>
          <w:spacing w:val="-15"/>
        </w:rPr>
        <w:t xml:space="preserve"> </w:t>
      </w:r>
      <w:r>
        <w:t>público que</w:t>
      </w:r>
      <w:r>
        <w:rPr>
          <w:spacing w:val="63"/>
          <w:w w:val="150"/>
        </w:rPr>
        <w:t xml:space="preserve"> </w:t>
      </w:r>
      <w:r>
        <w:t>durante</w:t>
      </w:r>
      <w:r>
        <w:rPr>
          <w:spacing w:val="63"/>
          <w:w w:val="150"/>
        </w:rPr>
        <w:t xml:space="preserve"> </w:t>
      </w:r>
      <w:r>
        <w:t>la</w:t>
      </w:r>
      <w:r>
        <w:rPr>
          <w:spacing w:val="66"/>
          <w:w w:val="150"/>
        </w:rPr>
        <w:t xml:space="preserve"> </w:t>
      </w:r>
      <w:r>
        <w:t>adminis</w:t>
      </w:r>
      <w:r>
        <w:t>tración</w:t>
      </w:r>
      <w:r>
        <w:rPr>
          <w:spacing w:val="66"/>
          <w:w w:val="150"/>
        </w:rPr>
        <w:t xml:space="preserve"> </w:t>
      </w:r>
      <w:r>
        <w:t>del</w:t>
      </w:r>
      <w:r>
        <w:rPr>
          <w:spacing w:val="67"/>
          <w:w w:val="150"/>
        </w:rPr>
        <w:t xml:space="preserve"> </w:t>
      </w:r>
      <w:r>
        <w:t>ex</w:t>
      </w:r>
      <w:r>
        <w:rPr>
          <w:spacing w:val="64"/>
          <w:w w:val="150"/>
        </w:rPr>
        <w:t xml:space="preserve"> </w:t>
      </w:r>
      <w:r>
        <w:t>Presidente</w:t>
      </w:r>
      <w:r>
        <w:rPr>
          <w:spacing w:val="68"/>
          <w:w w:val="150"/>
        </w:rPr>
        <w:t xml:space="preserve"> </w:t>
      </w:r>
      <w:r>
        <w:t>Sebastián</w:t>
      </w:r>
      <w:r>
        <w:rPr>
          <w:spacing w:val="65"/>
          <w:w w:val="150"/>
        </w:rPr>
        <w:t xml:space="preserve"> </w:t>
      </w:r>
      <w:r>
        <w:t>Piñera,</w:t>
      </w:r>
      <w:r>
        <w:rPr>
          <w:spacing w:val="65"/>
          <w:w w:val="150"/>
        </w:rPr>
        <w:t xml:space="preserve"> </w:t>
      </w:r>
      <w:r>
        <w:t>se</w:t>
      </w:r>
      <w:r>
        <w:rPr>
          <w:spacing w:val="64"/>
          <w:w w:val="150"/>
        </w:rPr>
        <w:t xml:space="preserve"> </w:t>
      </w:r>
      <w:r>
        <w:rPr>
          <w:spacing w:val="-2"/>
        </w:rPr>
        <w:t>realizaron</w:t>
      </w:r>
    </w:p>
    <w:p w:rsidR="00B442BB" w:rsidRDefault="00466B8A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203312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A882E" id="Graphic 2" o:spid="_x0000_s1026" style="position:absolute;margin-left:85.1pt;margin-top:16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BBSgQn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442BB" w:rsidRDefault="00466B8A">
      <w:pPr>
        <w:spacing w:before="102"/>
        <w:ind w:left="102" w:right="735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https:/</w:t>
      </w:r>
      <w:hyperlink r:id="rId7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8">
        <w:r>
          <w:rPr>
            <w:rFonts w:ascii="Calibri"/>
            <w:spacing w:val="-2"/>
            <w:sz w:val="20"/>
          </w:rPr>
          <w:t>w.t13.cl/noticia/politica/e</w:t>
        </w:r>
        <w:r>
          <w:rPr>
            <w:rFonts w:ascii="Calibri"/>
            <w:spacing w:val="-2"/>
            <w:sz w:val="20"/>
          </w:rPr>
          <w:t>x-ante/caso-antofagasta-las-platas-fundacion-vinculada-rd-</w:t>
        </w:r>
      </w:hyperlink>
      <w:r>
        <w:rPr>
          <w:rFonts w:ascii="Calibri"/>
          <w:spacing w:val="-2"/>
          <w:sz w:val="20"/>
        </w:rPr>
        <w:t xml:space="preserve"> salpican-ahora-al-maule-22-6-2023</w:t>
      </w:r>
    </w:p>
    <w:p w:rsidR="00B442BB" w:rsidRDefault="00466B8A">
      <w:pPr>
        <w:spacing w:line="243" w:lineRule="exact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4"/>
          <w:sz w:val="20"/>
        </w:rPr>
        <w:t>ibid</w:t>
      </w:r>
    </w:p>
    <w:p w:rsidR="00B442BB" w:rsidRDefault="00466B8A">
      <w:pPr>
        <w:spacing w:before="1"/>
        <w:ind w:left="102" w:right="25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https:/</w:t>
      </w:r>
      <w:hyperlink r:id="rId9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0">
        <w:r>
          <w:rPr>
            <w:rFonts w:ascii="Calibri"/>
            <w:sz w:val="20"/>
          </w:rPr>
          <w:t>w.latercera.com/earlyaccess/noticia/otro-seremi-rd-en-la-mira-fiscalia-del-maule-abre-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investigacion-penal-por-millonarios-traspasos-a-urbanismo-social/UPMQO6B42ZBSDBO2GG</w:t>
      </w:r>
      <w:r>
        <w:rPr>
          <w:rFonts w:ascii="Calibri"/>
          <w:spacing w:val="-2"/>
          <w:sz w:val="20"/>
        </w:rPr>
        <w:t>IPVYSBVQ/</w:t>
      </w:r>
    </w:p>
    <w:p w:rsidR="00B442BB" w:rsidRDefault="00B442BB">
      <w:pPr>
        <w:rPr>
          <w:rFonts w:ascii="Calibri"/>
          <w:sz w:val="20"/>
        </w:rPr>
        <w:sectPr w:rsidR="00B442BB">
          <w:type w:val="continuous"/>
          <w:pgSz w:w="11910" w:h="16840"/>
          <w:pgMar w:top="700" w:right="1580" w:bottom="280" w:left="1600" w:header="720" w:footer="720" w:gutter="0"/>
          <w:cols w:space="720"/>
        </w:sectPr>
      </w:pPr>
    </w:p>
    <w:p w:rsidR="00B442BB" w:rsidRDefault="00466B8A">
      <w:pPr>
        <w:pStyle w:val="Textoindependiente"/>
        <w:spacing w:before="77" w:line="278" w:lineRule="auto"/>
        <w:ind w:left="102" w:right="117"/>
        <w:jc w:val="both"/>
      </w:pPr>
      <w:r>
        <w:lastRenderedPageBreak/>
        <w:t>transferencias de fondos públicos por más de 1.000 millones de pesos a una fundación ligada a su sector político.</w:t>
      </w:r>
    </w:p>
    <w:p w:rsidR="00B442BB" w:rsidRDefault="00B442BB">
      <w:pPr>
        <w:pStyle w:val="Textoindependiente"/>
      </w:pPr>
    </w:p>
    <w:p w:rsidR="00B442BB" w:rsidRDefault="00466B8A">
      <w:pPr>
        <w:pStyle w:val="Textoindependiente"/>
        <w:spacing w:line="276" w:lineRule="auto"/>
        <w:ind w:left="102" w:right="120"/>
        <w:jc w:val="both"/>
      </w:pPr>
      <w:r>
        <w:t xml:space="preserve">“Se trata de </w:t>
      </w:r>
      <w:r>
        <w:rPr>
          <w:b/>
        </w:rPr>
        <w:t>Paz Ciudadana</w:t>
      </w:r>
      <w:r>
        <w:t>, organización cuya misión es, según señala, “producir, adaptar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probar</w:t>
      </w:r>
      <w:r>
        <w:rPr>
          <w:spacing w:val="-10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inno</w:t>
      </w:r>
      <w:r>
        <w:t>vadoras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contribuyan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desarrollar</w:t>
      </w:r>
      <w:r>
        <w:rPr>
          <w:spacing w:val="-10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públicas eficaces en materia de reducción del delito”.</w:t>
      </w:r>
    </w:p>
    <w:p w:rsidR="00B442BB" w:rsidRDefault="00B442BB">
      <w:pPr>
        <w:pStyle w:val="Textoindependiente"/>
        <w:spacing w:before="3"/>
      </w:pPr>
    </w:p>
    <w:p w:rsidR="00B442BB" w:rsidRDefault="00466B8A">
      <w:pPr>
        <w:spacing w:before="1" w:line="276" w:lineRule="auto"/>
        <w:ind w:left="102" w:right="116"/>
        <w:jc w:val="both"/>
        <w:rPr>
          <w:sz w:val="24"/>
        </w:rPr>
      </w:pPr>
      <w:r>
        <w:rPr>
          <w:sz w:val="24"/>
        </w:rPr>
        <w:t>A través de 11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transferencias distintas, </w:t>
      </w:r>
      <w:r>
        <w:rPr>
          <w:sz w:val="24"/>
        </w:rPr>
        <w:t xml:space="preserve">seis en 2020 y cinco en 2021, la fundación presidida por Agustín Edwards del Río recibió </w:t>
      </w:r>
      <w:r>
        <w:rPr>
          <w:b/>
          <w:sz w:val="24"/>
        </w:rPr>
        <w:t xml:space="preserve">$1.050.000.000 </w:t>
      </w:r>
      <w:r>
        <w:rPr>
          <w:sz w:val="24"/>
        </w:rPr>
        <w:t>desde e</w:t>
      </w:r>
      <w:r>
        <w:rPr>
          <w:sz w:val="24"/>
        </w:rPr>
        <w:t xml:space="preserve">l </w:t>
      </w:r>
      <w:r>
        <w:rPr>
          <w:b/>
          <w:sz w:val="24"/>
        </w:rPr>
        <w:t xml:space="preserve">Ministerio de Educación, </w:t>
      </w:r>
      <w:r>
        <w:rPr>
          <w:sz w:val="24"/>
        </w:rPr>
        <w:t>liderado en ese entonces por Raúl Figueroa.</w:t>
      </w:r>
    </w:p>
    <w:p w:rsidR="00B442BB" w:rsidRDefault="00B442BB">
      <w:pPr>
        <w:pStyle w:val="Textoindependiente"/>
        <w:spacing w:before="2"/>
      </w:pPr>
    </w:p>
    <w:p w:rsidR="00B442BB" w:rsidRDefault="00466B8A">
      <w:pPr>
        <w:pStyle w:val="Textoindependiente"/>
        <w:spacing w:before="1" w:line="276" w:lineRule="auto"/>
        <w:ind w:left="102" w:right="117"/>
        <w:jc w:val="both"/>
      </w:pPr>
      <w:r>
        <w:t xml:space="preserve">La organización que vela por la seguridad, obtuvo este dinero con un objetivo de </w:t>
      </w:r>
      <w:r>
        <w:rPr>
          <w:b/>
        </w:rPr>
        <w:t xml:space="preserve">“transversalidad educativa”, </w:t>
      </w:r>
      <w:r>
        <w:t>de acuerdo con la base de datos del Registro Central de Colaboradores del Estado y Municipalidades”</w:t>
      </w:r>
      <w:r>
        <w:rPr>
          <w:vertAlign w:val="superscript"/>
        </w:rPr>
        <w:t>4</w:t>
      </w:r>
      <w:r>
        <w:t>.</w:t>
      </w:r>
    </w:p>
    <w:p w:rsidR="00B442BB" w:rsidRDefault="00B442BB">
      <w:pPr>
        <w:pStyle w:val="Textoindependiente"/>
        <w:spacing w:before="6"/>
      </w:pPr>
    </w:p>
    <w:p w:rsidR="00B442BB" w:rsidRDefault="00466B8A">
      <w:pPr>
        <w:pStyle w:val="Textoindependiente"/>
        <w:spacing w:line="276" w:lineRule="auto"/>
        <w:ind w:left="102" w:right="115"/>
        <w:jc w:val="both"/>
      </w:pPr>
      <w:r>
        <w:t>En resumen, hemos constatado que los delitos de corrupción no son exclusivos de los funcionarios públicos, ya que ahora vemos que también involucran a ac</w:t>
      </w:r>
      <w:r>
        <w:t>tores del ámbito privado. Sin embargo, es importante señalar que los delitos contra la probidad administrativa sancionan únicamente a los funcionarios públicos en el ejercicio de sus funciones, mientras que los coautores privados que coluden con ellos reci</w:t>
      </w:r>
      <w:r>
        <w:t xml:space="preserve">ben sanciones diferentes y menos graves debido a su falta de investidura pública. Esta diferencia nos parece irracional, ya que es precisamente donde existe un interés privado en desviar fondos públicos donde encontramos la motivación para la comisión del </w:t>
      </w:r>
      <w:r>
        <w:t>delito de corrupción.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funcionario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llevar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cabo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delito,</w:t>
      </w:r>
      <w:r>
        <w:rPr>
          <w:spacing w:val="-10"/>
        </w:rPr>
        <w:t xml:space="preserve"> </w:t>
      </w:r>
      <w:r>
        <w:t>mientras</w:t>
      </w:r>
      <w:r>
        <w:rPr>
          <w:spacing w:val="-12"/>
        </w:rPr>
        <w:t xml:space="preserve"> </w:t>
      </w:r>
      <w:r>
        <w:t>que el beneficiario principal es el actor privado, quien no debería recibir una sanción menos severa por no pertenecer al ámbito público.</w:t>
      </w:r>
    </w:p>
    <w:p w:rsidR="00B442BB" w:rsidRDefault="00B442BB">
      <w:pPr>
        <w:pStyle w:val="Textoindependiente"/>
        <w:rPr>
          <w:sz w:val="26"/>
        </w:rPr>
      </w:pPr>
    </w:p>
    <w:p w:rsidR="00B442BB" w:rsidRDefault="00B442BB">
      <w:pPr>
        <w:pStyle w:val="Textoindependiente"/>
        <w:rPr>
          <w:sz w:val="26"/>
        </w:rPr>
      </w:pPr>
    </w:p>
    <w:p w:rsidR="00B442BB" w:rsidRDefault="00466B8A">
      <w:pPr>
        <w:pStyle w:val="Ttulo1"/>
        <w:numPr>
          <w:ilvl w:val="0"/>
          <w:numId w:val="1"/>
        </w:numPr>
        <w:tabs>
          <w:tab w:val="left" w:pos="1181"/>
        </w:tabs>
        <w:spacing w:before="159"/>
        <w:ind w:left="1181"/>
      </w:pPr>
      <w:r>
        <w:rPr>
          <w:spacing w:val="-2"/>
        </w:rPr>
        <w:t>FUNDAMENTOS:</w:t>
      </w:r>
    </w:p>
    <w:p w:rsidR="00B442BB" w:rsidRDefault="00B442BB">
      <w:pPr>
        <w:pStyle w:val="Textoindependiente"/>
        <w:rPr>
          <w:b/>
          <w:sz w:val="28"/>
        </w:rPr>
      </w:pPr>
    </w:p>
    <w:p w:rsidR="00B442BB" w:rsidRDefault="00466B8A">
      <w:pPr>
        <w:pStyle w:val="Textoindependiente"/>
        <w:spacing w:line="276" w:lineRule="auto"/>
        <w:ind w:left="102" w:right="119"/>
        <w:jc w:val="both"/>
      </w:pPr>
      <w:r>
        <w:t>En n</w:t>
      </w:r>
      <w:r>
        <w:t>uestro país, no existe una definición legal de delitos funcionarios, pero existe consenso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requieren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activo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funcionario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y 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protegido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probidad</w:t>
      </w:r>
      <w:r>
        <w:rPr>
          <w:spacing w:val="-2"/>
        </w:rPr>
        <w:t xml:space="preserve"> </w:t>
      </w:r>
      <w:r>
        <w:t>administrativa.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probidad</w:t>
      </w:r>
      <w:r>
        <w:rPr>
          <w:spacing w:val="-3"/>
        </w:rPr>
        <w:t xml:space="preserve"> </w:t>
      </w:r>
      <w:r>
        <w:t>administrativa se entiende como la correcta administración del Estado a través de sus agentes, es decir, los empleados públicos. Estos delitos pueden cometerse tanto en la Administración del Estado, en sus organismos centralizados o descentralizados, entid</w:t>
      </w:r>
      <w:r>
        <w:t>ades autónomas, municipalidades o gobiernos regionales.</w:t>
      </w:r>
    </w:p>
    <w:p w:rsidR="00B442BB" w:rsidRDefault="00B442BB">
      <w:pPr>
        <w:pStyle w:val="Textoindependiente"/>
        <w:spacing w:before="3"/>
      </w:pPr>
    </w:p>
    <w:p w:rsidR="00B442BB" w:rsidRDefault="00466B8A">
      <w:pPr>
        <w:spacing w:before="1" w:line="276" w:lineRule="auto"/>
        <w:ind w:left="102" w:right="117"/>
        <w:jc w:val="both"/>
        <w:rPr>
          <w:i/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Código</w:t>
      </w:r>
      <w:r>
        <w:rPr>
          <w:spacing w:val="-14"/>
          <w:sz w:val="24"/>
        </w:rPr>
        <w:t xml:space="preserve"> </w:t>
      </w:r>
      <w:r>
        <w:rPr>
          <w:sz w:val="24"/>
        </w:rPr>
        <w:t>Penal</w:t>
      </w:r>
      <w:r>
        <w:rPr>
          <w:spacing w:val="-11"/>
          <w:sz w:val="24"/>
        </w:rPr>
        <w:t xml:space="preserve"> </w:t>
      </w:r>
      <w:r>
        <w:rPr>
          <w:sz w:val="24"/>
        </w:rPr>
        <w:t>utiliza</w:t>
      </w:r>
      <w:r>
        <w:rPr>
          <w:spacing w:val="-13"/>
          <w:sz w:val="24"/>
        </w:rPr>
        <w:t xml:space="preserve"> </w:t>
      </w:r>
      <w:r>
        <w:rPr>
          <w:sz w:val="24"/>
        </w:rPr>
        <w:t>indistintamente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términos</w:t>
      </w:r>
      <w:r>
        <w:rPr>
          <w:spacing w:val="-11"/>
          <w:sz w:val="24"/>
        </w:rPr>
        <w:t xml:space="preserve"> </w:t>
      </w:r>
      <w:r>
        <w:rPr>
          <w:sz w:val="24"/>
        </w:rPr>
        <w:t>"funcionario"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"empleado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público", definiéndolos en el artículo 260 de la siguiente manera: “… </w:t>
      </w:r>
      <w:r>
        <w:rPr>
          <w:i/>
          <w:sz w:val="24"/>
        </w:rPr>
        <w:t xml:space="preserve">se reputa empleado todo el que desempeñe un cargo </w:t>
      </w:r>
      <w:r>
        <w:rPr>
          <w:i/>
          <w:sz w:val="24"/>
        </w:rPr>
        <w:t>o función pública, sea en la administración central o en instituciones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empresas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semifiscales,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municipales,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autónomas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organismos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creados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por</w:t>
      </w:r>
    </w:p>
    <w:p w:rsidR="00B442BB" w:rsidRDefault="00466B8A">
      <w:pPr>
        <w:pStyle w:val="Textoindependiente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110229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A933" id="Graphic 3" o:spid="_x0000_s1026" style="position:absolute;margin-left:85.1pt;margin-top:8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CRJOgH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442BB" w:rsidRDefault="00466B8A">
      <w:pPr>
        <w:spacing w:before="102"/>
        <w:ind w:left="102" w:right="164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https:/</w:t>
      </w:r>
      <w:hyperlink r:id="rId11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12">
        <w:r>
          <w:rPr>
            <w:rFonts w:ascii="Calibri"/>
            <w:spacing w:val="-2"/>
            <w:sz w:val="20"/>
          </w:rPr>
          <w:t>w.eldesconcierto.cl/nac</w:t>
        </w:r>
        <w:r>
          <w:rPr>
            <w:rFonts w:ascii="Calibri"/>
            <w:spacing w:val="-2"/>
            <w:sz w:val="20"/>
          </w:rPr>
          <w:t>ional/2023/06/29/fundacion-paz-ciudadana-recibio-1-050-millones-</w:t>
        </w:r>
      </w:hyperlink>
      <w:r>
        <w:rPr>
          <w:rFonts w:ascii="Calibri"/>
          <w:spacing w:val="-2"/>
          <w:sz w:val="20"/>
        </w:rPr>
        <w:t xml:space="preserve"> durante-el-gobierno-de-pinera-via-mineduc.html</w:t>
      </w:r>
    </w:p>
    <w:p w:rsidR="00B442BB" w:rsidRDefault="00B442BB">
      <w:pPr>
        <w:rPr>
          <w:rFonts w:ascii="Calibri"/>
          <w:sz w:val="20"/>
        </w:rPr>
        <w:sectPr w:rsidR="00B442BB">
          <w:pgSz w:w="11910" w:h="16840"/>
          <w:pgMar w:top="1320" w:right="1580" w:bottom="280" w:left="1600" w:header="720" w:footer="720" w:gutter="0"/>
          <w:cols w:space="720"/>
        </w:sectPr>
      </w:pPr>
    </w:p>
    <w:p w:rsidR="00B442BB" w:rsidRDefault="00466B8A">
      <w:pPr>
        <w:spacing w:before="77" w:line="276" w:lineRule="auto"/>
        <w:ind w:left="102" w:right="121"/>
        <w:jc w:val="both"/>
        <w:rPr>
          <w:sz w:val="24"/>
        </w:rPr>
      </w:pPr>
      <w:r>
        <w:rPr>
          <w:i/>
          <w:sz w:val="24"/>
        </w:rPr>
        <w:lastRenderedPageBreak/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dependientes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él,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aunque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nombramiento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Jefe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República ni reciban sueldo del Estado. No obstará </w:t>
      </w:r>
      <w:r>
        <w:rPr>
          <w:i/>
          <w:sz w:val="24"/>
        </w:rPr>
        <w:t>a esta calificación el que el cargo sea de elección popular</w:t>
      </w:r>
      <w:r>
        <w:rPr>
          <w:sz w:val="24"/>
        </w:rPr>
        <w:t>”.</w:t>
      </w:r>
    </w:p>
    <w:p w:rsidR="00B442BB" w:rsidRDefault="00B442BB">
      <w:pPr>
        <w:pStyle w:val="Textoindependiente"/>
        <w:spacing w:before="5"/>
      </w:pPr>
    </w:p>
    <w:p w:rsidR="00B442BB" w:rsidRDefault="00466B8A">
      <w:pPr>
        <w:pStyle w:val="Textoindependiente"/>
        <w:spacing w:line="276" w:lineRule="auto"/>
        <w:ind w:left="102" w:right="121"/>
        <w:jc w:val="both"/>
      </w:pPr>
      <w:r>
        <w:t>Este concepto abarca a aquellos que trabajan en los órganos del Estado descritos y regulados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mencionados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inciso 2° del artículo 1° de la Ley N° 18.575, que establece las Bases Generales de la Administración del Estado, y en las entidades reguladas por estatutos especiales. Esto incluye a gerentes, directores, administradores y funcionarios de empresas públ</w:t>
      </w:r>
      <w:r>
        <w:t>icas creadas por ley, así como a las corporaciones municipales encargadas de funciones educativas y de salud en el ámbito municipal, siempre que no exista una disposición expresa que los excluya de esta denominación o normas especiales de responsabilidad (</w:t>
      </w:r>
      <w:r>
        <w:t>Min. Segpres, 2016:5).</w:t>
      </w:r>
    </w:p>
    <w:p w:rsidR="00B442BB" w:rsidRDefault="00B442BB">
      <w:pPr>
        <w:pStyle w:val="Textoindependiente"/>
        <w:spacing w:before="5"/>
      </w:pPr>
    </w:p>
    <w:p w:rsidR="00B442BB" w:rsidRDefault="00466B8A">
      <w:pPr>
        <w:pStyle w:val="Textoindependiente"/>
        <w:spacing w:line="276" w:lineRule="auto"/>
        <w:ind w:left="102" w:right="117"/>
        <w:jc w:val="both"/>
      </w:pPr>
      <w:r>
        <w:t>Todos los delitos funcionarios requieren que el sujeto activo sea un funcionario o empleado público, lo que plantea el problema de la participación de terceros que no ostentan</w:t>
      </w:r>
      <w:r>
        <w:rPr>
          <w:spacing w:val="-3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calidad.</w:t>
      </w:r>
      <w:r>
        <w:rPr>
          <w:spacing w:val="-3"/>
        </w:rPr>
        <w:t xml:space="preserve"> </w:t>
      </w:r>
      <w:r>
        <w:t>En este</w:t>
      </w:r>
      <w:r>
        <w:rPr>
          <w:spacing w:val="-3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tercero</w:t>
      </w:r>
      <w:r>
        <w:t>s,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funcionarios públicos,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sancionados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fueran.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opinión</w:t>
      </w:r>
      <w:r>
        <w:rPr>
          <w:spacing w:val="-3"/>
        </w:rPr>
        <w:t xml:space="preserve"> </w:t>
      </w:r>
      <w:r>
        <w:t>mayoritaria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doctrina y nuestros tribunales de justicia es que no es posible atribuir la calidad de funcionario a un cómplice que no lo es. Por lo tanto, si un de</w:t>
      </w:r>
      <w:r>
        <w:t>lito que afecta la función administrativa involucra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particular,</w:t>
      </w:r>
      <w:r>
        <w:rPr>
          <w:spacing w:val="-8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sancionado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delito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cometido sin</w:t>
      </w:r>
      <w:r>
        <w:rPr>
          <w:spacing w:val="-8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condición,</w:t>
      </w:r>
      <w:r>
        <w:rPr>
          <w:spacing w:val="-8"/>
        </w:rPr>
        <w:t xml:space="preserve"> </w:t>
      </w:r>
      <w:r>
        <w:t>como,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ejemplo,</w:t>
      </w:r>
      <w:r>
        <w:rPr>
          <w:spacing w:val="-8"/>
        </w:rPr>
        <w:t xml:space="preserve"> </w:t>
      </w:r>
      <w:r>
        <w:t>estafa,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aplicar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determinada</w:t>
      </w:r>
      <w:r>
        <w:rPr>
          <w:spacing w:val="-9"/>
        </w:rPr>
        <w:t xml:space="preserve"> </w:t>
      </w:r>
      <w:r>
        <w:t>por la ley para ese delito.</w:t>
      </w:r>
    </w:p>
    <w:p w:rsidR="00B442BB" w:rsidRDefault="00B442BB">
      <w:pPr>
        <w:pStyle w:val="Textoindependiente"/>
        <w:spacing w:before="3"/>
      </w:pPr>
    </w:p>
    <w:p w:rsidR="00B442BB" w:rsidRDefault="00466B8A">
      <w:pPr>
        <w:pStyle w:val="Textoindependiente"/>
        <w:spacing w:line="276" w:lineRule="auto"/>
        <w:ind w:left="102" w:right="119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sancionar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justa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equitativa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al funcionario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comete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funcionario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actor</w:t>
      </w:r>
      <w:r>
        <w:rPr>
          <w:spacing w:val="-9"/>
        </w:rPr>
        <w:t xml:space="preserve"> </w:t>
      </w:r>
      <w:r>
        <w:t>privado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colude y conspira con el funcionario para defraudar al</w:t>
      </w:r>
      <w:r>
        <w:t xml:space="preserve"> Estado y se beneficia de ello.</w:t>
      </w:r>
    </w:p>
    <w:p w:rsidR="00B442BB" w:rsidRDefault="00B442BB">
      <w:pPr>
        <w:pStyle w:val="Textoindependiente"/>
        <w:rPr>
          <w:sz w:val="26"/>
        </w:rPr>
      </w:pPr>
    </w:p>
    <w:p w:rsidR="00B442BB" w:rsidRDefault="00B442BB">
      <w:pPr>
        <w:pStyle w:val="Textoindependiente"/>
        <w:rPr>
          <w:sz w:val="26"/>
        </w:rPr>
      </w:pPr>
    </w:p>
    <w:p w:rsidR="00B442BB" w:rsidRDefault="00466B8A">
      <w:pPr>
        <w:pStyle w:val="Ttulo1"/>
        <w:numPr>
          <w:ilvl w:val="0"/>
          <w:numId w:val="1"/>
        </w:numPr>
        <w:tabs>
          <w:tab w:val="left" w:pos="1181"/>
        </w:tabs>
        <w:spacing w:before="161"/>
        <w:ind w:left="1181"/>
      </w:pPr>
      <w:r>
        <w:t>CONTENIDO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spacing w:val="-2"/>
        </w:rPr>
        <w:t>PROYECTO:</w:t>
      </w:r>
    </w:p>
    <w:p w:rsidR="00B442BB" w:rsidRDefault="00B442BB">
      <w:pPr>
        <w:pStyle w:val="Textoindependiente"/>
        <w:spacing w:before="11"/>
        <w:rPr>
          <w:b/>
          <w:sz w:val="27"/>
        </w:rPr>
      </w:pPr>
    </w:p>
    <w:p w:rsidR="00B442BB" w:rsidRDefault="00466B8A">
      <w:pPr>
        <w:pStyle w:val="Textoindependiente"/>
        <w:spacing w:line="276" w:lineRule="auto"/>
        <w:ind w:left="102" w:right="117"/>
        <w:jc w:val="both"/>
      </w:pPr>
      <w:r>
        <w:t>Este proyecto de ley consta de un único artículo que modifica el Código Penal, creando y añadiendo un nuevo artículo 251 octies al Título Quinto del Libro II. Este artículo sanciona la conspiración para defraudar al Estado. El verbo rector del tipo penal e</w:t>
      </w:r>
      <w:r>
        <w:t>s "conspirar", que se define como el “</w:t>
      </w:r>
      <w:r>
        <w:rPr>
          <w:i/>
        </w:rPr>
        <w:t>acuerdo entre dos o más personas para cometer un delito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ejecutarlo</w:t>
      </w:r>
      <w:r>
        <w:t>”.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consuma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de voluntades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cometer cualquiera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delitos indicados, como malversación de fondos, fraude al fisco, negociación incompatible, soborno y cohecho, independientemente de la calidad de funcionario público del o los responsables.</w:t>
      </w:r>
      <w:r>
        <w:rPr>
          <w:spacing w:val="-1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asociada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cometido,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conspiración sanciona</w:t>
      </w:r>
      <w:r>
        <w:rPr>
          <w:spacing w:val="-2"/>
        </w:rPr>
        <w:t xml:space="preserve"> </w:t>
      </w:r>
      <w:r>
        <w:t>a los autores con la pena de presidio mayor en su grado mínimo. En cuanto a la responsabilidad de las personas jurídicas, la norma nos remite a lo dispuesto por la Ley N° 20.393.</w:t>
      </w:r>
    </w:p>
    <w:p w:rsidR="00B442BB" w:rsidRDefault="00B442BB">
      <w:pPr>
        <w:spacing w:line="276" w:lineRule="auto"/>
        <w:jc w:val="both"/>
        <w:sectPr w:rsidR="00B442BB">
          <w:pgSz w:w="11910" w:h="16840"/>
          <w:pgMar w:top="1320" w:right="1580" w:bottom="280" w:left="1600" w:header="720" w:footer="720" w:gutter="0"/>
          <w:cols w:space="720"/>
        </w:sectPr>
      </w:pPr>
    </w:p>
    <w:p w:rsidR="00B442BB" w:rsidRDefault="00466B8A">
      <w:pPr>
        <w:pStyle w:val="Textoindependiente"/>
        <w:spacing w:before="77" w:line="278" w:lineRule="auto"/>
        <w:ind w:left="102" w:firstLine="359"/>
      </w:pP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2"/>
        </w:rPr>
        <w:t>tanto,</w:t>
      </w:r>
      <w:r>
        <w:rPr>
          <w:spacing w:val="-9"/>
        </w:rPr>
        <w:t xml:space="preserve"> </w:t>
      </w:r>
      <w:r>
        <w:rPr>
          <w:spacing w:val="-2"/>
        </w:rPr>
        <w:t>conforme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antecedentes</w:t>
      </w:r>
      <w:r>
        <w:rPr>
          <w:spacing w:val="-9"/>
        </w:rPr>
        <w:t xml:space="preserve"> </w:t>
      </w:r>
      <w:r>
        <w:rPr>
          <w:spacing w:val="-2"/>
        </w:rPr>
        <w:t>generales,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fundamentos</w:t>
      </w:r>
      <w:r>
        <w:rPr>
          <w:spacing w:val="-9"/>
        </w:rPr>
        <w:t xml:space="preserve"> </w:t>
      </w:r>
      <w:r>
        <w:rPr>
          <w:spacing w:val="-2"/>
        </w:rPr>
        <w:t>presentados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 xml:space="preserve">al </w:t>
      </w:r>
      <w:r>
        <w:t>contenido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moción, se propone el siguiente</w:t>
      </w:r>
    </w:p>
    <w:p w:rsidR="00B442BB" w:rsidRDefault="00B442BB">
      <w:pPr>
        <w:pStyle w:val="Textoindependiente"/>
        <w:rPr>
          <w:sz w:val="26"/>
        </w:rPr>
      </w:pPr>
    </w:p>
    <w:p w:rsidR="00B442BB" w:rsidRDefault="00B442BB">
      <w:pPr>
        <w:pStyle w:val="Textoindependiente"/>
        <w:rPr>
          <w:sz w:val="32"/>
        </w:rPr>
      </w:pPr>
    </w:p>
    <w:p w:rsidR="00B442BB" w:rsidRDefault="00466B8A">
      <w:pPr>
        <w:spacing w:before="1"/>
        <w:ind w:left="3376"/>
        <w:rPr>
          <w:b/>
          <w:sz w:val="24"/>
        </w:rPr>
      </w:pPr>
      <w:r>
        <w:rPr>
          <w:b/>
          <w:sz w:val="24"/>
          <w:u w:val="single"/>
        </w:rPr>
        <w:t>P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26"/>
          <w:sz w:val="24"/>
          <w:u w:val="single"/>
        </w:rPr>
        <w:t xml:space="preserve">  </w:t>
      </w:r>
      <w:r>
        <w:rPr>
          <w:b/>
          <w:sz w:val="24"/>
          <w:u w:val="single"/>
        </w:rPr>
        <w:t>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27"/>
          <w:sz w:val="24"/>
          <w:u w:val="single"/>
        </w:rPr>
        <w:t xml:space="preserve">  </w:t>
      </w:r>
      <w:r>
        <w:rPr>
          <w:b/>
          <w:sz w:val="24"/>
          <w:u w:val="single"/>
        </w:rPr>
        <w:t>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Y</w:t>
      </w:r>
    </w:p>
    <w:p w:rsidR="00B442BB" w:rsidRDefault="00B442BB">
      <w:pPr>
        <w:pStyle w:val="Textoindependiente"/>
        <w:rPr>
          <w:b/>
          <w:sz w:val="20"/>
        </w:rPr>
      </w:pPr>
    </w:p>
    <w:p w:rsidR="00B442BB" w:rsidRDefault="00B442BB">
      <w:pPr>
        <w:pStyle w:val="Textoindependiente"/>
        <w:spacing w:before="1"/>
        <w:rPr>
          <w:b/>
          <w:sz w:val="29"/>
        </w:rPr>
      </w:pPr>
    </w:p>
    <w:p w:rsidR="00B442BB" w:rsidRDefault="00466B8A">
      <w:pPr>
        <w:spacing w:before="90"/>
        <w:ind w:left="102"/>
        <w:rPr>
          <w:sz w:val="24"/>
        </w:rPr>
      </w:pPr>
      <w:r>
        <w:rPr>
          <w:spacing w:val="-2"/>
          <w:sz w:val="24"/>
        </w:rPr>
        <w:t>“</w:t>
      </w:r>
      <w:r>
        <w:rPr>
          <w:b/>
          <w:spacing w:val="-2"/>
          <w:sz w:val="24"/>
        </w:rPr>
        <w:t>Artículo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único.-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Modifícase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Código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Penal,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sentido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B442BB" w:rsidRDefault="00B442BB">
      <w:pPr>
        <w:pStyle w:val="Textoindependiente"/>
        <w:rPr>
          <w:sz w:val="26"/>
        </w:rPr>
      </w:pPr>
    </w:p>
    <w:p w:rsidR="00B442BB" w:rsidRDefault="00B442BB">
      <w:pPr>
        <w:pStyle w:val="Textoindependiente"/>
        <w:rPr>
          <w:sz w:val="26"/>
        </w:rPr>
      </w:pPr>
    </w:p>
    <w:p w:rsidR="00B442BB" w:rsidRDefault="00466B8A">
      <w:pPr>
        <w:pStyle w:val="Textoindependiente"/>
        <w:ind w:left="102"/>
      </w:pPr>
      <w:r>
        <w:rPr>
          <w:spacing w:val="-2"/>
        </w:rPr>
        <w:t>Agrégase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nuevo</w:t>
      </w:r>
      <w:r>
        <w:rPr>
          <w:spacing w:val="-10"/>
        </w:rPr>
        <w:t xml:space="preserve"> </w:t>
      </w:r>
      <w:r>
        <w:rPr>
          <w:spacing w:val="-2"/>
        </w:rPr>
        <w:t>artículo</w:t>
      </w:r>
      <w:r>
        <w:rPr>
          <w:spacing w:val="-10"/>
        </w:rPr>
        <w:t xml:space="preserve"> </w:t>
      </w:r>
      <w:r>
        <w:rPr>
          <w:spacing w:val="-2"/>
        </w:rPr>
        <w:t>251</w:t>
      </w:r>
      <w:r>
        <w:rPr>
          <w:spacing w:val="-13"/>
        </w:rPr>
        <w:t xml:space="preserve"> </w:t>
      </w:r>
      <w:r>
        <w:rPr>
          <w:spacing w:val="-2"/>
        </w:rPr>
        <w:t>octies,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siguiente</w:t>
      </w:r>
      <w:r>
        <w:rPr>
          <w:spacing w:val="-13"/>
        </w:rPr>
        <w:t xml:space="preserve"> </w:t>
      </w:r>
      <w:r>
        <w:rPr>
          <w:spacing w:val="-2"/>
        </w:rPr>
        <w:t>tenor:</w:t>
      </w:r>
    </w:p>
    <w:p w:rsidR="00B442BB" w:rsidRDefault="00466B8A">
      <w:pPr>
        <w:pStyle w:val="Textoindependiente"/>
        <w:spacing w:before="164" w:line="276" w:lineRule="auto"/>
        <w:ind w:left="102" w:right="229"/>
        <w:jc w:val="both"/>
      </w:pPr>
      <w:r>
        <w:t>“Artículo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octies: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conspirare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 cometer</w:t>
      </w:r>
      <w:r>
        <w:rPr>
          <w:spacing w:val="-2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delitos</w:t>
      </w:r>
      <w:r>
        <w:rPr>
          <w:spacing w:val="-14"/>
        </w:rPr>
        <w:t xml:space="preserve"> </w:t>
      </w:r>
      <w:r>
        <w:t>contenidos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233,</w:t>
      </w:r>
      <w:r>
        <w:rPr>
          <w:spacing w:val="-14"/>
        </w:rPr>
        <w:t xml:space="preserve"> </w:t>
      </w:r>
      <w:r>
        <w:t>234,</w:t>
      </w:r>
      <w:r>
        <w:rPr>
          <w:spacing w:val="-13"/>
        </w:rPr>
        <w:t xml:space="preserve"> </w:t>
      </w:r>
      <w:r>
        <w:t>235,</w:t>
      </w:r>
      <w:r>
        <w:rPr>
          <w:spacing w:val="-14"/>
        </w:rPr>
        <w:t xml:space="preserve"> </w:t>
      </w:r>
      <w:r>
        <w:t>239,</w:t>
      </w:r>
      <w:r>
        <w:rPr>
          <w:spacing w:val="-13"/>
        </w:rPr>
        <w:t xml:space="preserve"> </w:t>
      </w:r>
      <w:r>
        <w:t>240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241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Título,</w:t>
      </w:r>
      <w:r>
        <w:rPr>
          <w:spacing w:val="-13"/>
        </w:rPr>
        <w:t xml:space="preserve"> </w:t>
      </w:r>
      <w:r>
        <w:t>será sancionado con la</w:t>
      </w:r>
      <w:r>
        <w:rPr>
          <w:spacing w:val="-2"/>
        </w:rPr>
        <w:t xml:space="preserve"> </w:t>
      </w:r>
      <w:r>
        <w:t>pena de presidio mayor en su grado mínimo, sin perjuicio de la pena asociada a los delitos señalados.</w:t>
      </w:r>
    </w:p>
    <w:p w:rsidR="00B442BB" w:rsidRDefault="00466B8A">
      <w:pPr>
        <w:pStyle w:val="Textoindependiente"/>
        <w:spacing w:before="120" w:line="276" w:lineRule="auto"/>
        <w:ind w:left="102" w:right="231"/>
        <w:jc w:val="both"/>
      </w:pP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jurídicas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responsables</w:t>
      </w:r>
      <w:r>
        <w:rPr>
          <w:spacing w:val="-15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dispuesto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20.393,</w:t>
      </w:r>
      <w:r>
        <w:rPr>
          <w:spacing w:val="-15"/>
        </w:rPr>
        <w:t xml:space="preserve"> </w:t>
      </w:r>
      <w:r>
        <w:t>sin perjuicio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responsabilidad</w:t>
      </w:r>
      <w:r>
        <w:rPr>
          <w:spacing w:val="-11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directores,</w:t>
      </w:r>
      <w:r>
        <w:rPr>
          <w:spacing w:val="-9"/>
        </w:rPr>
        <w:t xml:space="preserve"> </w:t>
      </w:r>
      <w:r>
        <w:t>ejecutivos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dependientes</w:t>
      </w:r>
      <w:r>
        <w:rPr>
          <w:spacing w:val="-11"/>
        </w:rPr>
        <w:t xml:space="preserve"> </w:t>
      </w:r>
      <w:r>
        <w:t>que intervengan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delitos.</w:t>
      </w:r>
    </w:p>
    <w:p w:rsidR="00B442BB" w:rsidRDefault="00466B8A">
      <w:pPr>
        <w:pStyle w:val="Textoindependiente"/>
        <w:spacing w:before="118" w:line="276" w:lineRule="auto"/>
        <w:ind w:left="102" w:right="230"/>
        <w:jc w:val="both"/>
      </w:pPr>
      <w:r>
        <w:t>Lo dispuesto en el presente artículo será aplicable sin consideración a la calidad de funcionario público de los responsables.”.</w:t>
      </w:r>
    </w:p>
    <w:sectPr w:rsidR="00B442BB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71D"/>
    <w:multiLevelType w:val="hybridMultilevel"/>
    <w:tmpl w:val="64488BD6"/>
    <w:lvl w:ilvl="0" w:tplc="290AC4C8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DFF085D4">
      <w:numFmt w:val="bullet"/>
      <w:lvlText w:val="•"/>
      <w:lvlJc w:val="left"/>
      <w:pPr>
        <w:ind w:left="1934" w:hanging="720"/>
      </w:pPr>
      <w:rPr>
        <w:rFonts w:hint="default"/>
        <w:lang w:val="es-ES" w:eastAsia="en-US" w:bidi="ar-SA"/>
      </w:rPr>
    </w:lvl>
    <w:lvl w:ilvl="2" w:tplc="8AB0EA7A">
      <w:numFmt w:val="bullet"/>
      <w:lvlText w:val="•"/>
      <w:lvlJc w:val="left"/>
      <w:pPr>
        <w:ind w:left="2689" w:hanging="720"/>
      </w:pPr>
      <w:rPr>
        <w:rFonts w:hint="default"/>
        <w:lang w:val="es-ES" w:eastAsia="en-US" w:bidi="ar-SA"/>
      </w:rPr>
    </w:lvl>
    <w:lvl w:ilvl="3" w:tplc="F216C4B4">
      <w:numFmt w:val="bullet"/>
      <w:lvlText w:val="•"/>
      <w:lvlJc w:val="left"/>
      <w:pPr>
        <w:ind w:left="3443" w:hanging="720"/>
      </w:pPr>
      <w:rPr>
        <w:rFonts w:hint="default"/>
        <w:lang w:val="es-ES" w:eastAsia="en-US" w:bidi="ar-SA"/>
      </w:rPr>
    </w:lvl>
    <w:lvl w:ilvl="4" w:tplc="CC1E58D4">
      <w:numFmt w:val="bullet"/>
      <w:lvlText w:val="•"/>
      <w:lvlJc w:val="left"/>
      <w:pPr>
        <w:ind w:left="4198" w:hanging="720"/>
      </w:pPr>
      <w:rPr>
        <w:rFonts w:hint="default"/>
        <w:lang w:val="es-ES" w:eastAsia="en-US" w:bidi="ar-SA"/>
      </w:rPr>
    </w:lvl>
    <w:lvl w:ilvl="5" w:tplc="55286C26">
      <w:numFmt w:val="bullet"/>
      <w:lvlText w:val="•"/>
      <w:lvlJc w:val="left"/>
      <w:pPr>
        <w:ind w:left="4953" w:hanging="720"/>
      </w:pPr>
      <w:rPr>
        <w:rFonts w:hint="default"/>
        <w:lang w:val="es-ES" w:eastAsia="en-US" w:bidi="ar-SA"/>
      </w:rPr>
    </w:lvl>
    <w:lvl w:ilvl="6" w:tplc="7C3C6C4A">
      <w:numFmt w:val="bullet"/>
      <w:lvlText w:val="•"/>
      <w:lvlJc w:val="left"/>
      <w:pPr>
        <w:ind w:left="5707" w:hanging="720"/>
      </w:pPr>
      <w:rPr>
        <w:rFonts w:hint="default"/>
        <w:lang w:val="es-ES" w:eastAsia="en-US" w:bidi="ar-SA"/>
      </w:rPr>
    </w:lvl>
    <w:lvl w:ilvl="7" w:tplc="E9BA3D8E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8" w:tplc="005622B8"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2BB"/>
    <w:rsid w:val="00466B8A"/>
    <w:rsid w:val="00B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13.cl/noticia/politica/ex-ante/caso-antofagasta-las-platas-fundacion-vinculada-rd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13.cl/noticia/politica/ex-ante/caso-antofagasta-las-platas-fundacion-vinculada-rd-" TargetMode="External"/><Relationship Id="rId12" Type="http://schemas.openxmlformats.org/officeDocument/2006/relationships/hyperlink" Target="http://www.eldesconcierto.cl/nacional/2023/06/29/fundacion-paz-ciudadana-recibio-1-050-millone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.linkedin.com/in/rohernandezf" TargetMode="External"/><Relationship Id="rId11" Type="http://schemas.openxmlformats.org/officeDocument/2006/relationships/hyperlink" Target="http://www.eldesconcierto.cl/nacional/2023/06/29/fundacion-paz-ciudadana-recibio-1-050-millones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atercera.com/earlyaccess/noticia/otro-seremi-rd-en-la-mira-fiscalia-del-maule-abr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ercera.com/earlyaccess/noticia/otro-seremi-rd-en-la-mira-fiscalia-del-maule-abre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1526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Quintana</dc:creator>
  <cp:lastModifiedBy>Guillermo Diaz Vallejos</cp:lastModifiedBy>
  <cp:revision>1</cp:revision>
  <dcterms:created xsi:type="dcterms:W3CDTF">2023-07-05T19:28:00Z</dcterms:created>
  <dcterms:modified xsi:type="dcterms:W3CDTF">2023-07-11T14:27:00Z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LTSC</vt:lpwstr>
  </property>
</Properties>
</file>