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11C" w:rsidRDefault="008F0FDC">
      <w:pPr>
        <w:pStyle w:val="Textoindependiente"/>
        <w:spacing w:before="36" w:line="360" w:lineRule="auto"/>
        <w:ind w:left="100" w:right="476"/>
        <w:jc w:val="both"/>
        <w:rPr>
          <w:b/>
        </w:rPr>
      </w:pPr>
      <w:r>
        <w:rPr>
          <w:b/>
        </w:rPr>
        <w:t>PROYECTO DE LEY QUE MODIFICA LA LEY N° 19.886 DE BASES SOBRE CONTRATOS</w:t>
      </w:r>
      <w:r>
        <w:rPr>
          <w:b/>
          <w:spacing w:val="-19"/>
        </w:rPr>
        <w:t xml:space="preserve"> </w:t>
      </w:r>
      <w:r>
        <w:rPr>
          <w:b/>
        </w:rPr>
        <w:t>ADMINISTRATIVOS</w:t>
      </w:r>
      <w:r>
        <w:rPr>
          <w:b/>
          <w:spacing w:val="-19"/>
        </w:rPr>
        <w:t xml:space="preserve"> </w:t>
      </w:r>
      <w:r>
        <w:rPr>
          <w:b/>
        </w:rPr>
        <w:t>DE</w:t>
      </w:r>
      <w:r>
        <w:rPr>
          <w:b/>
          <w:spacing w:val="-19"/>
        </w:rPr>
        <w:t xml:space="preserve"> </w:t>
      </w:r>
      <w:r>
        <w:rPr>
          <w:b/>
        </w:rPr>
        <w:t>SUMINISTRO</w:t>
      </w:r>
      <w:r>
        <w:rPr>
          <w:b/>
          <w:spacing w:val="-18"/>
        </w:rPr>
        <w:t xml:space="preserve"> </w:t>
      </w:r>
      <w:r>
        <w:rPr>
          <w:b/>
        </w:rPr>
        <w:t>Y</w:t>
      </w:r>
      <w:r>
        <w:rPr>
          <w:b/>
          <w:spacing w:val="-19"/>
        </w:rPr>
        <w:t xml:space="preserve"> </w:t>
      </w:r>
      <w:r>
        <w:rPr>
          <w:b/>
        </w:rPr>
        <w:t>PRESTACION</w:t>
      </w:r>
      <w:r>
        <w:rPr>
          <w:b/>
          <w:spacing w:val="-19"/>
        </w:rPr>
        <w:t xml:space="preserve"> </w:t>
      </w:r>
      <w:r>
        <w:rPr>
          <w:b/>
        </w:rPr>
        <w:t>DE</w:t>
      </w:r>
      <w:r>
        <w:rPr>
          <w:b/>
          <w:spacing w:val="-18"/>
        </w:rPr>
        <w:t xml:space="preserve"> </w:t>
      </w:r>
      <w:r>
        <w:rPr>
          <w:b/>
        </w:rPr>
        <w:t>SERVICIOS, PARA QUE LOS ÓRGANOS DE ADMINISRTRACIÓN DEL ESTADO PUEDAN CONTRATAR CON AQUELLAS EMPRESAS SENTENCIADAS POR ACCIONES ANTISINDICALES EN EL CASO DE EMERGENCIA O MEDIANTE RESOLUCIÓN FUNDADA DE LA AUTORIDAD.</w:t>
      </w:r>
    </w:p>
    <w:p w:rsidR="0005511C" w:rsidRDefault="008F0FDC">
      <w:pPr>
        <w:pStyle w:val="Prrafodelista"/>
        <w:numPr>
          <w:ilvl w:val="0"/>
          <w:numId w:val="1"/>
        </w:numPr>
        <w:tabs>
          <w:tab w:val="left" w:pos="1180"/>
        </w:tabs>
        <w:spacing w:before="191"/>
        <w:rPr>
          <w:b/>
          <w:sz w:val="24"/>
        </w:rPr>
      </w:pPr>
      <w:r>
        <w:rPr>
          <w:b/>
          <w:sz w:val="24"/>
        </w:rPr>
        <w:t xml:space="preserve">Ideas </w:t>
      </w:r>
      <w:r>
        <w:rPr>
          <w:b/>
          <w:spacing w:val="-2"/>
          <w:sz w:val="24"/>
        </w:rPr>
        <w:t>Generales</w:t>
      </w:r>
    </w:p>
    <w:p w:rsidR="0005511C" w:rsidRDefault="0005511C">
      <w:pPr>
        <w:pStyle w:val="Textoindependiente"/>
        <w:rPr>
          <w:b/>
          <w:sz w:val="28"/>
        </w:rPr>
      </w:pPr>
    </w:p>
    <w:p w:rsidR="0005511C" w:rsidRDefault="008F0FDC">
      <w:pPr>
        <w:spacing w:before="177"/>
        <w:ind w:left="4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Antecedentes </w:t>
      </w:r>
      <w:r>
        <w:rPr>
          <w:b/>
          <w:spacing w:val="-2"/>
          <w:sz w:val="24"/>
        </w:rPr>
        <w:t>generales</w:t>
      </w:r>
    </w:p>
    <w:p w:rsidR="0005511C" w:rsidRDefault="0005511C">
      <w:pPr>
        <w:pStyle w:val="Textoindependiente"/>
        <w:spacing w:before="1"/>
        <w:rPr>
          <w:b/>
          <w:sz w:val="41"/>
        </w:rPr>
      </w:pPr>
    </w:p>
    <w:p w:rsidR="0005511C" w:rsidRDefault="008F0FDC">
      <w:pPr>
        <w:pStyle w:val="Textoindependiente"/>
        <w:spacing w:line="276" w:lineRule="auto"/>
        <w:ind w:left="100" w:right="474" w:firstLine="360"/>
        <w:jc w:val="both"/>
      </w:pPr>
      <w:r>
        <w:t>Nuestro</w:t>
      </w:r>
      <w:r>
        <w:rPr>
          <w:spacing w:val="-9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enfrenta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compleja</w:t>
      </w:r>
      <w:r>
        <w:rPr>
          <w:spacing w:val="-11"/>
        </w:rPr>
        <w:t xml:space="preserve"> </w:t>
      </w:r>
      <w:r>
        <w:t>crisis</w:t>
      </w:r>
      <w:r>
        <w:rPr>
          <w:spacing w:val="-10"/>
        </w:rPr>
        <w:t xml:space="preserve"> </w:t>
      </w:r>
      <w:r>
        <w:t>sanitaria.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reciente</w:t>
      </w:r>
      <w:r>
        <w:rPr>
          <w:spacing w:val="-10"/>
        </w:rPr>
        <w:t xml:space="preserve"> </w:t>
      </w:r>
      <w:r>
        <w:t>fallecimiento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seis menores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virus</w:t>
      </w:r>
      <w:r>
        <w:rPr>
          <w:spacing w:val="-5"/>
        </w:rPr>
        <w:t xml:space="preserve"> </w:t>
      </w:r>
      <w:r>
        <w:t>sincicial,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han denominado</w:t>
      </w:r>
      <w:r>
        <w:rPr>
          <w:spacing w:val="-9"/>
        </w:rPr>
        <w:t xml:space="preserve"> </w:t>
      </w:r>
      <w:r>
        <w:rPr>
          <w:i/>
        </w:rPr>
        <w:t>“uno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los</w:t>
      </w:r>
      <w:r>
        <w:rPr>
          <w:i/>
          <w:spacing w:val="-8"/>
        </w:rPr>
        <w:t xml:space="preserve"> </w:t>
      </w:r>
      <w:r>
        <w:rPr>
          <w:i/>
        </w:rPr>
        <w:t>mayores</w:t>
      </w:r>
      <w:r>
        <w:rPr>
          <w:i/>
          <w:spacing w:val="-8"/>
        </w:rPr>
        <w:t xml:space="preserve"> </w:t>
      </w:r>
      <w:r>
        <w:rPr>
          <w:i/>
        </w:rPr>
        <w:t>brotes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virus</w:t>
      </w:r>
      <w:r>
        <w:rPr>
          <w:i/>
          <w:spacing w:val="-8"/>
        </w:rPr>
        <w:t xml:space="preserve"> </w:t>
      </w:r>
      <w:r>
        <w:rPr>
          <w:i/>
        </w:rPr>
        <w:t>sincicial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</w:rPr>
        <w:t>hayan</w:t>
      </w:r>
      <w:r>
        <w:rPr>
          <w:i/>
          <w:spacing w:val="-9"/>
        </w:rPr>
        <w:t xml:space="preserve"> </w:t>
      </w:r>
      <w:r>
        <w:rPr>
          <w:i/>
        </w:rPr>
        <w:t>visto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los</w:t>
      </w:r>
      <w:r>
        <w:rPr>
          <w:i/>
          <w:spacing w:val="-10"/>
        </w:rPr>
        <w:t xml:space="preserve"> </w:t>
      </w:r>
      <w:r>
        <w:rPr>
          <w:i/>
        </w:rPr>
        <w:t>años precedentes”</w:t>
      </w:r>
      <w:r>
        <w:rPr>
          <w:i/>
          <w:position w:val="5"/>
          <w:sz w:val="14"/>
        </w:rPr>
        <w:t>1</w:t>
      </w:r>
      <w:r>
        <w:rPr>
          <w:i/>
        </w:rPr>
        <w:t xml:space="preserve">, </w:t>
      </w:r>
      <w:r>
        <w:t>han vuelto necesario cuestionarnos la forma en que las autoridades están</w:t>
      </w:r>
      <w:r>
        <w:rPr>
          <w:spacing w:val="-11"/>
        </w:rPr>
        <w:t xml:space="preserve"> </w:t>
      </w:r>
      <w:r>
        <w:t>operando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enfrentar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alza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ocupación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camas</w:t>
      </w:r>
      <w:r>
        <w:rPr>
          <w:spacing w:val="-14"/>
        </w:rPr>
        <w:t xml:space="preserve"> </w:t>
      </w:r>
      <w:r>
        <w:t>críticas</w:t>
      </w:r>
      <w:r>
        <w:rPr>
          <w:spacing w:val="-12"/>
        </w:rPr>
        <w:t xml:space="preserve"> </w:t>
      </w:r>
      <w:r>
        <w:t>pediátricas. Lamentablemente los virus respiratorios no son el único problema al</w:t>
      </w:r>
      <w:r>
        <w:t xml:space="preserve"> que se enfrenta nuestro país en materia de salud. Al aumento en las listas de espera que el año 2023 corresponde a 2.229.758 pacientes en circunstancias que el 2022 eran 2.023.741, se le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sumar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baja</w:t>
      </w:r>
      <w:r>
        <w:rPr>
          <w:spacing w:val="-7"/>
        </w:rPr>
        <w:t xml:space="preserve"> </w:t>
      </w:r>
      <w:r>
        <w:t>cobertura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vacunación</w:t>
      </w:r>
      <w:r>
        <w:rPr>
          <w:spacing w:val="-8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embarazadas</w:t>
      </w:r>
      <w:r>
        <w:rPr>
          <w:spacing w:val="-8"/>
        </w:rPr>
        <w:t xml:space="preserve"> </w:t>
      </w:r>
      <w:r>
        <w:t xml:space="preserve">sólo llega a un 30,91 % y en niños y niñas de 6 meses a 5 años únicamente alcanza un </w:t>
      </w:r>
      <w:r>
        <w:rPr>
          <w:spacing w:val="-2"/>
        </w:rPr>
        <w:t>57,42%.</w:t>
      </w:r>
    </w:p>
    <w:p w:rsidR="0005511C" w:rsidRDefault="0005511C">
      <w:pPr>
        <w:pStyle w:val="Textoindependiente"/>
        <w:spacing w:before="3"/>
        <w:rPr>
          <w:sz w:val="25"/>
        </w:rPr>
      </w:pPr>
    </w:p>
    <w:p w:rsidR="0005511C" w:rsidRDefault="008F0FDC">
      <w:pPr>
        <w:pStyle w:val="Textoindependiente"/>
        <w:spacing w:line="276" w:lineRule="auto"/>
        <w:ind w:left="100" w:right="480" w:firstLine="719"/>
        <w:jc w:val="both"/>
      </w:pPr>
      <w:r>
        <w:t>La</w:t>
      </w:r>
      <w:r>
        <w:rPr>
          <w:spacing w:val="-13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crisis</w:t>
      </w:r>
      <w:r>
        <w:rPr>
          <w:spacing w:val="-12"/>
        </w:rPr>
        <w:t xml:space="preserve"> </w:t>
      </w:r>
      <w:r>
        <w:t>sanitaria</w:t>
      </w:r>
      <w:r>
        <w:rPr>
          <w:spacing w:val="-13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lleva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afirmar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negar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una situación tan compleja como una emergencia sanitaria, donde las cama</w:t>
      </w:r>
      <w:r>
        <w:t>s críticas escasean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requiere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cooperación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deben ser</w:t>
      </w:r>
      <w:r>
        <w:rPr>
          <w:spacing w:val="-6"/>
        </w:rPr>
        <w:t xml:space="preserve"> </w:t>
      </w:r>
      <w:r>
        <w:t>modificadas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miras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común.</w:t>
      </w:r>
      <w:r>
        <w:rPr>
          <w:spacing w:val="-6"/>
        </w:rPr>
        <w:t xml:space="preserve"> </w:t>
      </w:r>
      <w:r>
        <w:t>Así,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 la integridad física y corporal deben primar por sobre otros bienes jurídicos.</w:t>
      </w:r>
    </w:p>
    <w:p w:rsidR="0005511C" w:rsidRDefault="0005511C">
      <w:pPr>
        <w:pStyle w:val="Textoindependiente"/>
        <w:spacing w:before="3"/>
        <w:rPr>
          <w:sz w:val="25"/>
        </w:rPr>
      </w:pPr>
    </w:p>
    <w:p w:rsidR="0005511C" w:rsidRDefault="008F0FDC">
      <w:pPr>
        <w:pStyle w:val="Textoindependiente"/>
        <w:spacing w:line="276" w:lineRule="auto"/>
        <w:ind w:left="100" w:right="480" w:firstLine="719"/>
        <w:jc w:val="both"/>
      </w:pPr>
      <w:r>
        <w:t>A pesar de ello, se ha vuelto evidente que el ejecutivo se ha negado a utilizar todos los medios que tiene disponible para hacer frente a esta emergencia, señalando, por ejem</w:t>
      </w:r>
      <w:r>
        <w:t>plo, que existiría un dictamen de Controlaría que impediría contratar con la Clínica Las Condes.</w:t>
      </w:r>
    </w:p>
    <w:p w:rsidR="0005511C" w:rsidRDefault="0005511C">
      <w:pPr>
        <w:pStyle w:val="Textoindependiente"/>
        <w:spacing w:before="4"/>
        <w:rPr>
          <w:sz w:val="25"/>
        </w:rPr>
      </w:pPr>
    </w:p>
    <w:p w:rsidR="0005511C" w:rsidRDefault="008F0FDC">
      <w:pPr>
        <w:spacing w:line="276" w:lineRule="auto"/>
        <w:ind w:left="100" w:right="473" w:firstLine="719"/>
        <w:jc w:val="both"/>
        <w:rPr>
          <w:i/>
        </w:rPr>
      </w:pPr>
      <w:r>
        <w:t xml:space="preserve">Sin embargo, </w:t>
      </w:r>
      <w:r>
        <w:rPr>
          <w:i/>
        </w:rPr>
        <w:t>“la Contraloría General de la República refutó las declaraciones entregadas por la ministra de Salud, Ximena Aguilera, quien se refirió al caso d</w:t>
      </w:r>
      <w:r>
        <w:rPr>
          <w:i/>
        </w:rPr>
        <w:t>e la lactante</w:t>
      </w:r>
      <w:r>
        <w:rPr>
          <w:i/>
          <w:spacing w:val="-17"/>
        </w:rPr>
        <w:t xml:space="preserve"> </w:t>
      </w:r>
      <w:r>
        <w:rPr>
          <w:i/>
        </w:rPr>
        <w:t>fallecida</w:t>
      </w:r>
      <w:r>
        <w:rPr>
          <w:i/>
          <w:spacing w:val="-16"/>
        </w:rPr>
        <w:t xml:space="preserve"> </w:t>
      </w:r>
      <w:r>
        <w:rPr>
          <w:i/>
        </w:rPr>
        <w:t>en</w:t>
      </w:r>
      <w:r>
        <w:rPr>
          <w:i/>
          <w:spacing w:val="-17"/>
        </w:rPr>
        <w:t xml:space="preserve"> </w:t>
      </w:r>
      <w:r>
        <w:rPr>
          <w:i/>
        </w:rPr>
        <w:t>San</w:t>
      </w:r>
      <w:r>
        <w:rPr>
          <w:i/>
          <w:spacing w:val="-16"/>
        </w:rPr>
        <w:t xml:space="preserve"> </w:t>
      </w:r>
      <w:r>
        <w:rPr>
          <w:i/>
        </w:rPr>
        <w:t>Antonio</w:t>
      </w:r>
      <w:r>
        <w:rPr>
          <w:i/>
          <w:spacing w:val="-17"/>
        </w:rPr>
        <w:t xml:space="preserve"> </w:t>
      </w:r>
      <w:r>
        <w:rPr>
          <w:i/>
        </w:rPr>
        <w:t>producto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falta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5"/>
        </w:rPr>
        <w:t xml:space="preserve"> </w:t>
      </w:r>
      <w:r>
        <w:rPr>
          <w:i/>
        </w:rPr>
        <w:t>camas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el</w:t>
      </w:r>
      <w:r>
        <w:rPr>
          <w:i/>
          <w:spacing w:val="-16"/>
        </w:rPr>
        <w:t xml:space="preserve"> </w:t>
      </w:r>
      <w:r>
        <w:rPr>
          <w:i/>
        </w:rPr>
        <w:t>sistema</w:t>
      </w:r>
      <w:r>
        <w:rPr>
          <w:i/>
          <w:spacing w:val="-17"/>
        </w:rPr>
        <w:t xml:space="preserve"> </w:t>
      </w:r>
      <w:r>
        <w:rPr>
          <w:i/>
        </w:rPr>
        <w:t>hospitalario. En conversación con el programa Mesa Central, la jefa del MINSAL aclaró que “hay un fallo de Contraloría que impide comprar servicios a la Clínica Las Condes. Ahora, ciertamente, por Ley de Urgencias se están usando esos servicios y</w:t>
      </w:r>
      <w:r>
        <w:rPr>
          <w:i/>
          <w:spacing w:val="-1"/>
        </w:rPr>
        <w:t xml:space="preserve"> </w:t>
      </w:r>
      <w:r>
        <w:rPr>
          <w:i/>
        </w:rPr>
        <w:t xml:space="preserve">entiendo </w:t>
      </w:r>
      <w:r>
        <w:rPr>
          <w:i/>
        </w:rPr>
        <w:t>que no fue llamada efectivamente”</w:t>
      </w:r>
      <w:r>
        <w:rPr>
          <w:i/>
          <w:position w:val="5"/>
          <w:sz w:val="14"/>
        </w:rPr>
        <w:t>2</w:t>
      </w:r>
      <w:r>
        <w:rPr>
          <w:i/>
        </w:rPr>
        <w:t>.</w:t>
      </w:r>
    </w:p>
    <w:p w:rsidR="0005511C" w:rsidRDefault="0005511C">
      <w:pPr>
        <w:pStyle w:val="Textoindependiente"/>
        <w:spacing w:before="4"/>
        <w:rPr>
          <w:i/>
          <w:sz w:val="25"/>
        </w:rPr>
      </w:pPr>
    </w:p>
    <w:p w:rsidR="0005511C" w:rsidRDefault="008F0FDC">
      <w:pPr>
        <w:pStyle w:val="Textoindependiente"/>
        <w:spacing w:line="276" w:lineRule="auto"/>
        <w:ind w:left="100" w:right="474" w:firstLine="719"/>
        <w:jc w:val="both"/>
      </w:pPr>
      <w:r>
        <w:t>En este sentido, ante cualquier duda posible que pudiese existir en la materia, el presente proyecto de ley busca modificar la ley N° 19.886 de bases sobre contratos administrativos de suministro y prestación de servici</w:t>
      </w:r>
      <w:r>
        <w:t xml:space="preserve">os, para que los órganos de administración del estado puedan contratar con aquellas empresas sentenciadas por acciones antisindicales en el caso de emergencia o mediante resolución fundada de la </w:t>
      </w:r>
      <w:r>
        <w:rPr>
          <w:spacing w:val="-2"/>
        </w:rPr>
        <w:t>autoridad.</w:t>
      </w:r>
    </w:p>
    <w:p w:rsidR="0005511C" w:rsidRDefault="008F0FDC">
      <w:pPr>
        <w:pStyle w:val="Textoindependiente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151433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CE73D" id="Graphic 2" o:spid="_x0000_s1026" style="position:absolute;margin-left:1in;margin-top:11.9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511C" w:rsidRDefault="008F0FDC">
      <w:pPr>
        <w:spacing w:before="89"/>
        <w:ind w:left="100" w:right="910"/>
        <w:rPr>
          <w:rFonts w:ascii="Times New Roman"/>
          <w:sz w:val="18"/>
        </w:rPr>
      </w:pPr>
      <w:r>
        <w:rPr>
          <w:rFonts w:ascii="Times New Roman"/>
          <w:position w:val="6"/>
          <w:sz w:val="12"/>
        </w:rPr>
        <w:t>1</w:t>
      </w:r>
      <w:r>
        <w:rPr>
          <w:rFonts w:ascii="Times New Roman"/>
          <w:spacing w:val="12"/>
          <w:position w:val="6"/>
          <w:sz w:val="12"/>
        </w:rPr>
        <w:t xml:space="preserve"> </w:t>
      </w:r>
      <w:r>
        <w:rPr>
          <w:rFonts w:ascii="Times New Roman"/>
          <w:sz w:val="18"/>
        </w:rPr>
        <w:t>Infonews.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Cooperativa.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(Junio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2023).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Disponible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en: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z w:val="18"/>
            <w:u w:val="single" w:color="0000FF"/>
          </w:rPr>
          <w:t>https://infonews.com/situacion-critica-en-chile-4-muertos-por-virus-</w:t>
        </w:r>
      </w:hyperlink>
      <w:r>
        <w:rPr>
          <w:rFonts w:ascii="Times New Roman"/>
          <w:color w:val="0000FF"/>
          <w:sz w:val="18"/>
        </w:rPr>
        <w:t xml:space="preserve"> </w:t>
      </w:r>
      <w:hyperlink r:id="rId8">
        <w:r>
          <w:rPr>
            <w:rFonts w:ascii="Times New Roman"/>
            <w:color w:val="0000FF"/>
            <w:spacing w:val="-2"/>
            <w:sz w:val="18"/>
            <w:u w:val="single" w:color="0000FF"/>
          </w:rPr>
          <w:t>respiratorio-y-92-de-camas-pediatricas-ocupadas.html</w:t>
        </w:r>
      </w:hyperlink>
    </w:p>
    <w:p w:rsidR="0005511C" w:rsidRDefault="008F0FDC">
      <w:pPr>
        <w:spacing w:before="9" w:line="249" w:lineRule="auto"/>
        <w:ind w:left="100" w:right="666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z w:val="20"/>
        </w:rPr>
        <w:t xml:space="preserve"> Shelmmy Carvajal. La Tercera. (Junio 2023). Disponible en: </w:t>
      </w:r>
      <w:hyperlink r:id="rId9">
        <w:r>
          <w:rPr>
            <w:rFonts w:ascii="Times New Roman"/>
            <w:color w:val="0000FF"/>
            <w:spacing w:val="-2"/>
            <w:sz w:val="20"/>
            <w:u w:val="single" w:color="0000FF"/>
          </w:rPr>
          <w:t>https://www.latercera.com/politica/noticia/cont</w:t>
        </w:r>
        <w:r>
          <w:rPr>
            <w:rFonts w:ascii="Times New Roman"/>
            <w:color w:val="0000FF"/>
            <w:spacing w:val="-2"/>
            <w:sz w:val="20"/>
            <w:u w:val="single" w:color="0000FF"/>
          </w:rPr>
          <w:t>raloria-desmiente-a-ministra-de-salud-y-niega-que-exista-un-fallo-</w:t>
        </w:r>
      </w:hyperlink>
      <w:r>
        <w:rPr>
          <w:rFonts w:ascii="Times New Roman"/>
          <w:color w:val="0000FF"/>
          <w:spacing w:val="-2"/>
          <w:sz w:val="20"/>
        </w:rPr>
        <w:t xml:space="preserve"> </w:t>
      </w:r>
      <w:hyperlink r:id="rId10">
        <w:r>
          <w:rPr>
            <w:rFonts w:ascii="Times New Roman"/>
            <w:color w:val="0000FF"/>
            <w:spacing w:val="-2"/>
            <w:sz w:val="20"/>
            <w:u w:val="single" w:color="0000FF"/>
          </w:rPr>
          <w:t>que-impida-contratar-servicios-de-clinica-las-condes/XQTZF4CVVVAKRDBLLZNJPBKPBM/</w:t>
        </w:r>
      </w:hyperlink>
    </w:p>
    <w:p w:rsidR="0005511C" w:rsidRDefault="0005511C">
      <w:pPr>
        <w:spacing w:line="249" w:lineRule="auto"/>
        <w:rPr>
          <w:rFonts w:ascii="Times New Roman"/>
          <w:sz w:val="20"/>
        </w:rPr>
        <w:sectPr w:rsidR="0005511C">
          <w:headerReference w:type="default" r:id="rId11"/>
          <w:type w:val="continuous"/>
          <w:pgSz w:w="12200" w:h="19570"/>
          <w:pgMar w:top="2000" w:right="960" w:bottom="280" w:left="1340" w:header="284" w:footer="0" w:gutter="0"/>
          <w:pgNumType w:start="1"/>
          <w:cols w:space="720"/>
        </w:sectPr>
      </w:pPr>
    </w:p>
    <w:p w:rsidR="0005511C" w:rsidRDefault="0005511C">
      <w:pPr>
        <w:pStyle w:val="Textoindependiente"/>
        <w:rPr>
          <w:rFonts w:ascii="Times New Roman"/>
          <w:sz w:val="20"/>
        </w:rPr>
      </w:pPr>
    </w:p>
    <w:p w:rsidR="0005511C" w:rsidRDefault="0005511C">
      <w:pPr>
        <w:pStyle w:val="Textoindependiente"/>
        <w:spacing w:before="4"/>
        <w:rPr>
          <w:rFonts w:ascii="Times New Roman"/>
          <w:sz w:val="26"/>
        </w:rPr>
      </w:pPr>
    </w:p>
    <w:p w:rsidR="0005511C" w:rsidRDefault="008F0FDC">
      <w:pPr>
        <w:pStyle w:val="Prrafodelista"/>
        <w:numPr>
          <w:ilvl w:val="0"/>
          <w:numId w:val="1"/>
        </w:numPr>
        <w:tabs>
          <w:tab w:val="left" w:pos="1180"/>
        </w:tabs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05511C" w:rsidRDefault="0005511C">
      <w:pPr>
        <w:pStyle w:val="Textoindependiente"/>
        <w:spacing w:before="5"/>
        <w:rPr>
          <w:b/>
          <w:sz w:val="28"/>
        </w:rPr>
      </w:pPr>
    </w:p>
    <w:p w:rsidR="0005511C" w:rsidRDefault="008F0FDC">
      <w:pPr>
        <w:pStyle w:val="Textoindependiente"/>
        <w:spacing w:before="1" w:line="276" w:lineRule="auto"/>
        <w:ind w:left="100" w:right="110"/>
        <w:jc w:val="both"/>
      </w:pPr>
      <w:r>
        <w:rPr>
          <w:b/>
        </w:rPr>
        <w:t>“Artículo 1.</w:t>
      </w:r>
      <w:r>
        <w:t>- Introdúcense las siguientes modificaciones en la Ley de Bases sobre Contratos Administrativos:</w:t>
      </w:r>
    </w:p>
    <w:p w:rsidR="0005511C" w:rsidRDefault="0005511C">
      <w:pPr>
        <w:pStyle w:val="Textoindependiente"/>
        <w:spacing w:before="5"/>
        <w:rPr>
          <w:sz w:val="25"/>
        </w:rPr>
      </w:pPr>
    </w:p>
    <w:p w:rsidR="0005511C" w:rsidRDefault="008F0FDC">
      <w:pPr>
        <w:pStyle w:val="Textoindependiente"/>
        <w:ind w:left="100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cuarto,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agregar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segundo,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tenor.</w:t>
      </w:r>
    </w:p>
    <w:p w:rsidR="0005511C" w:rsidRDefault="008F0FDC">
      <w:pPr>
        <w:spacing w:before="37" w:line="276" w:lineRule="auto"/>
        <w:ind w:left="100" w:right="476"/>
        <w:jc w:val="both"/>
        <w:rPr>
          <w:i/>
        </w:rPr>
      </w:pPr>
      <w:r>
        <w:rPr>
          <w:i/>
        </w:rPr>
        <w:t>“Sin perjuicio de lo dispuesto en el artículo precedente, se entenderá que los órganos de la administración del estado sí podrán contratar con las personas naturales y jurídicas que hayan sido condenados por prácticas antisindicales cuando existieren neces</w:t>
      </w:r>
      <w:r>
        <w:rPr>
          <w:i/>
        </w:rPr>
        <w:t xml:space="preserve">idades de servicio, emergencia o catástrofe, o existiere una resolución fundada por parte de la </w:t>
      </w:r>
      <w:r>
        <w:rPr>
          <w:i/>
          <w:spacing w:val="-2"/>
        </w:rPr>
        <w:t>autoridad”.</w:t>
      </w:r>
    </w:p>
    <w:p w:rsidR="0005511C" w:rsidRDefault="0005511C">
      <w:pPr>
        <w:pStyle w:val="Textoindependiente"/>
        <w:rPr>
          <w:i/>
          <w:sz w:val="26"/>
        </w:rPr>
      </w:pPr>
    </w:p>
    <w:p w:rsidR="0005511C" w:rsidRDefault="0005511C">
      <w:pPr>
        <w:pStyle w:val="Textoindependiente"/>
        <w:rPr>
          <w:i/>
          <w:sz w:val="26"/>
        </w:rPr>
      </w:pPr>
    </w:p>
    <w:p w:rsidR="0005511C" w:rsidRDefault="0005511C">
      <w:pPr>
        <w:pStyle w:val="Textoindependiente"/>
        <w:spacing w:before="9"/>
        <w:rPr>
          <w:i/>
          <w:sz w:val="23"/>
        </w:rPr>
      </w:pPr>
    </w:p>
    <w:p w:rsidR="0005511C" w:rsidRDefault="008F0FDC">
      <w:pPr>
        <w:ind w:left="3094" w:right="3469"/>
        <w:jc w:val="center"/>
        <w:rPr>
          <w:b/>
          <w:sz w:val="24"/>
        </w:rPr>
      </w:pPr>
      <w:r>
        <w:rPr>
          <w:b/>
          <w:sz w:val="24"/>
        </w:rPr>
        <w:t xml:space="preserve">AGUSTÍN ROMERO </w:t>
      </w:r>
      <w:r>
        <w:rPr>
          <w:b/>
          <w:spacing w:val="-2"/>
          <w:sz w:val="24"/>
        </w:rPr>
        <w:t>LEIVA.</w:t>
      </w:r>
    </w:p>
    <w:p w:rsidR="0005511C" w:rsidRDefault="008F0FDC">
      <w:pPr>
        <w:spacing w:before="141"/>
        <w:ind w:left="2666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REPÚBLICA.</w:t>
      </w:r>
    </w:p>
    <w:sectPr w:rsidR="0005511C">
      <w:pgSz w:w="12200" w:h="19570"/>
      <w:pgMar w:top="2000" w:right="960" w:bottom="280" w:left="13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FDC" w:rsidRDefault="008F0FDC">
      <w:r>
        <w:separator/>
      </w:r>
    </w:p>
  </w:endnote>
  <w:endnote w:type="continuationSeparator" w:id="0">
    <w:p w:rsidR="008F0FDC" w:rsidRDefault="008F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FDC" w:rsidRDefault="008F0FDC">
      <w:r>
        <w:separator/>
      </w:r>
    </w:p>
  </w:footnote>
  <w:footnote w:type="continuationSeparator" w:id="0">
    <w:p w:rsidR="008F0FDC" w:rsidRDefault="008F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511C" w:rsidRDefault="008F0FD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2000" behindDoc="1" locked="0" layoutInCell="1" allowOverlap="1">
          <wp:simplePos x="0" y="0"/>
          <wp:positionH relativeFrom="page">
            <wp:posOffset>3306826</wp:posOffset>
          </wp:positionH>
          <wp:positionV relativeFrom="page">
            <wp:posOffset>180339</wp:posOffset>
          </wp:positionV>
          <wp:extent cx="1127760" cy="10915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776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1B81"/>
    <w:multiLevelType w:val="hybridMultilevel"/>
    <w:tmpl w:val="9CE0A284"/>
    <w:lvl w:ilvl="0" w:tplc="0DB4ED56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86447362">
      <w:numFmt w:val="bullet"/>
      <w:lvlText w:val="•"/>
      <w:lvlJc w:val="left"/>
      <w:pPr>
        <w:ind w:left="2051" w:hanging="720"/>
      </w:pPr>
      <w:rPr>
        <w:rFonts w:hint="default"/>
        <w:lang w:val="es-ES" w:eastAsia="en-US" w:bidi="ar-SA"/>
      </w:rPr>
    </w:lvl>
    <w:lvl w:ilvl="2" w:tplc="DA429418">
      <w:numFmt w:val="bullet"/>
      <w:lvlText w:val="•"/>
      <w:lvlJc w:val="left"/>
      <w:pPr>
        <w:ind w:left="2922" w:hanging="720"/>
      </w:pPr>
      <w:rPr>
        <w:rFonts w:hint="default"/>
        <w:lang w:val="es-ES" w:eastAsia="en-US" w:bidi="ar-SA"/>
      </w:rPr>
    </w:lvl>
    <w:lvl w:ilvl="3" w:tplc="C002AC0E">
      <w:numFmt w:val="bullet"/>
      <w:lvlText w:val="•"/>
      <w:lvlJc w:val="left"/>
      <w:pPr>
        <w:ind w:left="3793" w:hanging="720"/>
      </w:pPr>
      <w:rPr>
        <w:rFonts w:hint="default"/>
        <w:lang w:val="es-ES" w:eastAsia="en-US" w:bidi="ar-SA"/>
      </w:rPr>
    </w:lvl>
    <w:lvl w:ilvl="4" w:tplc="451224FE">
      <w:numFmt w:val="bullet"/>
      <w:lvlText w:val="•"/>
      <w:lvlJc w:val="left"/>
      <w:pPr>
        <w:ind w:left="4664" w:hanging="720"/>
      </w:pPr>
      <w:rPr>
        <w:rFonts w:hint="default"/>
        <w:lang w:val="es-ES" w:eastAsia="en-US" w:bidi="ar-SA"/>
      </w:rPr>
    </w:lvl>
    <w:lvl w:ilvl="5" w:tplc="8B105BB4">
      <w:numFmt w:val="bullet"/>
      <w:lvlText w:val="•"/>
      <w:lvlJc w:val="left"/>
      <w:pPr>
        <w:ind w:left="5536" w:hanging="720"/>
      </w:pPr>
      <w:rPr>
        <w:rFonts w:hint="default"/>
        <w:lang w:val="es-ES" w:eastAsia="en-US" w:bidi="ar-SA"/>
      </w:rPr>
    </w:lvl>
    <w:lvl w:ilvl="6" w:tplc="7838931C">
      <w:numFmt w:val="bullet"/>
      <w:lvlText w:val="•"/>
      <w:lvlJc w:val="left"/>
      <w:pPr>
        <w:ind w:left="6407" w:hanging="720"/>
      </w:pPr>
      <w:rPr>
        <w:rFonts w:hint="default"/>
        <w:lang w:val="es-ES" w:eastAsia="en-US" w:bidi="ar-SA"/>
      </w:rPr>
    </w:lvl>
    <w:lvl w:ilvl="7" w:tplc="0D54C6F6">
      <w:numFmt w:val="bullet"/>
      <w:lvlText w:val="•"/>
      <w:lvlJc w:val="left"/>
      <w:pPr>
        <w:ind w:left="7278" w:hanging="720"/>
      </w:pPr>
      <w:rPr>
        <w:rFonts w:hint="default"/>
        <w:lang w:val="es-ES" w:eastAsia="en-US" w:bidi="ar-SA"/>
      </w:rPr>
    </w:lvl>
    <w:lvl w:ilvl="8" w:tplc="52F27830">
      <w:numFmt w:val="bullet"/>
      <w:lvlText w:val="•"/>
      <w:lvlJc w:val="left"/>
      <w:pPr>
        <w:ind w:left="8149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11C"/>
    <w:rsid w:val="0005511C"/>
    <w:rsid w:val="00707449"/>
    <w:rsid w:val="008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01"/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news.com/situacion-critica-en-chile-4-muertos-por-virus-respiratorio-y-92-de-camas-pediatricas-ocupada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news.com/situacion-critica-en-chile-4-muertos-por-virus-respiratorio-y-92-de-camas-pediatricas-ocupada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atercera.com/politica/noticia/contraloria-desmiente-a-ministra-de-salud-y-niega-que-exista-un-fallo-que-impida-contratar-servicios-de-clinica-las-condes/XQTZF4CVVVAKRDBLLZNJPBKPB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politica/noticia/contraloria-desmiente-a-ministra-de-salud-y-niega-que-exista-un-fallo-que-impida-contratar-servicios-de-clinica-las-condes/XQTZF4CVVVAKRDBLLZNJPBKPB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 Romero Leiva</dc:creator>
  <cp:lastModifiedBy>Guillermo Diaz Vallejos</cp:lastModifiedBy>
  <cp:revision>1</cp:revision>
  <dcterms:created xsi:type="dcterms:W3CDTF">2023-07-05T19:28:00Z</dcterms:created>
  <dcterms:modified xsi:type="dcterms:W3CDTF">2023-07-12T15:46:00Z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LTSC</vt:lpwstr>
  </property>
</Properties>
</file>