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90B" w:rsidRDefault="005541BE">
      <w:pPr>
        <w:pStyle w:val="Textoindependiente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7496" cy="704088"/>
            <wp:effectExtent l="0" t="0" r="0" b="0"/>
            <wp:docPr id="3" name="Image 3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tip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9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0B" w:rsidRDefault="0053290B">
      <w:pPr>
        <w:pStyle w:val="Textoindependiente"/>
        <w:rPr>
          <w:sz w:val="20"/>
        </w:rPr>
      </w:pPr>
    </w:p>
    <w:p w:rsidR="0053290B" w:rsidRDefault="0053290B">
      <w:pPr>
        <w:pStyle w:val="Textoindependiente"/>
        <w:spacing w:before="4"/>
        <w:rPr>
          <w:sz w:val="28"/>
        </w:rPr>
      </w:pPr>
    </w:p>
    <w:p w:rsidR="0053290B" w:rsidRDefault="005541BE">
      <w:pPr>
        <w:spacing w:before="90" w:line="480" w:lineRule="auto"/>
        <w:ind w:left="862" w:right="119"/>
        <w:jc w:val="both"/>
        <w:rPr>
          <w:b/>
          <w:sz w:val="24"/>
        </w:rPr>
      </w:pPr>
      <w:r>
        <w:rPr>
          <w:b/>
          <w:sz w:val="24"/>
        </w:rPr>
        <w:t>PROYECTO DE LEY QUE SIMPLIFICA EL PRPOCEDIMIENTO DE INSCRIPCIÓN DE DERECHOS DE AGUA MODIFICANDO EL ARTÍCULO SEGUNDO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TRANSITORIO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LA LEY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21.435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CÓDIGO</w:t>
      </w:r>
    </w:p>
    <w:p w:rsidR="0053290B" w:rsidRDefault="005541BE">
      <w:pPr>
        <w:spacing w:before="1"/>
        <w:ind w:left="862"/>
        <w:jc w:val="both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AGUAS</w:t>
      </w:r>
    </w:p>
    <w:p w:rsidR="0053290B" w:rsidRDefault="005541BE">
      <w:pPr>
        <w:pStyle w:val="Textoindependiente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1015364</wp:posOffset>
                </wp:positionH>
                <wp:positionV relativeFrom="paragraph">
                  <wp:posOffset>102495</wp:posOffset>
                </wp:positionV>
                <wp:extent cx="5676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>
                              <a:moveTo>
                                <a:pt x="0" y="0"/>
                              </a:moveTo>
                              <a:lnTo>
                                <a:pt x="56769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9F3D" id="Graphic 4" o:spid="_x0000_s1026" style="position:absolute;margin-left:79.95pt;margin-top:8.05pt;width:4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" path="m,l56769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53290B" w:rsidRDefault="0053290B">
      <w:pPr>
        <w:pStyle w:val="Textoindependiente"/>
        <w:rPr>
          <w:b/>
          <w:sz w:val="26"/>
        </w:rPr>
      </w:pPr>
    </w:p>
    <w:p w:rsidR="0053290B" w:rsidRDefault="0053290B">
      <w:pPr>
        <w:pStyle w:val="Textoindependiente"/>
        <w:rPr>
          <w:b/>
          <w:sz w:val="26"/>
        </w:rPr>
      </w:pPr>
    </w:p>
    <w:p w:rsidR="0053290B" w:rsidRDefault="0053290B">
      <w:pPr>
        <w:pStyle w:val="Textoindependiente"/>
        <w:spacing w:before="3"/>
        <w:rPr>
          <w:b/>
          <w:sz w:val="33"/>
        </w:rPr>
      </w:pPr>
    </w:p>
    <w:p w:rsidR="0053290B" w:rsidRDefault="005541BE">
      <w:pPr>
        <w:pStyle w:val="Prrafodelista"/>
        <w:numPr>
          <w:ilvl w:val="0"/>
          <w:numId w:val="1"/>
        </w:numPr>
        <w:tabs>
          <w:tab w:val="left" w:pos="1581"/>
        </w:tabs>
        <w:ind w:left="1581" w:hanging="513"/>
        <w:jc w:val="left"/>
        <w:rPr>
          <w:b/>
          <w:sz w:val="24"/>
        </w:rPr>
      </w:pPr>
      <w:r>
        <w:rPr>
          <w:b/>
          <w:spacing w:val="-2"/>
          <w:sz w:val="24"/>
        </w:rPr>
        <w:t>FUNDAMENTOS:</w:t>
      </w:r>
    </w:p>
    <w:p w:rsidR="0053290B" w:rsidRDefault="0053290B">
      <w:pPr>
        <w:pStyle w:val="Textoindependiente"/>
        <w:rPr>
          <w:b/>
        </w:rPr>
      </w:pPr>
    </w:p>
    <w:p w:rsidR="0053290B" w:rsidRDefault="005541BE">
      <w:pPr>
        <w:pStyle w:val="Textoindependiente"/>
        <w:spacing w:line="480" w:lineRule="auto"/>
        <w:ind w:left="1582" w:right="116"/>
        <w:jc w:val="both"/>
      </w:pPr>
      <w:r>
        <w:t>La Ley 21.435 publicada con fecha 6 de abril de 2022 tuvo por objeto modificar el Código de Aguas en diversas materias con fin de actualizar la regulación de los recursos hídricos nacionales.</w:t>
      </w:r>
    </w:p>
    <w:p w:rsidR="0053290B" w:rsidRDefault="005541BE">
      <w:pPr>
        <w:pStyle w:val="Textoindependiente"/>
        <w:spacing w:before="1" w:line="480" w:lineRule="auto"/>
        <w:ind w:left="1582" w:right="114"/>
        <w:jc w:val="both"/>
      </w:pPr>
      <w:r>
        <w:t>Así,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t>reconoce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saneamiento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humano esencial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irrenunciable,</w:t>
      </w:r>
      <w:r>
        <w:rPr>
          <w:spacing w:val="-5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dominio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pertenece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habitantes.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esta misma</w:t>
      </w:r>
      <w:r>
        <w:rPr>
          <w:spacing w:val="-1"/>
        </w:rPr>
        <w:t xml:space="preserve"> </w:t>
      </w:r>
      <w:r>
        <w:t>línea, se</w:t>
      </w:r>
      <w:r>
        <w:rPr>
          <w:spacing w:val="-1"/>
        </w:rPr>
        <w:t xml:space="preserve"> </w:t>
      </w:r>
      <w:r>
        <w:t>consagra como una</w:t>
      </w:r>
      <w:r>
        <w:rPr>
          <w:spacing w:val="-1"/>
        </w:rPr>
        <w:t xml:space="preserve"> </w:t>
      </w:r>
      <w:r>
        <w:t>prioridad el uso 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para el consumo humano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subsistencia,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antecedentes</w:t>
      </w:r>
      <w:r>
        <w:rPr>
          <w:spacing w:val="-15"/>
        </w:rPr>
        <w:t xml:space="preserve"> </w:t>
      </w:r>
      <w:r>
        <w:t>ind</w:t>
      </w:r>
      <w:r>
        <w:t>ispensables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hora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establecer el otorgamiento de los derechos de aprovechamiento de agua como respecto al ejercicio de los mismos. </w:t>
      </w:r>
      <w:r>
        <w:rPr>
          <w:vertAlign w:val="superscript"/>
        </w:rPr>
        <w:t>1</w:t>
      </w:r>
    </w:p>
    <w:p w:rsidR="0053290B" w:rsidRDefault="005541BE">
      <w:pPr>
        <w:pStyle w:val="Textoindependiente"/>
        <w:spacing w:before="1" w:line="480" w:lineRule="auto"/>
        <w:ind w:left="1582" w:right="119"/>
        <w:jc w:val="both"/>
      </w:pPr>
      <w:r>
        <w:t>En cuanto a los derechos de aprovechamiento de aguas, se dispone que serán constituidos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público,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sustentabilidad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preservación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 ecosistemas,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modifica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concepto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mismos,</w:t>
      </w:r>
      <w:r>
        <w:rPr>
          <w:spacing w:val="26"/>
        </w:rPr>
        <w:t xml:space="preserve"> </w:t>
      </w:r>
      <w:r>
        <w:t>pues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carácter</w:t>
      </w:r>
    </w:p>
    <w:p w:rsidR="0053290B" w:rsidRDefault="0053290B">
      <w:pPr>
        <w:spacing w:line="480" w:lineRule="auto"/>
        <w:jc w:val="both"/>
        <w:sectPr w:rsidR="0053290B">
          <w:footerReference w:type="default" r:id="rId8"/>
          <w:type w:val="continuous"/>
          <w:pgSz w:w="12240" w:h="15840"/>
          <w:pgMar w:top="1460" w:right="1580" w:bottom="2000" w:left="840" w:header="0" w:footer="1819" w:gutter="0"/>
          <w:pgNumType w:start="1"/>
          <w:cols w:space="720"/>
        </w:sectPr>
      </w:pPr>
    </w:p>
    <w:p w:rsidR="0053290B" w:rsidRDefault="005541BE">
      <w:pPr>
        <w:pStyle w:val="Textoindependiente"/>
        <w:spacing w:before="75" w:line="480" w:lineRule="auto"/>
        <w:ind w:left="1582" w:right="117"/>
        <w:jc w:val="both"/>
      </w:pPr>
      <w:r>
        <w:lastRenderedPageBreak/>
        <w:t>temporal y se entregarán mediante concesión. Cabe destacar que, con esta modificación,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caducarán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inscriben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Conservador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 Raíc</w:t>
      </w:r>
      <w:r>
        <w:t>es y en el Catastro Público de Aguas de la Dirección General de Aguas dependiente del ministerio de Obras Públicas.</w:t>
      </w:r>
      <w:r>
        <w:rPr>
          <w:vertAlign w:val="superscript"/>
        </w:rPr>
        <w:t>2</w:t>
      </w:r>
    </w:p>
    <w:p w:rsidR="0053290B" w:rsidRDefault="005541BE">
      <w:pPr>
        <w:pStyle w:val="Textoindependiente"/>
        <w:spacing w:line="480" w:lineRule="auto"/>
        <w:ind w:left="1582" w:right="116"/>
        <w:jc w:val="both"/>
      </w:pPr>
      <w:r>
        <w:t>El artículo segundo transitorio establece que los derechos de aprovechamientos de aguas</w:t>
      </w:r>
      <w:r>
        <w:rPr>
          <w:spacing w:val="-7"/>
        </w:rPr>
        <w:t xml:space="preserve"> </w:t>
      </w:r>
      <w:r>
        <w:t>constituidos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de esta ley no estuviese inscrito en el Registro de Propiedad de</w:t>
      </w:r>
      <w:r>
        <w:rPr>
          <w:spacing w:val="-11"/>
        </w:rPr>
        <w:t xml:space="preserve"> </w:t>
      </w:r>
      <w:r>
        <w:t xml:space="preserve">Aguas del Conservador correspondiente, deben ser inscritos a petición de los titulares antes del 6 de abril de 2025, y que luego de dicha fecha no se </w:t>
      </w:r>
      <w:r>
        <w:t>admitirán a trámite las inscripciones de los derechos, los cuales caducarán sin más trámite.</w:t>
      </w:r>
    </w:p>
    <w:p w:rsidR="0053290B" w:rsidRDefault="005541BE">
      <w:pPr>
        <w:pStyle w:val="Textoindependiente"/>
        <w:spacing w:before="1" w:line="480" w:lineRule="auto"/>
        <w:ind w:left="1582" w:right="122"/>
        <w:jc w:val="both"/>
      </w:pPr>
      <w:r>
        <w:t>Sin embargo, consideramos que el legislador no se percató de un problema práctico que ocurre</w:t>
      </w:r>
      <w:r>
        <w:rPr>
          <w:spacing w:val="-1"/>
        </w:rPr>
        <w:t xml:space="preserve"> </w:t>
      </w:r>
      <w:r>
        <w:t>en el caso de la constitución de nuevos Conservadores de Bienes Raíces</w:t>
      </w:r>
      <w:r>
        <w:t>, en cuyo caso, se debe proceder a tramitar la inscripción en el antiguo Conservador como en el que será competente desde esta nueva incorporación.</w:t>
      </w:r>
    </w:p>
    <w:p w:rsidR="0053290B" w:rsidRDefault="005541BE">
      <w:pPr>
        <w:pStyle w:val="Textoindependiente"/>
        <w:spacing w:before="1" w:line="480" w:lineRule="auto"/>
        <w:ind w:left="1582" w:right="118"/>
        <w:jc w:val="both"/>
      </w:pPr>
      <w:r>
        <w:t>Así, resulta de toda lógica facilitar este trámite, permitiendo que la inscripción en el nuevo</w:t>
      </w:r>
      <w:r>
        <w:rPr>
          <w:spacing w:val="-15"/>
        </w:rPr>
        <w:t xml:space="preserve"> </w:t>
      </w:r>
      <w:r>
        <w:t>Conservador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Bienes</w:t>
      </w:r>
      <w:r>
        <w:rPr>
          <w:spacing w:val="-15"/>
        </w:rPr>
        <w:t xml:space="preserve"> </w:t>
      </w:r>
      <w:r>
        <w:t>Raíces</w:t>
      </w:r>
      <w:r>
        <w:rPr>
          <w:spacing w:val="-15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tramitada</w:t>
      </w:r>
      <w:r>
        <w:rPr>
          <w:spacing w:val="-15"/>
        </w:rPr>
        <w:t xml:space="preserve"> </w:t>
      </w:r>
      <w:r>
        <w:t>vía</w:t>
      </w:r>
      <w:r>
        <w:rPr>
          <w:spacing w:val="-15"/>
        </w:rPr>
        <w:t xml:space="preserve"> </w:t>
      </w:r>
      <w:r>
        <w:t>oficio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ambos</w:t>
      </w:r>
      <w:r>
        <w:rPr>
          <w:spacing w:val="-15"/>
        </w:rPr>
        <w:t xml:space="preserve"> </w:t>
      </w:r>
      <w:r>
        <w:t>organismos involucrados, sin que esto implique una carga para el dueño de los derechos, quien y</w:t>
      </w:r>
      <w:r>
        <w:t>a realizó la inscripción cuando correspondía.</w:t>
      </w:r>
    </w:p>
    <w:p w:rsidR="0053290B" w:rsidRDefault="0053290B">
      <w:pPr>
        <w:pStyle w:val="Textoindependiente"/>
        <w:rPr>
          <w:sz w:val="26"/>
        </w:rPr>
      </w:pPr>
    </w:p>
    <w:p w:rsidR="0053290B" w:rsidRDefault="0053290B">
      <w:pPr>
        <w:pStyle w:val="Textoindependiente"/>
        <w:spacing w:before="1"/>
        <w:rPr>
          <w:sz w:val="22"/>
        </w:rPr>
      </w:pPr>
    </w:p>
    <w:p w:rsidR="0053290B" w:rsidRDefault="005541BE">
      <w:pPr>
        <w:pStyle w:val="Prrafodelista"/>
        <w:numPr>
          <w:ilvl w:val="0"/>
          <w:numId w:val="1"/>
        </w:numPr>
        <w:tabs>
          <w:tab w:val="left" w:pos="1581"/>
        </w:tabs>
        <w:ind w:left="1581" w:hanging="607"/>
        <w:jc w:val="left"/>
        <w:rPr>
          <w:b/>
          <w:sz w:val="24"/>
        </w:rPr>
      </w:pPr>
      <w:r>
        <w:rPr>
          <w:b/>
          <w:spacing w:val="-4"/>
          <w:sz w:val="24"/>
        </w:rPr>
        <w:t>PROPUESTA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LEGISLATIVA:</w:t>
      </w:r>
    </w:p>
    <w:p w:rsidR="0053290B" w:rsidRDefault="0053290B">
      <w:pPr>
        <w:pStyle w:val="Textoindependiente"/>
        <w:rPr>
          <w:b/>
        </w:rPr>
      </w:pPr>
    </w:p>
    <w:p w:rsidR="0053290B" w:rsidRDefault="005541BE">
      <w:pPr>
        <w:pStyle w:val="Textoindependiente"/>
        <w:spacing w:line="480" w:lineRule="auto"/>
        <w:ind w:left="1582" w:right="120"/>
        <w:jc w:val="both"/>
      </w:pPr>
      <w:r>
        <w:t>La presente propuesta tiene por objeto facilitar el procedimiento de inscripción de derechos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entren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oficios</w:t>
      </w:r>
      <w:r>
        <w:rPr>
          <w:spacing w:val="-2"/>
        </w:rPr>
        <w:t xml:space="preserve"> conservatorios,</w:t>
      </w:r>
    </w:p>
    <w:p w:rsidR="0053290B" w:rsidRDefault="0053290B">
      <w:pPr>
        <w:spacing w:line="480" w:lineRule="auto"/>
        <w:jc w:val="both"/>
        <w:sectPr w:rsidR="0053290B">
          <w:pgSz w:w="12240" w:h="15840"/>
          <w:pgMar w:top="1340" w:right="1580" w:bottom="2000" w:left="840" w:header="0" w:footer="1819" w:gutter="0"/>
          <w:cols w:space="720"/>
        </w:sectPr>
      </w:pPr>
    </w:p>
    <w:p w:rsidR="0053290B" w:rsidRDefault="005541BE">
      <w:pPr>
        <w:pStyle w:val="Textoindependiente"/>
        <w:spacing w:before="75" w:line="480" w:lineRule="auto"/>
        <w:ind w:left="1582" w:right="120"/>
        <w:jc w:val="both"/>
      </w:pPr>
      <w:r>
        <w:lastRenderedPageBreak/>
        <w:t xml:space="preserve">evitando que la inscripción deba llevarse a cabo en dos Conservadores de Bienes Raíces, pues esto será gestionado mediante traspaso del antiguo al nuevo oficio </w:t>
      </w:r>
      <w:r>
        <w:rPr>
          <w:spacing w:val="-2"/>
        </w:rPr>
        <w:t>competente.</w:t>
      </w:r>
    </w:p>
    <w:p w:rsidR="0053290B" w:rsidRDefault="0053290B">
      <w:pPr>
        <w:pStyle w:val="Textoindependiente"/>
        <w:rPr>
          <w:sz w:val="26"/>
        </w:rPr>
      </w:pPr>
    </w:p>
    <w:p w:rsidR="0053290B" w:rsidRDefault="0053290B">
      <w:pPr>
        <w:pStyle w:val="Textoindependiente"/>
        <w:rPr>
          <w:sz w:val="22"/>
        </w:rPr>
      </w:pPr>
    </w:p>
    <w:p w:rsidR="0053290B" w:rsidRDefault="005541BE">
      <w:pPr>
        <w:pStyle w:val="Prrafodelista"/>
        <w:numPr>
          <w:ilvl w:val="0"/>
          <w:numId w:val="1"/>
        </w:numPr>
        <w:tabs>
          <w:tab w:val="left" w:pos="1581"/>
        </w:tabs>
        <w:ind w:left="1581" w:hanging="700"/>
        <w:jc w:val="left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LEY:</w:t>
      </w:r>
    </w:p>
    <w:p w:rsidR="0053290B" w:rsidRDefault="0053290B">
      <w:pPr>
        <w:pStyle w:val="Textoindependiente"/>
        <w:rPr>
          <w:b/>
        </w:rPr>
      </w:pPr>
    </w:p>
    <w:p w:rsidR="0053290B" w:rsidRDefault="005541BE">
      <w:pPr>
        <w:pStyle w:val="Textoindependiente"/>
        <w:spacing w:line="480" w:lineRule="auto"/>
        <w:ind w:left="1582" w:right="118"/>
        <w:jc w:val="both"/>
      </w:pPr>
      <w:r>
        <w:t>Agréguese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sexto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transitorio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Ley </w:t>
      </w:r>
      <w:r>
        <w:rPr>
          <w:spacing w:val="-2"/>
        </w:rPr>
        <w:t>21.435:</w:t>
      </w:r>
    </w:p>
    <w:p w:rsidR="0053290B" w:rsidRDefault="005541BE">
      <w:pPr>
        <w:spacing w:before="1" w:line="480" w:lineRule="auto"/>
        <w:ind w:left="2018" w:firstLine="206"/>
        <w:rPr>
          <w:i/>
          <w:sz w:val="24"/>
        </w:rPr>
      </w:pPr>
      <w:r>
        <w:rPr>
          <w:i/>
          <w:sz w:val="24"/>
        </w:rPr>
        <w:t>“En aquellos casos en los que entren en funcionamiento nuevos oficios conservatorios,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inscripción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aguas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realizarse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</w:p>
    <w:p w:rsidR="0053290B" w:rsidRDefault="005541BE">
      <w:pPr>
        <w:spacing w:line="480" w:lineRule="auto"/>
        <w:ind w:left="1668" w:right="210"/>
        <w:jc w:val="center"/>
        <w:rPr>
          <w:i/>
          <w:sz w:val="24"/>
        </w:rPr>
      </w:pPr>
      <w:r>
        <w:rPr>
          <w:i/>
          <w:sz w:val="24"/>
        </w:rPr>
        <w:t>concluirse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oficio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competente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anterioridad.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Transcurrido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plazo señalado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precedente,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Propiedad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 todos sus antecedentes serán traspasados al nuevo oficio competente.”</w:t>
      </w:r>
    </w:p>
    <w:sectPr w:rsidR="0053290B">
      <w:footerReference w:type="default" r:id="rId9"/>
      <w:pgSz w:w="12240" w:h="15840"/>
      <w:pgMar w:top="1340" w:right="158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1BE" w:rsidRDefault="005541BE">
      <w:r>
        <w:separator/>
      </w:r>
    </w:p>
  </w:endnote>
  <w:endnote w:type="continuationSeparator" w:id="0">
    <w:p w:rsidR="005541BE" w:rsidRDefault="0055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90B" w:rsidRDefault="005541B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8776462</wp:posOffset>
              </wp:positionV>
              <wp:extent cx="182943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054" y="9143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579B7" id="Graphic 1" o:spid="_x0000_s1026" style="position:absolute;margin-left:85.1pt;margin-top:691.05pt;width:144.05pt;height:.7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" path="m1829054,l,,,9143r1829054,l182905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1042720</wp:posOffset>
              </wp:positionH>
              <wp:positionV relativeFrom="page">
                <wp:posOffset>8852865</wp:posOffset>
              </wp:positionV>
              <wp:extent cx="4531995" cy="3187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199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290B" w:rsidRDefault="005541BE">
                          <w:pPr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“Se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aprobó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reforma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Código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Aguas”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Aguas.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Disponible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en: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https://dga.mop.gob.cl/noticias/Paginas/DetalledeNoticias.aspx?item=820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2.1pt;margin-top:697.1pt;width:356.85pt;height:25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" filled="f" stroked="f">
              <v:textbox inset="0,0,0,0">
                <w:txbxContent>
                  <w:p w:rsidR="0053290B" w:rsidRDefault="005541BE">
                    <w:pPr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“Se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aprobó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reforma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Código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Aguas”</w:t>
                    </w:r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Dirección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General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Aguas.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Disponible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en: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https://dga.mop.gob.cl/noticias/Paginas/DetalledeNoticias.aspx?item=820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90B" w:rsidRDefault="0053290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1BE" w:rsidRDefault="005541BE">
      <w:r>
        <w:separator/>
      </w:r>
    </w:p>
  </w:footnote>
  <w:footnote w:type="continuationSeparator" w:id="0">
    <w:p w:rsidR="005541BE" w:rsidRDefault="0055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73A4"/>
    <w:multiLevelType w:val="hybridMultilevel"/>
    <w:tmpl w:val="6082EB68"/>
    <w:lvl w:ilvl="0" w:tplc="9BFC8948">
      <w:start w:val="1"/>
      <w:numFmt w:val="upperRoman"/>
      <w:lvlText w:val="%1."/>
      <w:lvlJc w:val="left"/>
      <w:pPr>
        <w:ind w:left="158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5D4CD4C">
      <w:numFmt w:val="bullet"/>
      <w:lvlText w:val="•"/>
      <w:lvlJc w:val="left"/>
      <w:pPr>
        <w:ind w:left="2404" w:hanging="514"/>
      </w:pPr>
      <w:rPr>
        <w:rFonts w:hint="default"/>
        <w:lang w:val="es-ES" w:eastAsia="en-US" w:bidi="ar-SA"/>
      </w:rPr>
    </w:lvl>
    <w:lvl w:ilvl="2" w:tplc="5AF6F344">
      <w:numFmt w:val="bullet"/>
      <w:lvlText w:val="•"/>
      <w:lvlJc w:val="left"/>
      <w:pPr>
        <w:ind w:left="3228" w:hanging="514"/>
      </w:pPr>
      <w:rPr>
        <w:rFonts w:hint="default"/>
        <w:lang w:val="es-ES" w:eastAsia="en-US" w:bidi="ar-SA"/>
      </w:rPr>
    </w:lvl>
    <w:lvl w:ilvl="3" w:tplc="F6E68CD6">
      <w:numFmt w:val="bullet"/>
      <w:lvlText w:val="•"/>
      <w:lvlJc w:val="left"/>
      <w:pPr>
        <w:ind w:left="4052" w:hanging="514"/>
      </w:pPr>
      <w:rPr>
        <w:rFonts w:hint="default"/>
        <w:lang w:val="es-ES" w:eastAsia="en-US" w:bidi="ar-SA"/>
      </w:rPr>
    </w:lvl>
    <w:lvl w:ilvl="4" w:tplc="90CC57DA">
      <w:numFmt w:val="bullet"/>
      <w:lvlText w:val="•"/>
      <w:lvlJc w:val="left"/>
      <w:pPr>
        <w:ind w:left="4876" w:hanging="514"/>
      </w:pPr>
      <w:rPr>
        <w:rFonts w:hint="default"/>
        <w:lang w:val="es-ES" w:eastAsia="en-US" w:bidi="ar-SA"/>
      </w:rPr>
    </w:lvl>
    <w:lvl w:ilvl="5" w:tplc="C5363626">
      <w:numFmt w:val="bullet"/>
      <w:lvlText w:val="•"/>
      <w:lvlJc w:val="left"/>
      <w:pPr>
        <w:ind w:left="5700" w:hanging="514"/>
      </w:pPr>
      <w:rPr>
        <w:rFonts w:hint="default"/>
        <w:lang w:val="es-ES" w:eastAsia="en-US" w:bidi="ar-SA"/>
      </w:rPr>
    </w:lvl>
    <w:lvl w:ilvl="6" w:tplc="E08E6A76">
      <w:numFmt w:val="bullet"/>
      <w:lvlText w:val="•"/>
      <w:lvlJc w:val="left"/>
      <w:pPr>
        <w:ind w:left="6524" w:hanging="514"/>
      </w:pPr>
      <w:rPr>
        <w:rFonts w:hint="default"/>
        <w:lang w:val="es-ES" w:eastAsia="en-US" w:bidi="ar-SA"/>
      </w:rPr>
    </w:lvl>
    <w:lvl w:ilvl="7" w:tplc="9E62AE10">
      <w:numFmt w:val="bullet"/>
      <w:lvlText w:val="•"/>
      <w:lvlJc w:val="left"/>
      <w:pPr>
        <w:ind w:left="7348" w:hanging="514"/>
      </w:pPr>
      <w:rPr>
        <w:rFonts w:hint="default"/>
        <w:lang w:val="es-ES" w:eastAsia="en-US" w:bidi="ar-SA"/>
      </w:rPr>
    </w:lvl>
    <w:lvl w:ilvl="8" w:tplc="3E7EEBAE">
      <w:numFmt w:val="bullet"/>
      <w:lvlText w:val="•"/>
      <w:lvlJc w:val="left"/>
      <w:pPr>
        <w:ind w:left="8172" w:hanging="5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90B"/>
    <w:rsid w:val="000300BF"/>
    <w:rsid w:val="0053290B"/>
    <w:rsid w:val="005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1" w:hanging="7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Guillermo Diaz Vallejos</cp:lastModifiedBy>
  <cp:revision>1</cp:revision>
  <dcterms:created xsi:type="dcterms:W3CDTF">2023-07-14T14:17:00Z</dcterms:created>
  <dcterms:modified xsi:type="dcterms:W3CDTF">2023-07-24T23:40:00Z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