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3236" w:rsidRDefault="00B43CF4">
      <w:pPr>
        <w:pStyle w:val="Textoindependiente"/>
        <w:ind w:left="39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98246" cy="6949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2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236" w:rsidRDefault="00013236">
      <w:pPr>
        <w:pStyle w:val="Textoindependiente"/>
        <w:spacing w:before="6"/>
        <w:rPr>
          <w:rFonts w:ascii="Times New Roman"/>
          <w:sz w:val="12"/>
        </w:rPr>
      </w:pPr>
    </w:p>
    <w:p w:rsidR="00013236" w:rsidRDefault="00B43CF4">
      <w:pPr>
        <w:pStyle w:val="Ttulo"/>
        <w:spacing w:line="276" w:lineRule="auto"/>
        <w:rPr>
          <w:b/>
        </w:rPr>
      </w:pPr>
      <w:r>
        <w:rPr>
          <w:b/>
        </w:rPr>
        <w:t>Establece la facultad de iniciar procesos disciplinarios</w:t>
      </w:r>
      <w:r>
        <w:rPr>
          <w:b/>
          <w:spacing w:val="-6"/>
        </w:rPr>
        <w:t xml:space="preserve"> </w:t>
      </w:r>
      <w:r>
        <w:rPr>
          <w:b/>
        </w:rPr>
        <w:t>en</w:t>
      </w:r>
      <w:r>
        <w:rPr>
          <w:b/>
          <w:spacing w:val="-9"/>
        </w:rPr>
        <w:t xml:space="preserve"> </w:t>
      </w:r>
      <w:r>
        <w:rPr>
          <w:b/>
        </w:rPr>
        <w:t>contra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funcionarios</w:t>
      </w:r>
      <w:r>
        <w:rPr>
          <w:b/>
          <w:spacing w:val="-8"/>
        </w:rPr>
        <w:t xml:space="preserve"> </w:t>
      </w:r>
      <w:r>
        <w:rPr>
          <w:b/>
        </w:rPr>
        <w:t xml:space="preserve">públicos, hasta tres meses después de haber cesado en sus </w:t>
      </w:r>
      <w:r>
        <w:rPr>
          <w:b/>
          <w:spacing w:val="-2"/>
        </w:rPr>
        <w:t>funciones.</w:t>
      </w:r>
    </w:p>
    <w:p w:rsidR="00013236" w:rsidRDefault="00013236">
      <w:pPr>
        <w:pStyle w:val="Textoindependiente"/>
        <w:rPr>
          <w:b/>
          <w:sz w:val="36"/>
        </w:rPr>
      </w:pPr>
    </w:p>
    <w:p w:rsidR="00013236" w:rsidRDefault="00013236">
      <w:pPr>
        <w:pStyle w:val="Textoindependiente"/>
        <w:rPr>
          <w:b/>
          <w:sz w:val="36"/>
        </w:rPr>
      </w:pPr>
    </w:p>
    <w:p w:rsidR="00013236" w:rsidRDefault="00B43CF4">
      <w:pPr>
        <w:pStyle w:val="Textoindependiente"/>
        <w:spacing w:before="283"/>
        <w:ind w:left="102"/>
        <w:rPr>
          <w:b/>
        </w:rPr>
      </w:pPr>
      <w:r>
        <w:rPr>
          <w:b/>
          <w:spacing w:val="-2"/>
        </w:rPr>
        <w:t>Fundamentos:</w:t>
      </w:r>
    </w:p>
    <w:p w:rsidR="00013236" w:rsidRDefault="00013236">
      <w:pPr>
        <w:pStyle w:val="Textoindependiente"/>
        <w:rPr>
          <w:b/>
          <w:sz w:val="28"/>
        </w:rPr>
      </w:pPr>
    </w:p>
    <w:p w:rsidR="00013236" w:rsidRDefault="00013236">
      <w:pPr>
        <w:pStyle w:val="Textoindependiente"/>
        <w:spacing w:before="6"/>
        <w:rPr>
          <w:b/>
          <w:sz w:val="30"/>
        </w:rPr>
      </w:pPr>
    </w:p>
    <w:p w:rsidR="00013236" w:rsidRDefault="00B43CF4">
      <w:pPr>
        <w:pStyle w:val="Prrafodelista"/>
        <w:numPr>
          <w:ilvl w:val="0"/>
          <w:numId w:val="2"/>
        </w:numPr>
        <w:tabs>
          <w:tab w:val="left" w:pos="821"/>
        </w:tabs>
        <w:spacing w:line="357" w:lineRule="auto"/>
        <w:ind w:left="821" w:right="116"/>
        <w:rPr>
          <w:sz w:val="24"/>
        </w:rPr>
      </w:pPr>
      <w:r>
        <w:rPr>
          <w:sz w:val="24"/>
        </w:rPr>
        <w:t>En un Estado democrático y de derecho, la Administración pública debe regirse por principios como la transparencia, la legalidad, la imparcialidad y la responsabilidad. Estos principios son fundamentales para garantizar el correcto funcionamiento de las in</w:t>
      </w:r>
      <w:r>
        <w:rPr>
          <w:sz w:val="24"/>
        </w:rPr>
        <w:t>stituciones y proteger los intereses de la sociedad en su conjunto.</w:t>
      </w:r>
    </w:p>
    <w:p w:rsidR="00013236" w:rsidRDefault="00013236">
      <w:pPr>
        <w:pStyle w:val="Textoindependiente"/>
        <w:spacing w:before="9"/>
        <w:rPr>
          <w:sz w:val="36"/>
        </w:rPr>
      </w:pPr>
    </w:p>
    <w:p w:rsidR="00013236" w:rsidRDefault="00B43CF4">
      <w:pPr>
        <w:pStyle w:val="Prrafodelista"/>
        <w:numPr>
          <w:ilvl w:val="0"/>
          <w:numId w:val="2"/>
        </w:numPr>
        <w:tabs>
          <w:tab w:val="left" w:pos="821"/>
        </w:tabs>
        <w:spacing w:line="360" w:lineRule="auto"/>
        <w:ind w:left="821" w:right="117"/>
        <w:rPr>
          <w:sz w:val="16"/>
        </w:rPr>
      </w:pPr>
      <w:r>
        <w:rPr>
          <w:sz w:val="24"/>
        </w:rPr>
        <w:t>Cuando estos principios son transgredidos por los funcionarios, la Administración cuenta con mecanismos para determinar si existe o no responsabilidad administrativa. Entre estos mecanism</w:t>
      </w:r>
      <w:r>
        <w:rPr>
          <w:sz w:val="24"/>
        </w:rPr>
        <w:t>os encontramos a los procedimientos administrativos disciplinarios, los cuales</w:t>
      </w:r>
      <w:r>
        <w:rPr>
          <w:spacing w:val="-20"/>
          <w:sz w:val="24"/>
        </w:rPr>
        <w:t xml:space="preserve"> </w:t>
      </w:r>
      <w:r>
        <w:rPr>
          <w:sz w:val="24"/>
        </w:rPr>
        <w:t>podrían</w:t>
      </w:r>
      <w:r>
        <w:rPr>
          <w:spacing w:val="-19"/>
          <w:sz w:val="24"/>
        </w:rPr>
        <w:t xml:space="preserve"> </w:t>
      </w:r>
      <w:r>
        <w:rPr>
          <w:sz w:val="24"/>
        </w:rPr>
        <w:t>definirse</w:t>
      </w:r>
      <w:r>
        <w:rPr>
          <w:spacing w:val="-19"/>
          <w:sz w:val="24"/>
        </w:rPr>
        <w:t xml:space="preserve"> </w:t>
      </w:r>
      <w:r>
        <w:rPr>
          <w:sz w:val="24"/>
        </w:rPr>
        <w:t>como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“aquellos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procedimientos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sancionatorios regulados por el legislador con el objeto de hacer efectivas las responsabilidades disciplinarias de los funcionar</w:t>
      </w:r>
      <w:r>
        <w:rPr>
          <w:i/>
          <w:sz w:val="24"/>
        </w:rPr>
        <w:t>ios o exservidores públicos sobre la base del resguardo del derecho fundamental del debido proceso.”</w:t>
      </w:r>
      <w:r>
        <w:rPr>
          <w:position w:val="6"/>
          <w:sz w:val="16"/>
        </w:rPr>
        <w:t>1</w:t>
      </w:r>
    </w:p>
    <w:p w:rsidR="00013236" w:rsidRDefault="00013236">
      <w:pPr>
        <w:pStyle w:val="Textoindependiente"/>
        <w:rPr>
          <w:sz w:val="20"/>
        </w:rPr>
      </w:pPr>
    </w:p>
    <w:p w:rsidR="00013236" w:rsidRDefault="00013236">
      <w:pPr>
        <w:pStyle w:val="Textoindependiente"/>
        <w:rPr>
          <w:sz w:val="20"/>
        </w:rPr>
      </w:pPr>
    </w:p>
    <w:p w:rsidR="00013236" w:rsidRDefault="00013236">
      <w:pPr>
        <w:pStyle w:val="Textoindependiente"/>
        <w:rPr>
          <w:sz w:val="20"/>
        </w:rPr>
      </w:pPr>
    </w:p>
    <w:p w:rsidR="00013236" w:rsidRDefault="00B43CF4">
      <w:pPr>
        <w:pStyle w:val="Textoindependiente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216321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C489D" id="Graphic 2" o:spid="_x0000_s1026" style="position:absolute;margin-left:85.1pt;margin-top:17.0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13236" w:rsidRDefault="00B43CF4">
      <w:pPr>
        <w:spacing w:before="102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Gabriel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Celis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Danzinger,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Derecho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Función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Pública,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Pág.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500.</w:t>
      </w:r>
    </w:p>
    <w:p w:rsidR="00013236" w:rsidRDefault="00013236">
      <w:pPr>
        <w:rPr>
          <w:rFonts w:ascii="Calibri" w:hAnsi="Calibri"/>
          <w:sz w:val="20"/>
        </w:rPr>
        <w:sectPr w:rsidR="00013236">
          <w:type w:val="continuous"/>
          <w:pgSz w:w="12240" w:h="15840"/>
          <w:pgMar w:top="1480" w:right="1580" w:bottom="280" w:left="1600" w:header="720" w:footer="720" w:gutter="0"/>
          <w:cols w:space="720"/>
        </w:sectPr>
      </w:pPr>
    </w:p>
    <w:p w:rsidR="00013236" w:rsidRDefault="00B43CF4">
      <w:pPr>
        <w:pStyle w:val="Prrafodelista"/>
        <w:numPr>
          <w:ilvl w:val="0"/>
          <w:numId w:val="2"/>
        </w:numPr>
        <w:tabs>
          <w:tab w:val="left" w:pos="821"/>
        </w:tabs>
        <w:spacing w:before="75" w:line="360" w:lineRule="auto"/>
        <w:ind w:left="821" w:right="116"/>
        <w:rPr>
          <w:i/>
          <w:sz w:val="24"/>
        </w:rPr>
      </w:pPr>
      <w:r>
        <w:rPr>
          <w:sz w:val="24"/>
        </w:rPr>
        <w:lastRenderedPageBreak/>
        <w:t>El Sumario Administrativo, es uno de ellos, sumamente formalizado en la ley N°18.834,</w:t>
      </w:r>
      <w:r>
        <w:rPr>
          <w:spacing w:val="-2"/>
          <w:sz w:val="24"/>
        </w:rPr>
        <w:t xml:space="preserve"> </w:t>
      </w:r>
      <w:r>
        <w:rPr>
          <w:sz w:val="24"/>
        </w:rPr>
        <w:t>aplicable a los funcionarios regidos precisamente por el Estatuto Administrativo. En efecto, se trata de un procedimiento de lato conocimiento y de múltiples formalidades</w:t>
      </w:r>
      <w:r>
        <w:rPr>
          <w:sz w:val="24"/>
        </w:rPr>
        <w:t xml:space="preserve"> que tiene por objeto investigar aquellas infracciones de mayor gravedad, como lo sostiene el artículo 128 del mismo cuerpo legal: </w:t>
      </w:r>
      <w:r>
        <w:rPr>
          <w:i/>
          <w:sz w:val="24"/>
        </w:rPr>
        <w:t>“Si la naturaleza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 los hechos denunciados o su gravedad así lo exigiere, a juicio de la institución, el Secretario Regional</w:t>
      </w:r>
      <w:r>
        <w:rPr>
          <w:i/>
          <w:sz w:val="24"/>
        </w:rPr>
        <w:t xml:space="preserve"> Ministerial o el Director Regional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servicios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nacionales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desconcentrados,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según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corresponda, se dispondrá la instrucción de un sumario administrativo.”</w:t>
      </w:r>
    </w:p>
    <w:p w:rsidR="00013236" w:rsidRDefault="00013236">
      <w:pPr>
        <w:pStyle w:val="Textoindependiente"/>
        <w:spacing w:before="8"/>
        <w:rPr>
          <w:i/>
          <w:sz w:val="35"/>
        </w:rPr>
      </w:pPr>
    </w:p>
    <w:p w:rsidR="00013236" w:rsidRDefault="00B43CF4">
      <w:pPr>
        <w:pStyle w:val="Prrafodelista"/>
        <w:numPr>
          <w:ilvl w:val="0"/>
          <w:numId w:val="2"/>
        </w:numPr>
        <w:tabs>
          <w:tab w:val="left" w:pos="821"/>
        </w:tabs>
        <w:spacing w:line="357" w:lineRule="auto"/>
        <w:ind w:left="821"/>
        <w:rPr>
          <w:sz w:val="24"/>
        </w:rPr>
      </w:pPr>
      <w:r>
        <w:rPr>
          <w:sz w:val="24"/>
        </w:rPr>
        <w:t>La renuncia es el</w:t>
      </w:r>
      <w:r>
        <w:rPr>
          <w:spacing w:val="-1"/>
          <w:sz w:val="24"/>
        </w:rPr>
        <w:t xml:space="preserve"> </w:t>
      </w:r>
      <w:r>
        <w:rPr>
          <w:sz w:val="24"/>
        </w:rPr>
        <w:t>acto a través del</w:t>
      </w:r>
      <w:r>
        <w:rPr>
          <w:spacing w:val="-1"/>
          <w:sz w:val="24"/>
        </w:rPr>
        <w:t xml:space="preserve"> </w:t>
      </w:r>
      <w:r>
        <w:rPr>
          <w:sz w:val="24"/>
        </w:rPr>
        <w:t>cual el</w:t>
      </w:r>
      <w:r>
        <w:rPr>
          <w:spacing w:val="-1"/>
          <w:sz w:val="24"/>
        </w:rPr>
        <w:t xml:space="preserve"> </w:t>
      </w:r>
      <w:r>
        <w:rPr>
          <w:sz w:val="24"/>
        </w:rPr>
        <w:t>funcionario manifiesta a la autoridad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nombró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voluntad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hacer</w:t>
      </w:r>
      <w:r>
        <w:rPr>
          <w:spacing w:val="-4"/>
          <w:sz w:val="24"/>
        </w:rPr>
        <w:t xml:space="preserve"> </w:t>
      </w:r>
      <w:r>
        <w:rPr>
          <w:sz w:val="24"/>
        </w:rPr>
        <w:t>abandono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cargo, por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vez</w:t>
      </w:r>
      <w:r>
        <w:rPr>
          <w:spacing w:val="-3"/>
          <w:sz w:val="24"/>
        </w:rPr>
        <w:t xml:space="preserve"> </w:t>
      </w:r>
      <w:r>
        <w:rPr>
          <w:sz w:val="24"/>
        </w:rPr>
        <w:t>aceptada,</w:t>
      </w:r>
      <w:r>
        <w:rPr>
          <w:spacing w:val="-3"/>
          <w:sz w:val="24"/>
        </w:rPr>
        <w:t xml:space="preserve"> </w:t>
      </w:r>
      <w:r>
        <w:rPr>
          <w:sz w:val="24"/>
        </w:rPr>
        <w:t>éste</w:t>
      </w:r>
      <w:r>
        <w:rPr>
          <w:spacing w:val="-3"/>
          <w:sz w:val="24"/>
        </w:rPr>
        <w:t xml:space="preserve"> </w:t>
      </w:r>
      <w:r>
        <w:rPr>
          <w:sz w:val="24"/>
        </w:rPr>
        <w:t>figura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exfuncionario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por lo tanto, exonerado de una eventual responsabilidad administrativa de acuerdo a lo dispuesto</w:t>
      </w:r>
      <w:r>
        <w:rPr>
          <w:sz w:val="24"/>
        </w:rPr>
        <w:t xml:space="preserve"> en el artículo 157 bis del Estatuto </w:t>
      </w:r>
      <w:r>
        <w:rPr>
          <w:spacing w:val="-2"/>
          <w:sz w:val="24"/>
        </w:rPr>
        <w:t>Administrativo.</w:t>
      </w:r>
    </w:p>
    <w:p w:rsidR="00013236" w:rsidRDefault="00013236">
      <w:pPr>
        <w:pStyle w:val="Textoindependiente"/>
        <w:spacing w:before="9"/>
        <w:rPr>
          <w:sz w:val="36"/>
        </w:rPr>
      </w:pPr>
    </w:p>
    <w:p w:rsidR="00013236" w:rsidRDefault="00B43CF4">
      <w:pPr>
        <w:pStyle w:val="Prrafodelista"/>
        <w:numPr>
          <w:ilvl w:val="0"/>
          <w:numId w:val="2"/>
        </w:numPr>
        <w:tabs>
          <w:tab w:val="left" w:pos="821"/>
        </w:tabs>
        <w:spacing w:line="360" w:lineRule="auto"/>
        <w:ind w:left="821"/>
        <w:rPr>
          <w:sz w:val="24"/>
        </w:rPr>
      </w:pPr>
      <w:r>
        <w:rPr>
          <w:sz w:val="24"/>
        </w:rPr>
        <w:t>De ahí que el Estatuto Administrativo estableciera algunas normas especiales para evitar que el funcionario, haciendo uso de esta atribución,</w:t>
      </w:r>
      <w:r>
        <w:rPr>
          <w:spacing w:val="-5"/>
          <w:sz w:val="24"/>
        </w:rPr>
        <w:t xml:space="preserve"> </w:t>
      </w:r>
      <w:r>
        <w:rPr>
          <w:sz w:val="24"/>
        </w:rPr>
        <w:t>pueda</w:t>
      </w:r>
      <w:r>
        <w:rPr>
          <w:spacing w:val="-5"/>
          <w:sz w:val="24"/>
        </w:rPr>
        <w:t xml:space="preserve"> </w:t>
      </w:r>
      <w:r>
        <w:rPr>
          <w:sz w:val="24"/>
        </w:rPr>
        <w:t>eludir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haga</w:t>
      </w:r>
      <w:r>
        <w:rPr>
          <w:spacing w:val="-5"/>
          <w:sz w:val="24"/>
        </w:rPr>
        <w:t xml:space="preserve"> </w:t>
      </w:r>
      <w:r>
        <w:rPr>
          <w:sz w:val="24"/>
        </w:rPr>
        <w:t>efectiva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responsabilidad.</w:t>
      </w:r>
      <w:r>
        <w:rPr>
          <w:spacing w:val="-5"/>
          <w:sz w:val="24"/>
        </w:rPr>
        <w:t xml:space="preserve"> </w:t>
      </w:r>
      <w:r>
        <w:rPr>
          <w:sz w:val="24"/>
        </w:rPr>
        <w:t>Por ej</w:t>
      </w:r>
      <w:r>
        <w:rPr>
          <w:sz w:val="24"/>
        </w:rPr>
        <w:t>emplo,</w:t>
      </w:r>
      <w:r>
        <w:rPr>
          <w:spacing w:val="40"/>
          <w:sz w:val="24"/>
        </w:rPr>
        <w:t xml:space="preserve"> </w:t>
      </w:r>
      <w:r>
        <w:rPr>
          <w:sz w:val="24"/>
        </w:rPr>
        <w:t>sujetando su renuncia a una aceptación por parte de la autoridad o,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disponiendo, que si el funcionario cesare en sus funciones una vez iniciado el sumario administrativo, el procedimiento deba continuarse hasta su normal término con la finalidad de </w:t>
      </w:r>
      <w:r>
        <w:rPr>
          <w:sz w:val="24"/>
        </w:rPr>
        <w:t>dejar constancia de la sanción en su hoja de vida (147 inciso final).</w:t>
      </w:r>
    </w:p>
    <w:p w:rsidR="00013236" w:rsidRDefault="00013236">
      <w:pPr>
        <w:pStyle w:val="Textoindependiente"/>
        <w:spacing w:before="6"/>
        <w:rPr>
          <w:sz w:val="35"/>
        </w:rPr>
      </w:pPr>
    </w:p>
    <w:p w:rsidR="00013236" w:rsidRDefault="00B43CF4">
      <w:pPr>
        <w:pStyle w:val="Prrafodelista"/>
        <w:numPr>
          <w:ilvl w:val="0"/>
          <w:numId w:val="2"/>
        </w:numPr>
        <w:tabs>
          <w:tab w:val="left" w:pos="821"/>
        </w:tabs>
        <w:spacing w:before="1" w:line="355" w:lineRule="auto"/>
        <w:ind w:left="821"/>
        <w:rPr>
          <w:sz w:val="24"/>
        </w:rPr>
      </w:pPr>
      <w:r>
        <w:rPr>
          <w:sz w:val="24"/>
        </w:rPr>
        <w:t xml:space="preserve">El término </w:t>
      </w:r>
      <w:r>
        <w:rPr>
          <w:i/>
          <w:sz w:val="24"/>
        </w:rPr>
        <w:t>“</w:t>
      </w:r>
      <w:r>
        <w:rPr>
          <w:sz w:val="24"/>
        </w:rPr>
        <w:t>sumario administrativo</w:t>
      </w:r>
      <w:r>
        <w:rPr>
          <w:i/>
          <w:sz w:val="24"/>
        </w:rPr>
        <w:t xml:space="preserve">” </w:t>
      </w:r>
      <w:r>
        <w:rPr>
          <w:sz w:val="24"/>
        </w:rPr>
        <w:t>aludido en el artículo 147 es genérico para incluir en él a la investigación sumaria, aquello, con el</w:t>
      </w:r>
    </w:p>
    <w:p w:rsidR="00013236" w:rsidRDefault="00013236">
      <w:pPr>
        <w:spacing w:line="355" w:lineRule="auto"/>
        <w:jc w:val="both"/>
        <w:rPr>
          <w:sz w:val="24"/>
        </w:rPr>
        <w:sectPr w:rsidR="00013236">
          <w:pgSz w:w="12240" w:h="15840"/>
          <w:pgMar w:top="1340" w:right="1580" w:bottom="280" w:left="1600" w:header="720" w:footer="720" w:gutter="0"/>
          <w:cols w:space="720"/>
        </w:sectPr>
      </w:pPr>
    </w:p>
    <w:p w:rsidR="00013236" w:rsidRDefault="00B43CF4">
      <w:pPr>
        <w:pStyle w:val="Textoindependiente"/>
        <w:spacing w:before="75" w:line="360" w:lineRule="auto"/>
        <w:ind w:left="821" w:right="118"/>
        <w:jc w:val="both"/>
      </w:pPr>
      <w:r>
        <w:lastRenderedPageBreak/>
        <w:t>objetivo evitar que un funcionario público infractor de sus deberes funcionarios, eluda las consecuencias de su conducta mediante el alejamiento</w:t>
      </w:r>
      <w:r>
        <w:t xml:space="preserve"> del servicio.</w:t>
      </w:r>
    </w:p>
    <w:p w:rsidR="00013236" w:rsidRDefault="00013236">
      <w:pPr>
        <w:pStyle w:val="Textoindependiente"/>
        <w:spacing w:before="1"/>
        <w:rPr>
          <w:sz w:val="36"/>
        </w:rPr>
      </w:pPr>
    </w:p>
    <w:p w:rsidR="00013236" w:rsidRDefault="00B43CF4">
      <w:pPr>
        <w:pStyle w:val="Prrafodelista"/>
        <w:numPr>
          <w:ilvl w:val="0"/>
          <w:numId w:val="2"/>
        </w:numPr>
        <w:tabs>
          <w:tab w:val="left" w:pos="821"/>
        </w:tabs>
        <w:spacing w:line="360" w:lineRule="auto"/>
        <w:ind w:left="821"/>
        <w:rPr>
          <w:sz w:val="24"/>
        </w:rPr>
      </w:pPr>
      <w:r>
        <w:rPr>
          <w:sz w:val="24"/>
        </w:rPr>
        <w:t>Sin embargo, lo que no previó el legislador, es que el funcionario puede ser desvinculado o bien, hacer uso de su derecho a renunciar antes de que la autoridad determine la necesidad de investigarlo. En ambas hipótesis, la Administración qu</w:t>
      </w:r>
      <w:r>
        <w:rPr>
          <w:sz w:val="24"/>
        </w:rPr>
        <w:t>eda sin herramientas para perseguir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-5"/>
          <w:sz w:val="24"/>
        </w:rPr>
        <w:t xml:space="preserve"> </w:t>
      </w:r>
      <w:r>
        <w:rPr>
          <w:sz w:val="24"/>
        </w:rPr>
        <w:t>debido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uno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 requisitos de procedencia del sumario es detentar la calidad de funcionario activo.</w:t>
      </w:r>
    </w:p>
    <w:p w:rsidR="00013236" w:rsidRDefault="00013236">
      <w:pPr>
        <w:pStyle w:val="Textoindependiente"/>
        <w:spacing w:before="7"/>
        <w:rPr>
          <w:sz w:val="35"/>
        </w:rPr>
      </w:pPr>
    </w:p>
    <w:p w:rsidR="00013236" w:rsidRDefault="00B43CF4">
      <w:pPr>
        <w:pStyle w:val="Prrafodelista"/>
        <w:numPr>
          <w:ilvl w:val="0"/>
          <w:numId w:val="2"/>
        </w:numPr>
        <w:tabs>
          <w:tab w:val="left" w:pos="821"/>
        </w:tabs>
        <w:spacing w:line="360" w:lineRule="auto"/>
        <w:ind w:left="821"/>
        <w:rPr>
          <w:i/>
          <w:sz w:val="24"/>
        </w:rPr>
      </w:pPr>
      <w:r>
        <w:rPr>
          <w:sz w:val="24"/>
        </w:rPr>
        <w:t>Esto ha sido corroborado por la Contraloría General de la República 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>ctamen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28.467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“En este sentido,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debe indicar que el artículo 157, letra b), del anotado cuerpo estatutario general previene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 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responsabilidad administrativa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 extingue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cese de funciones, sin perjuicio de lo dispuesto en su artículo 147, el que señala, a su vez, que de encontrarse en tramitación un sumario administrativo,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sucede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comento,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estuviere involucrado un funcionario, y éste cesare en s</w:t>
      </w:r>
      <w:r>
        <w:rPr>
          <w:i/>
          <w:sz w:val="24"/>
        </w:rPr>
        <w:t xml:space="preserve">us funciones, el procedimiento deberá continuarse hasta su normal término, anotándose en su hoja de vida la sanción que el mérito del sumario determine. </w:t>
      </w:r>
      <w:r>
        <w:rPr>
          <w:i/>
          <w:sz w:val="24"/>
          <w:u w:val="single"/>
        </w:rPr>
        <w:t>De esta manera, resulta procedente que, en la especie, se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 xml:space="preserve">disponga el sobreseimiento del señor Rodrigo </w:t>
      </w:r>
      <w:r>
        <w:rPr>
          <w:i/>
          <w:sz w:val="24"/>
          <w:u w:val="single"/>
        </w:rPr>
        <w:t>Díaz Gutiérrez, toda vez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que,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según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la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documentación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acompañada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y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los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registros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que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obran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en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poder de esta Entidad de Control, éste poseía la calidad de ex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funcionario con anterioridad a la data en que se ordenó incoar el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 xml:space="preserve">proceso de la especie, por cuanto </w:t>
      </w:r>
      <w:r>
        <w:rPr>
          <w:i/>
          <w:sz w:val="24"/>
          <w:u w:val="single"/>
        </w:rPr>
        <w:t>cesó en funciones a partir del 5 de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julio de 2008…</w:t>
      </w:r>
      <w:r>
        <w:rPr>
          <w:i/>
          <w:sz w:val="24"/>
        </w:rPr>
        <w:t>”.</w:t>
      </w:r>
    </w:p>
    <w:p w:rsidR="00013236" w:rsidRDefault="00013236">
      <w:pPr>
        <w:spacing w:line="360" w:lineRule="auto"/>
        <w:jc w:val="both"/>
        <w:rPr>
          <w:sz w:val="24"/>
        </w:rPr>
        <w:sectPr w:rsidR="00013236">
          <w:pgSz w:w="12240" w:h="15840"/>
          <w:pgMar w:top="1340" w:right="1580" w:bottom="280" w:left="1600" w:header="720" w:footer="720" w:gutter="0"/>
          <w:cols w:space="720"/>
        </w:sectPr>
      </w:pPr>
    </w:p>
    <w:p w:rsidR="00013236" w:rsidRDefault="00B43CF4">
      <w:pPr>
        <w:pStyle w:val="Prrafodelista"/>
        <w:numPr>
          <w:ilvl w:val="0"/>
          <w:numId w:val="2"/>
        </w:numPr>
        <w:tabs>
          <w:tab w:val="left" w:pos="821"/>
        </w:tabs>
        <w:spacing w:before="75" w:line="360" w:lineRule="auto"/>
        <w:ind w:left="821"/>
        <w:rPr>
          <w:sz w:val="24"/>
        </w:rPr>
      </w:pPr>
      <w:r>
        <w:rPr>
          <w:sz w:val="24"/>
        </w:rPr>
        <w:t>Por ello, en los casos que se quisiera instruir un sumario administrativo</w:t>
      </w:r>
      <w:r>
        <w:rPr>
          <w:spacing w:val="-1"/>
          <w:sz w:val="24"/>
        </w:rPr>
        <w:t xml:space="preserve"> </w:t>
      </w:r>
      <w:r>
        <w:rPr>
          <w:sz w:val="24"/>
        </w:rPr>
        <w:t>contra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exfuncionario,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procede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declarar</w:t>
      </w:r>
      <w:r>
        <w:rPr>
          <w:spacing w:val="-1"/>
          <w:sz w:val="24"/>
        </w:rPr>
        <w:t xml:space="preserve"> </w:t>
      </w:r>
      <w:r>
        <w:rPr>
          <w:sz w:val="24"/>
        </w:rPr>
        <w:t>el sobreseimiento para rectificar aquella irregularidad, quedando el ex servidor en una posición de superioridad frente a la Administración quién no podrá perseguir su eventual infracción.</w:t>
      </w:r>
    </w:p>
    <w:p w:rsidR="00013236" w:rsidRDefault="00013236">
      <w:pPr>
        <w:pStyle w:val="Textoindependiente"/>
        <w:spacing w:before="6"/>
        <w:rPr>
          <w:sz w:val="35"/>
        </w:rPr>
      </w:pPr>
    </w:p>
    <w:p w:rsidR="00013236" w:rsidRDefault="00B43CF4">
      <w:pPr>
        <w:pStyle w:val="Prrafodelista"/>
        <w:numPr>
          <w:ilvl w:val="0"/>
          <w:numId w:val="2"/>
        </w:numPr>
        <w:tabs>
          <w:tab w:val="left" w:pos="821"/>
        </w:tabs>
        <w:spacing w:line="357" w:lineRule="auto"/>
        <w:ind w:left="821"/>
        <w:rPr>
          <w:sz w:val="24"/>
        </w:rPr>
      </w:pPr>
      <w:r>
        <w:rPr>
          <w:sz w:val="24"/>
        </w:rPr>
        <w:t>De ahí la importancia de establecer mecanismos, o hacer de herrami</w:t>
      </w:r>
      <w:r>
        <w:rPr>
          <w:sz w:val="24"/>
        </w:rPr>
        <w:t>entas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vez</w:t>
      </w:r>
      <w:r>
        <w:rPr>
          <w:spacing w:val="-9"/>
          <w:sz w:val="24"/>
        </w:rPr>
        <w:t xml:space="preserve"> </w:t>
      </w:r>
      <w:r>
        <w:rPr>
          <w:sz w:val="24"/>
        </w:rPr>
        <w:t>expirado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cargo o</w:t>
      </w:r>
      <w:r>
        <w:rPr>
          <w:spacing w:val="-12"/>
          <w:sz w:val="24"/>
        </w:rPr>
        <w:t xml:space="preserve"> </w:t>
      </w:r>
      <w:r>
        <w:rPr>
          <w:sz w:val="24"/>
        </w:rPr>
        <w:t>presentada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renuncia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funcionario,</w:t>
      </w:r>
      <w:r>
        <w:rPr>
          <w:spacing w:val="-12"/>
          <w:sz w:val="24"/>
        </w:rPr>
        <w:t xml:space="preserve"> </w:t>
      </w:r>
      <w:r>
        <w:rPr>
          <w:sz w:val="24"/>
        </w:rPr>
        <w:t>ésta</w:t>
      </w:r>
      <w:r>
        <w:rPr>
          <w:spacing w:val="-12"/>
          <w:sz w:val="24"/>
        </w:rPr>
        <w:t xml:space="preserve"> </w:t>
      </w:r>
      <w:r>
        <w:rPr>
          <w:sz w:val="24"/>
        </w:rPr>
        <w:t>pueda</w:t>
      </w:r>
      <w:r>
        <w:rPr>
          <w:spacing w:val="-12"/>
          <w:sz w:val="24"/>
        </w:rPr>
        <w:t xml:space="preserve"> </w:t>
      </w:r>
      <w:r>
        <w:rPr>
          <w:sz w:val="24"/>
        </w:rPr>
        <w:t>perseguir</w:t>
      </w:r>
      <w:r>
        <w:rPr>
          <w:spacing w:val="-10"/>
          <w:sz w:val="24"/>
        </w:rPr>
        <w:t xml:space="preserve"> </w:t>
      </w:r>
      <w:r>
        <w:rPr>
          <w:sz w:val="24"/>
        </w:rPr>
        <w:t>con posterioridad la responsabilidad del o los transgresores.</w:t>
      </w:r>
    </w:p>
    <w:p w:rsidR="00013236" w:rsidRDefault="00013236">
      <w:pPr>
        <w:pStyle w:val="Textoindependiente"/>
        <w:spacing w:before="7"/>
        <w:rPr>
          <w:sz w:val="36"/>
        </w:rPr>
      </w:pPr>
    </w:p>
    <w:p w:rsidR="00013236" w:rsidRDefault="00B43CF4">
      <w:pPr>
        <w:pStyle w:val="Prrafodelista"/>
        <w:numPr>
          <w:ilvl w:val="0"/>
          <w:numId w:val="2"/>
        </w:numPr>
        <w:tabs>
          <w:tab w:val="left" w:pos="821"/>
        </w:tabs>
        <w:spacing w:line="360" w:lineRule="auto"/>
        <w:ind w:left="821" w:right="117"/>
        <w:rPr>
          <w:sz w:val="24"/>
        </w:rPr>
      </w:pPr>
      <w:r>
        <w:rPr>
          <w:sz w:val="24"/>
        </w:rPr>
        <w:t>Mantener</w:t>
      </w:r>
      <w:r>
        <w:rPr>
          <w:spacing w:val="-17"/>
          <w:sz w:val="24"/>
        </w:rPr>
        <w:t xml:space="preserve"> </w:t>
      </w:r>
      <w:r>
        <w:rPr>
          <w:sz w:val="24"/>
        </w:rPr>
        <w:t>abierta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posibilidad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perseguir</w:t>
      </w:r>
      <w:r>
        <w:rPr>
          <w:spacing w:val="-17"/>
          <w:sz w:val="24"/>
        </w:rPr>
        <w:t xml:space="preserve"> </w:t>
      </w:r>
      <w:r>
        <w:rPr>
          <w:sz w:val="24"/>
        </w:rPr>
        <w:t>sus</w:t>
      </w:r>
      <w:r>
        <w:rPr>
          <w:spacing w:val="-17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-17"/>
          <w:sz w:val="24"/>
        </w:rPr>
        <w:t xml:space="preserve"> </w:t>
      </w:r>
      <w:r>
        <w:rPr>
          <w:sz w:val="24"/>
        </w:rPr>
        <w:t>despu</w:t>
      </w:r>
      <w:r>
        <w:rPr>
          <w:sz w:val="24"/>
        </w:rPr>
        <w:t xml:space="preserve">és de haber cesado en el cargo, evita la posibilidad de exonerarlo de responsabilidad prematuramente. La conclusión de un sumario administrativo proporciona un análisis exhaustivo de los hechos, basado en pruebas y evidencias, lo que permite determinar si </w:t>
      </w:r>
      <w:r>
        <w:rPr>
          <w:sz w:val="24"/>
        </w:rPr>
        <w:t>el funcionario ha incurrido en alguna falta o conducta indebida. Si el proceso se interrumpe o simplemente no inicia, se corre el riesgo de que no se alcance una resolución justa y completa.</w:t>
      </w:r>
    </w:p>
    <w:p w:rsidR="00013236" w:rsidRDefault="00013236">
      <w:pPr>
        <w:pStyle w:val="Textoindependiente"/>
        <w:spacing w:before="6"/>
        <w:rPr>
          <w:sz w:val="35"/>
        </w:rPr>
      </w:pPr>
    </w:p>
    <w:p w:rsidR="00013236" w:rsidRDefault="00B43CF4">
      <w:pPr>
        <w:pStyle w:val="Prrafodelista"/>
        <w:numPr>
          <w:ilvl w:val="0"/>
          <w:numId w:val="2"/>
        </w:numPr>
        <w:tabs>
          <w:tab w:val="left" w:pos="821"/>
        </w:tabs>
        <w:spacing w:line="360" w:lineRule="auto"/>
        <w:ind w:left="821" w:right="117"/>
        <w:rPr>
          <w:sz w:val="24"/>
        </w:rPr>
      </w:pPr>
      <w:r>
        <w:rPr>
          <w:sz w:val="24"/>
        </w:rPr>
        <w:t>Además, mantener la integridad del proceso es esencial para gara</w:t>
      </w:r>
      <w:r>
        <w:rPr>
          <w:sz w:val="24"/>
        </w:rPr>
        <w:t>ntizar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-1"/>
          <w:sz w:val="24"/>
        </w:rPr>
        <w:t xml:space="preserve"> </w:t>
      </w:r>
      <w:r>
        <w:rPr>
          <w:sz w:val="24"/>
        </w:rPr>
        <w:t>efectiva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derecho.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efecto,</w:t>
      </w:r>
      <w:r>
        <w:rPr>
          <w:spacing w:val="-1"/>
          <w:sz w:val="24"/>
        </w:rPr>
        <w:t xml:space="preserve"> </w:t>
      </w:r>
      <w:r>
        <w:rPr>
          <w:sz w:val="24"/>
        </w:rPr>
        <w:t>los funcionarios públicos son responsables de sus acciones y deben ser responsables ante la sociedad. Someter a un funcionario ante un procedimiento disciplinario es una forma de garantizar que los funcionarios rindan cuentas por sus actos y, en caso de ha</w:t>
      </w:r>
      <w:r>
        <w:rPr>
          <w:sz w:val="24"/>
        </w:rPr>
        <w:t xml:space="preserve">ber incurrido en conductas inapropiadas, se tomen las medidas </w:t>
      </w:r>
      <w:r>
        <w:rPr>
          <w:spacing w:val="-2"/>
          <w:sz w:val="24"/>
        </w:rPr>
        <w:t>correspondientes.</w:t>
      </w:r>
    </w:p>
    <w:p w:rsidR="00013236" w:rsidRDefault="00013236">
      <w:pPr>
        <w:spacing w:line="360" w:lineRule="auto"/>
        <w:jc w:val="both"/>
        <w:rPr>
          <w:sz w:val="24"/>
        </w:rPr>
        <w:sectPr w:rsidR="00013236">
          <w:pgSz w:w="12240" w:h="15840"/>
          <w:pgMar w:top="1340" w:right="1580" w:bottom="280" w:left="1600" w:header="720" w:footer="720" w:gutter="0"/>
          <w:cols w:space="720"/>
        </w:sectPr>
      </w:pPr>
    </w:p>
    <w:p w:rsidR="00013236" w:rsidRDefault="00B43CF4">
      <w:pPr>
        <w:pStyle w:val="Prrafodelista"/>
        <w:numPr>
          <w:ilvl w:val="0"/>
          <w:numId w:val="2"/>
        </w:numPr>
        <w:tabs>
          <w:tab w:val="left" w:pos="821"/>
        </w:tabs>
        <w:spacing w:before="75" w:line="360" w:lineRule="auto"/>
        <w:ind w:left="821" w:right="114"/>
        <w:rPr>
          <w:sz w:val="24"/>
        </w:rPr>
      </w:pPr>
      <w:r>
        <w:rPr>
          <w:sz w:val="24"/>
        </w:rPr>
        <w:t>A la fecha, la ley se ha convertido en una herramienta a favor de la impunidad que ha debilitado la rendición de cuentas, propiciando al interior de la Administración</w:t>
      </w:r>
      <w:r>
        <w:rPr>
          <w:sz w:val="24"/>
        </w:rPr>
        <w:t xml:space="preserve"> un clima de corrupción y de abuso de poder. De ahí que proponemos establecer un plazo sucinto, pero a nuestro parecer suficiente, de manera de, equilibrando la seguridad jurídica y la necesidad de responsabilizar a quienes incumplen sus deberes funcionari</w:t>
      </w:r>
      <w:r>
        <w:rPr>
          <w:sz w:val="24"/>
        </w:rPr>
        <w:t>os,</w:t>
      </w:r>
      <w:r>
        <w:rPr>
          <w:spacing w:val="40"/>
          <w:sz w:val="24"/>
        </w:rPr>
        <w:t xml:space="preserve"> </w:t>
      </w:r>
      <w:r>
        <w:rPr>
          <w:sz w:val="24"/>
        </w:rPr>
        <w:t>se pueda iniciar un sumario administrativo, aun</w:t>
      </w:r>
      <w:r>
        <w:rPr>
          <w:spacing w:val="-10"/>
          <w:sz w:val="24"/>
        </w:rPr>
        <w:t xml:space="preserve"> </w:t>
      </w:r>
      <w:r>
        <w:rPr>
          <w:sz w:val="24"/>
        </w:rPr>
        <w:t>cuando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hubiese</w:t>
      </w:r>
      <w:r>
        <w:rPr>
          <w:spacing w:val="-10"/>
          <w:sz w:val="24"/>
        </w:rPr>
        <w:t xml:space="preserve"> </w:t>
      </w:r>
      <w:r>
        <w:rPr>
          <w:sz w:val="24"/>
        </w:rPr>
        <w:t>cesado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funciones.</w:t>
      </w:r>
      <w:r>
        <w:rPr>
          <w:spacing w:val="40"/>
          <w:sz w:val="24"/>
        </w:rPr>
        <w:t xml:space="preserve"> </w:t>
      </w:r>
      <w:r>
        <w:rPr>
          <w:sz w:val="24"/>
        </w:rPr>
        <w:t>Una</w:t>
      </w:r>
      <w:r>
        <w:rPr>
          <w:spacing w:val="-10"/>
          <w:sz w:val="24"/>
        </w:rPr>
        <w:t xml:space="preserve"> </w:t>
      </w:r>
      <w:r>
        <w:rPr>
          <w:sz w:val="24"/>
        </w:rPr>
        <w:t>fórmula</w:t>
      </w:r>
      <w:r>
        <w:rPr>
          <w:spacing w:val="-10"/>
          <w:sz w:val="24"/>
        </w:rPr>
        <w:t xml:space="preserve"> </w:t>
      </w:r>
      <w:r>
        <w:rPr>
          <w:sz w:val="24"/>
        </w:rPr>
        <w:t>similar es la que contempla la Constitución Política de la República a propósito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acusación</w:t>
      </w:r>
      <w:r>
        <w:rPr>
          <w:spacing w:val="-7"/>
          <w:sz w:val="24"/>
        </w:rPr>
        <w:t xml:space="preserve"> </w:t>
      </w:r>
      <w:r>
        <w:rPr>
          <w:sz w:val="24"/>
        </w:rPr>
        <w:t>constitucional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contra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ex</w:t>
      </w:r>
      <w:r>
        <w:rPr>
          <w:spacing w:val="-9"/>
          <w:sz w:val="24"/>
        </w:rPr>
        <w:t xml:space="preserve"> </w:t>
      </w:r>
      <w:r>
        <w:rPr>
          <w:sz w:val="24"/>
        </w:rPr>
        <w:t>autoridades, con plaz</w:t>
      </w:r>
      <w:r>
        <w:rPr>
          <w:sz w:val="24"/>
        </w:rPr>
        <w:t>os que varían entre los tres meses y los seis meses, dependiendo la autoridad de qué se trata.</w:t>
      </w:r>
    </w:p>
    <w:p w:rsidR="00013236" w:rsidRDefault="00013236">
      <w:pPr>
        <w:pStyle w:val="Textoindependiente"/>
        <w:rPr>
          <w:sz w:val="28"/>
        </w:rPr>
      </w:pPr>
    </w:p>
    <w:p w:rsidR="00013236" w:rsidRDefault="00013236">
      <w:pPr>
        <w:pStyle w:val="Textoindependiente"/>
        <w:spacing w:before="6"/>
        <w:rPr>
          <w:sz w:val="26"/>
        </w:rPr>
      </w:pPr>
    </w:p>
    <w:p w:rsidR="00013236" w:rsidRDefault="00B43CF4">
      <w:pPr>
        <w:pStyle w:val="Textoindependiente"/>
        <w:spacing w:line="357" w:lineRule="auto"/>
        <w:ind w:left="102"/>
      </w:pPr>
      <w:r>
        <w:t>Con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mérito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antecedentes</w:t>
      </w:r>
      <w:r>
        <w:rPr>
          <w:spacing w:val="40"/>
        </w:rPr>
        <w:t xml:space="preserve"> </w:t>
      </w:r>
      <w:r>
        <w:t>expuestos,</w:t>
      </w:r>
      <w:r>
        <w:rPr>
          <w:spacing w:val="40"/>
        </w:rPr>
        <w:t xml:space="preserve"> </w:t>
      </w:r>
      <w:r>
        <w:t>venimos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someter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 consideración de esta Honorable Corporación, el siguiente:</w:t>
      </w:r>
    </w:p>
    <w:p w:rsidR="00013236" w:rsidRDefault="00013236">
      <w:pPr>
        <w:pStyle w:val="Textoindependiente"/>
        <w:rPr>
          <w:sz w:val="28"/>
        </w:rPr>
      </w:pPr>
    </w:p>
    <w:p w:rsidR="00013236" w:rsidRDefault="00013236">
      <w:pPr>
        <w:pStyle w:val="Textoindependiente"/>
        <w:rPr>
          <w:sz w:val="28"/>
        </w:rPr>
      </w:pPr>
    </w:p>
    <w:p w:rsidR="00013236" w:rsidRDefault="00013236">
      <w:pPr>
        <w:pStyle w:val="Textoindependiente"/>
        <w:rPr>
          <w:sz w:val="28"/>
        </w:rPr>
      </w:pPr>
    </w:p>
    <w:p w:rsidR="00013236" w:rsidRDefault="00013236">
      <w:pPr>
        <w:pStyle w:val="Textoindependiente"/>
        <w:rPr>
          <w:sz w:val="28"/>
        </w:rPr>
      </w:pPr>
    </w:p>
    <w:p w:rsidR="00013236" w:rsidRDefault="00013236">
      <w:pPr>
        <w:pStyle w:val="Textoindependiente"/>
        <w:spacing w:before="8"/>
        <w:rPr>
          <w:sz w:val="25"/>
        </w:rPr>
      </w:pPr>
    </w:p>
    <w:p w:rsidR="00013236" w:rsidRDefault="00B43CF4">
      <w:pPr>
        <w:pStyle w:val="Textoindependiente"/>
        <w:ind w:left="3294" w:right="3309"/>
        <w:jc w:val="center"/>
        <w:rPr>
          <w:b/>
        </w:rPr>
      </w:pPr>
      <w:r>
        <w:rPr>
          <w:b/>
          <w:u w:val="single"/>
        </w:rPr>
        <w:t>PROYECTO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spacing w:val="-5"/>
          <w:u w:val="single"/>
        </w:rPr>
        <w:t>LEY</w:t>
      </w:r>
    </w:p>
    <w:p w:rsidR="00013236" w:rsidRDefault="00013236">
      <w:pPr>
        <w:pStyle w:val="Textoindependiente"/>
        <w:rPr>
          <w:b/>
          <w:sz w:val="20"/>
        </w:rPr>
      </w:pPr>
    </w:p>
    <w:p w:rsidR="00013236" w:rsidRDefault="00013236">
      <w:pPr>
        <w:pStyle w:val="Textoindependiente"/>
        <w:rPr>
          <w:b/>
          <w:sz w:val="20"/>
        </w:rPr>
      </w:pPr>
    </w:p>
    <w:p w:rsidR="00013236" w:rsidRDefault="00B43CF4">
      <w:pPr>
        <w:pStyle w:val="Textoindependiente"/>
        <w:spacing w:before="219" w:line="360" w:lineRule="auto"/>
        <w:ind w:left="102" w:right="117"/>
        <w:jc w:val="both"/>
      </w:pPr>
      <w:r>
        <w:rPr>
          <w:b/>
        </w:rPr>
        <w:t>“Artículo único</w:t>
      </w:r>
      <w:r>
        <w:t>: Modifíquese la ley Nº 18.834, sobre Estatuto Administrativo, cuyo texto refundido coordinado y sistematizado fue fijado por el del decreto con fuerza de ley Nº 29, de 2004, del Ministerio de Hacienda, en el siguiente sentido:</w:t>
      </w:r>
    </w:p>
    <w:p w:rsidR="00013236" w:rsidRDefault="00013236">
      <w:pPr>
        <w:pStyle w:val="Textoindependiente"/>
        <w:rPr>
          <w:sz w:val="28"/>
        </w:rPr>
      </w:pPr>
    </w:p>
    <w:p w:rsidR="00013236" w:rsidRDefault="00013236">
      <w:pPr>
        <w:pStyle w:val="Textoindependiente"/>
        <w:spacing w:before="4"/>
        <w:rPr>
          <w:sz w:val="35"/>
        </w:rPr>
      </w:pPr>
    </w:p>
    <w:p w:rsidR="00013236" w:rsidRDefault="00B43CF4">
      <w:pPr>
        <w:pStyle w:val="Prrafodelista"/>
        <w:numPr>
          <w:ilvl w:val="0"/>
          <w:numId w:val="1"/>
        </w:numPr>
        <w:tabs>
          <w:tab w:val="left" w:pos="820"/>
        </w:tabs>
        <w:ind w:left="820" w:right="0" w:hanging="359"/>
        <w:rPr>
          <w:sz w:val="24"/>
        </w:rPr>
      </w:pPr>
      <w:r>
        <w:rPr>
          <w:sz w:val="24"/>
        </w:rPr>
        <w:t>Agréguese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nuevo</w:t>
      </w:r>
      <w:r>
        <w:rPr>
          <w:spacing w:val="-3"/>
          <w:sz w:val="24"/>
        </w:rPr>
        <w:t xml:space="preserve"> </w:t>
      </w:r>
      <w:r>
        <w:rPr>
          <w:sz w:val="24"/>
        </w:rPr>
        <w:t>inciso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119:</w:t>
      </w:r>
    </w:p>
    <w:p w:rsidR="00013236" w:rsidRDefault="00013236">
      <w:pPr>
        <w:rPr>
          <w:sz w:val="24"/>
        </w:rPr>
        <w:sectPr w:rsidR="00013236">
          <w:pgSz w:w="12240" w:h="15840"/>
          <w:pgMar w:top="1340" w:right="1580" w:bottom="280" w:left="1600" w:header="720" w:footer="720" w:gutter="0"/>
          <w:cols w:space="720"/>
        </w:sectPr>
      </w:pPr>
    </w:p>
    <w:p w:rsidR="00013236" w:rsidRDefault="00B43CF4">
      <w:pPr>
        <w:pStyle w:val="Textoindependiente"/>
        <w:spacing w:before="75" w:line="360" w:lineRule="auto"/>
        <w:ind w:left="810" w:right="115"/>
        <w:jc w:val="both"/>
      </w:pPr>
      <w:r>
        <w:rPr>
          <w:i/>
        </w:rPr>
        <w:t>“</w:t>
      </w:r>
      <w:r>
        <w:t>En casos calificados y mediante resolución fundada se podrá perseguir la responsabilidad administrativa de un funcionario, aun cuando éste hubiere cesado en sus funciones, siempre que la investigación</w:t>
      </w:r>
      <w:r>
        <w:rPr>
          <w:spacing w:val="-9"/>
        </w:rPr>
        <w:t xml:space="preserve"> </w:t>
      </w:r>
      <w:r>
        <w:t>sumaria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sumario</w:t>
      </w:r>
      <w:r>
        <w:rPr>
          <w:spacing w:val="-9"/>
        </w:rPr>
        <w:t xml:space="preserve"> </w:t>
      </w:r>
      <w:r>
        <w:t>administrativo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hubiere</w:t>
      </w:r>
      <w:r>
        <w:rPr>
          <w:spacing w:val="-9"/>
        </w:rPr>
        <w:t xml:space="preserve"> </w:t>
      </w:r>
      <w:r>
        <w:t>incoado dentro de los tres meses siguientes al cese en el cargo.</w:t>
      </w:r>
      <w:r>
        <w:rPr>
          <w:i/>
        </w:rPr>
        <w:t>”</w:t>
      </w:r>
      <w:r>
        <w:t>.</w:t>
      </w:r>
    </w:p>
    <w:p w:rsidR="00013236" w:rsidRDefault="00013236">
      <w:pPr>
        <w:pStyle w:val="Textoindependiente"/>
        <w:rPr>
          <w:sz w:val="28"/>
        </w:rPr>
      </w:pPr>
    </w:p>
    <w:p w:rsidR="00013236" w:rsidRDefault="00013236">
      <w:pPr>
        <w:pStyle w:val="Textoindependiente"/>
        <w:spacing w:before="1"/>
        <w:rPr>
          <w:sz w:val="35"/>
        </w:rPr>
      </w:pPr>
    </w:p>
    <w:p w:rsidR="00013236" w:rsidRDefault="00B43CF4">
      <w:pPr>
        <w:pStyle w:val="Prrafodelista"/>
        <w:numPr>
          <w:ilvl w:val="0"/>
          <w:numId w:val="1"/>
        </w:numPr>
        <w:tabs>
          <w:tab w:val="left" w:pos="820"/>
        </w:tabs>
        <w:ind w:left="820" w:right="0" w:hanging="359"/>
        <w:rPr>
          <w:sz w:val="24"/>
        </w:rPr>
      </w:pPr>
      <w:r>
        <w:rPr>
          <w:sz w:val="24"/>
        </w:rPr>
        <w:t>Reemplácese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letra</w:t>
      </w:r>
      <w:r>
        <w:rPr>
          <w:spacing w:val="-1"/>
          <w:sz w:val="24"/>
        </w:rPr>
        <w:t xml:space="preserve"> </w:t>
      </w: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157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siguiente:</w:t>
      </w:r>
    </w:p>
    <w:p w:rsidR="00013236" w:rsidRDefault="00013236">
      <w:pPr>
        <w:pStyle w:val="Textoindependiente"/>
        <w:spacing w:before="11"/>
        <w:rPr>
          <w:sz w:val="25"/>
        </w:rPr>
      </w:pPr>
    </w:p>
    <w:p w:rsidR="00013236" w:rsidRDefault="00B43CF4">
      <w:pPr>
        <w:pStyle w:val="Textoindependiente"/>
        <w:spacing w:line="357" w:lineRule="auto"/>
        <w:ind w:left="810" w:right="119"/>
        <w:jc w:val="both"/>
      </w:pPr>
      <w:r>
        <w:rPr>
          <w:i/>
        </w:rPr>
        <w:t>“</w:t>
      </w:r>
      <w:r>
        <w:t>b) Por haber cesado en sus funciones, sin perjuicio de lo dispuesto en los incisos finales de los artículos 119 y 147</w:t>
      </w:r>
      <w:r>
        <w:rPr>
          <w:i/>
        </w:rPr>
        <w:t>;”</w:t>
      </w:r>
      <w:r>
        <w:t>.</w:t>
      </w:r>
      <w:r>
        <w:rPr>
          <w:i/>
        </w:rPr>
        <w:t>”</w:t>
      </w:r>
      <w:r>
        <w:t>.</w:t>
      </w:r>
    </w:p>
    <w:sectPr w:rsidR="00013236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A046D"/>
    <w:multiLevelType w:val="hybridMultilevel"/>
    <w:tmpl w:val="01A8FED6"/>
    <w:lvl w:ilvl="0" w:tplc="13DE9C0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3A4394C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6C08EB36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0C78C0B4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52A288DC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FF786DAE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4516DC08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D870BAFC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D1706500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A235AED"/>
    <w:multiLevelType w:val="hybridMultilevel"/>
    <w:tmpl w:val="E500C0F0"/>
    <w:lvl w:ilvl="0" w:tplc="63BA4E2E">
      <w:start w:val="1"/>
      <w:numFmt w:val="decimal"/>
      <w:lvlText w:val="%1."/>
      <w:lvlJc w:val="left"/>
      <w:pPr>
        <w:ind w:left="822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160FF38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9D74D0F4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B9322264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D60E6B74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CAA82EC8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20EC46FE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0450AAEC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D3F63CA4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236"/>
    <w:rsid w:val="00013236"/>
    <w:rsid w:val="00B4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99A7-AEDF-40AD-BBAA-1489D07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402" w:right="420" w:hanging="1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presmita</dc:creator>
  <cp:lastModifiedBy>Guillermo Diaz Vallejos</cp:lastModifiedBy>
  <cp:revision>1</cp:revision>
  <dcterms:created xsi:type="dcterms:W3CDTF">2023-07-19T14:01:00Z</dcterms:created>
  <dcterms:modified xsi:type="dcterms:W3CDTF">2023-07-31T22:52:00Z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2023-07-19T00:00:00Z</vt:filetime>
  </property>
  <property fmtid="{D5CDD505-2E9C-101B-9397-08002B2CF9AE}" pid="5" name="Producer">
    <vt:lpwstr>Microsoft® Word 2013</vt:lpwstr>
  </property>
</Properties>
</file>