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5597" w:rsidRDefault="00EA5597">
      <w:pPr>
        <w:pStyle w:val="Textoindependiente"/>
        <w:spacing w:before="4" w:after="1"/>
        <w:rPr>
          <w:rFonts w:ascii="Times New Roman"/>
          <w:sz w:val="21"/>
        </w:rPr>
      </w:pPr>
    </w:p>
    <w:p w:rsidR="00EA5597" w:rsidRDefault="003B2F32">
      <w:pPr>
        <w:pStyle w:val="Textoindependiente"/>
        <w:ind w:left="4097"/>
        <w:rPr>
          <w:rFonts w:ascii="Times New Roman"/>
          <w:sz w:val="20"/>
        </w:rPr>
      </w:pPr>
      <w:r>
        <w:rPr>
          <w:rFonts w:ascii="Times New Roman"/>
          <w:noProof/>
          <w:sz w:val="20"/>
        </w:rPr>
        <w:drawing>
          <wp:inline distT="0" distB="0" distL="0" distR="0">
            <wp:extent cx="733109" cy="733044"/>
            <wp:effectExtent l="0" t="0" r="0" b="0"/>
            <wp:docPr id="1" name="Image 1" descr="Logotipo, nombre de la empresa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nombre de la empresa  Descripción generada automáticamente"/>
                    <pic:cNvPicPr/>
                  </pic:nvPicPr>
                  <pic:blipFill>
                    <a:blip r:embed="rId5" cstate="print"/>
                    <a:stretch>
                      <a:fillRect/>
                    </a:stretch>
                  </pic:blipFill>
                  <pic:spPr>
                    <a:xfrm>
                      <a:off x="0" y="0"/>
                      <a:ext cx="733109" cy="733044"/>
                    </a:xfrm>
                    <a:prstGeom prst="rect">
                      <a:avLst/>
                    </a:prstGeom>
                  </pic:spPr>
                </pic:pic>
              </a:graphicData>
            </a:graphic>
          </wp:inline>
        </w:drawing>
      </w:r>
    </w:p>
    <w:p w:rsidR="00EA5597" w:rsidRDefault="00EA5597">
      <w:pPr>
        <w:pStyle w:val="Textoindependiente"/>
        <w:rPr>
          <w:rFonts w:ascii="Times New Roman"/>
          <w:sz w:val="20"/>
        </w:rPr>
      </w:pPr>
    </w:p>
    <w:p w:rsidR="00EA5597" w:rsidRDefault="00EA5597">
      <w:pPr>
        <w:pStyle w:val="Textoindependiente"/>
        <w:spacing w:before="4"/>
        <w:rPr>
          <w:rFonts w:ascii="Times New Roman"/>
          <w:sz w:val="23"/>
        </w:rPr>
      </w:pPr>
    </w:p>
    <w:p w:rsidR="00EA5597" w:rsidRDefault="003B2F32">
      <w:pPr>
        <w:pStyle w:val="Ttulo"/>
        <w:spacing w:line="307" w:lineRule="auto"/>
        <w:rPr>
          <w:b/>
        </w:rPr>
      </w:pPr>
      <w:r>
        <w:rPr>
          <w:b/>
          <w:smallCaps/>
        </w:rPr>
        <w:t>modifica la ley N°</w:t>
      </w:r>
      <w:r>
        <w:rPr>
          <w:b/>
          <w:smallCaps/>
          <w:spacing w:val="-7"/>
        </w:rPr>
        <w:t xml:space="preserve"> </w:t>
      </w:r>
      <w:r>
        <w:rPr>
          <w:b/>
          <w:smallCaps/>
        </w:rPr>
        <w:t>19.886,</w:t>
      </w:r>
      <w:r>
        <w:rPr>
          <w:b/>
          <w:smallCaps/>
          <w:spacing w:val="-9"/>
        </w:rPr>
        <w:t xml:space="preserve"> </w:t>
      </w:r>
      <w:r>
        <w:rPr>
          <w:b/>
          <w:smallCaps/>
        </w:rPr>
        <w:t>de bases sobre contratos administrativos de suministro y prestación</w:t>
      </w:r>
      <w:r>
        <w:rPr>
          <w:b/>
          <w:smallCaps/>
          <w:spacing w:val="-2"/>
        </w:rPr>
        <w:t xml:space="preserve"> </w:t>
      </w:r>
      <w:r>
        <w:rPr>
          <w:b/>
          <w:smallCaps/>
        </w:rPr>
        <w:t>de</w:t>
      </w:r>
      <w:r>
        <w:rPr>
          <w:b/>
          <w:smallCaps/>
          <w:spacing w:val="-2"/>
        </w:rPr>
        <w:t xml:space="preserve"> </w:t>
      </w:r>
      <w:r>
        <w:rPr>
          <w:b/>
          <w:smallCaps/>
        </w:rPr>
        <w:t>servicios,</w:t>
      </w:r>
      <w:r>
        <w:rPr>
          <w:b/>
          <w:smallCaps/>
          <w:spacing w:val="-25"/>
        </w:rPr>
        <w:t xml:space="preserve"> </w:t>
      </w:r>
      <w:r>
        <w:rPr>
          <w:b/>
          <w:smallCaps/>
        </w:rPr>
        <w:t>con</w:t>
      </w:r>
      <w:r>
        <w:rPr>
          <w:b/>
          <w:smallCaps/>
          <w:spacing w:val="-1"/>
        </w:rPr>
        <w:t xml:space="preserve"> </w:t>
      </w:r>
      <w:r>
        <w:rPr>
          <w:b/>
          <w:smallCaps/>
        </w:rPr>
        <w:t>el</w:t>
      </w:r>
      <w:r>
        <w:rPr>
          <w:b/>
          <w:smallCaps/>
          <w:spacing w:val="-4"/>
        </w:rPr>
        <w:t xml:space="preserve"> </w:t>
      </w:r>
      <w:r>
        <w:rPr>
          <w:b/>
          <w:smallCaps/>
        </w:rPr>
        <w:t>fin</w:t>
      </w:r>
      <w:r>
        <w:rPr>
          <w:b/>
          <w:smallCaps/>
          <w:spacing w:val="-1"/>
        </w:rPr>
        <w:t xml:space="preserve"> </w:t>
      </w:r>
      <w:r>
        <w:rPr>
          <w:b/>
          <w:smallCaps/>
        </w:rPr>
        <w:t>de</w:t>
      </w:r>
      <w:r>
        <w:rPr>
          <w:b/>
          <w:smallCaps/>
          <w:spacing w:val="-2"/>
        </w:rPr>
        <w:t xml:space="preserve"> </w:t>
      </w:r>
      <w:r>
        <w:rPr>
          <w:b/>
          <w:smallCaps/>
        </w:rPr>
        <w:t>limitar</w:t>
      </w:r>
      <w:r>
        <w:rPr>
          <w:b/>
          <w:smallCaps/>
          <w:spacing w:val="-1"/>
        </w:rPr>
        <w:t xml:space="preserve"> </w:t>
      </w:r>
      <w:r>
        <w:rPr>
          <w:b/>
          <w:smallCaps/>
        </w:rPr>
        <w:t>las excepciones a su aplicación</w:t>
      </w:r>
    </w:p>
    <w:p w:rsidR="00EA5597" w:rsidRDefault="00EA5597">
      <w:pPr>
        <w:pStyle w:val="Textoindependiente"/>
        <w:rPr>
          <w:b/>
          <w:sz w:val="34"/>
        </w:rPr>
      </w:pPr>
    </w:p>
    <w:p w:rsidR="00EA5597" w:rsidRDefault="00EA5597">
      <w:pPr>
        <w:pStyle w:val="Textoindependiente"/>
        <w:spacing w:before="10"/>
        <w:rPr>
          <w:b/>
          <w:sz w:val="47"/>
        </w:rPr>
      </w:pPr>
    </w:p>
    <w:p w:rsidR="00EA5597" w:rsidRDefault="003B2F32">
      <w:pPr>
        <w:pStyle w:val="Textoindependiente"/>
        <w:spacing w:before="1"/>
        <w:ind w:left="111"/>
        <w:rPr>
          <w:b/>
        </w:rPr>
      </w:pPr>
      <w:r>
        <w:rPr>
          <w:b/>
          <w:spacing w:val="-2"/>
          <w:u w:val="single"/>
        </w:rPr>
        <w:t>Fundamentos:</w:t>
      </w:r>
    </w:p>
    <w:p w:rsidR="00EA5597" w:rsidRDefault="00EA5597">
      <w:pPr>
        <w:pStyle w:val="Textoindependiente"/>
        <w:rPr>
          <w:b/>
          <w:sz w:val="20"/>
        </w:rPr>
      </w:pPr>
    </w:p>
    <w:p w:rsidR="00EA5597" w:rsidRDefault="003B2F32">
      <w:pPr>
        <w:pStyle w:val="Prrafodelista"/>
        <w:numPr>
          <w:ilvl w:val="0"/>
          <w:numId w:val="1"/>
        </w:numPr>
        <w:tabs>
          <w:tab w:val="left" w:pos="831"/>
        </w:tabs>
        <w:spacing w:before="231" w:line="357" w:lineRule="auto"/>
        <w:rPr>
          <w:sz w:val="24"/>
        </w:rPr>
      </w:pPr>
      <w:r>
        <w:rPr>
          <w:sz w:val="24"/>
        </w:rPr>
        <w:t>El caso de Democracia Viva reaviva la pertinencia de las asignaciones mediante trato directo que autoridades efectúan durante el ejercicio de sus funciones. Si bien éstas están restringidas para la mayor parte de</w:t>
      </w:r>
      <w:r>
        <w:rPr>
          <w:spacing w:val="40"/>
          <w:sz w:val="24"/>
        </w:rPr>
        <w:t xml:space="preserve"> </w:t>
      </w:r>
      <w:r>
        <w:rPr>
          <w:sz w:val="24"/>
        </w:rPr>
        <w:t>la Administración pública, existen excepcio</w:t>
      </w:r>
      <w:r>
        <w:rPr>
          <w:sz w:val="24"/>
        </w:rPr>
        <w:t>nes fundadas en atención a la materialidad del gasto y a la premura con que debe responderse a la necesidad de la población.</w:t>
      </w:r>
    </w:p>
    <w:p w:rsidR="00EA5597" w:rsidRDefault="00EA5597">
      <w:pPr>
        <w:pStyle w:val="Textoindependiente"/>
        <w:rPr>
          <w:sz w:val="37"/>
        </w:rPr>
      </w:pPr>
    </w:p>
    <w:p w:rsidR="00EA5597" w:rsidRDefault="003B2F32">
      <w:pPr>
        <w:pStyle w:val="Prrafodelista"/>
        <w:numPr>
          <w:ilvl w:val="0"/>
          <w:numId w:val="1"/>
        </w:numPr>
        <w:tabs>
          <w:tab w:val="left" w:pos="831"/>
        </w:tabs>
        <w:spacing w:line="360" w:lineRule="auto"/>
        <w:ind w:right="107"/>
        <w:rPr>
          <w:sz w:val="24"/>
        </w:rPr>
      </w:pPr>
      <w:r>
        <w:rPr>
          <w:sz w:val="24"/>
        </w:rPr>
        <w:t>Es en este último sentido que estaba pensada la excepción a la aplicación</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ley</w:t>
      </w:r>
      <w:r>
        <w:rPr>
          <w:spacing w:val="-4"/>
          <w:sz w:val="24"/>
        </w:rPr>
        <w:t xml:space="preserve"> </w:t>
      </w:r>
      <w:r>
        <w:rPr>
          <w:sz w:val="24"/>
        </w:rPr>
        <w:t>N°</w:t>
      </w:r>
      <w:r>
        <w:rPr>
          <w:spacing w:val="-2"/>
          <w:sz w:val="24"/>
        </w:rPr>
        <w:t xml:space="preserve"> </w:t>
      </w:r>
      <w:r>
        <w:rPr>
          <w:sz w:val="24"/>
        </w:rPr>
        <w:t>19.886,</w:t>
      </w:r>
      <w:r>
        <w:rPr>
          <w:spacing w:val="-2"/>
          <w:sz w:val="24"/>
        </w:rPr>
        <w:t xml:space="preserve"> </w:t>
      </w:r>
      <w:r>
        <w:rPr>
          <w:sz w:val="24"/>
        </w:rPr>
        <w:t>de</w:t>
      </w:r>
      <w:r>
        <w:rPr>
          <w:spacing w:val="-2"/>
          <w:sz w:val="24"/>
        </w:rPr>
        <w:t xml:space="preserve"> </w:t>
      </w:r>
      <w:r>
        <w:rPr>
          <w:sz w:val="24"/>
        </w:rPr>
        <w:t>bases</w:t>
      </w:r>
      <w:r>
        <w:rPr>
          <w:spacing w:val="-4"/>
          <w:sz w:val="24"/>
        </w:rPr>
        <w:t xml:space="preserve"> </w:t>
      </w:r>
      <w:r>
        <w:rPr>
          <w:sz w:val="24"/>
        </w:rPr>
        <w:t>sobre</w:t>
      </w:r>
      <w:r>
        <w:rPr>
          <w:spacing w:val="-2"/>
          <w:sz w:val="24"/>
        </w:rPr>
        <w:t xml:space="preserve"> </w:t>
      </w:r>
      <w:r>
        <w:rPr>
          <w:sz w:val="24"/>
        </w:rPr>
        <w:t>contratos</w:t>
      </w:r>
      <w:r>
        <w:rPr>
          <w:spacing w:val="-2"/>
          <w:sz w:val="24"/>
        </w:rPr>
        <w:t xml:space="preserve"> </w:t>
      </w:r>
      <w:r>
        <w:rPr>
          <w:sz w:val="24"/>
        </w:rPr>
        <w:t>administrativos de suministro, a los contratos de obra que celebren los Servicios de Vivienda y Urbanización. En efecto, en el afán de satisfacer de manera oportuna y eficiente las necesidades de la población, se les consideró como necesidades urgentes y q</w:t>
      </w:r>
      <w:r>
        <w:rPr>
          <w:sz w:val="24"/>
        </w:rPr>
        <w:t>ue contaban con suficientes controles internos del Ministerio de Vivienda y Urbanismo que ameritaban no aplicar controles adicionales.</w:t>
      </w:r>
    </w:p>
    <w:p w:rsidR="00EA5597" w:rsidRDefault="00EA5597">
      <w:pPr>
        <w:spacing w:line="360" w:lineRule="auto"/>
        <w:jc w:val="both"/>
        <w:rPr>
          <w:sz w:val="24"/>
        </w:rPr>
        <w:sectPr w:rsidR="00EA5597">
          <w:type w:val="continuous"/>
          <w:pgSz w:w="12240" w:h="15840"/>
          <w:pgMar w:top="1820" w:right="1420" w:bottom="280" w:left="1420" w:header="720" w:footer="720" w:gutter="0"/>
          <w:cols w:space="720"/>
        </w:sectPr>
      </w:pPr>
    </w:p>
    <w:p w:rsidR="00EA5597" w:rsidRDefault="003B2F32">
      <w:pPr>
        <w:pStyle w:val="Prrafodelista"/>
        <w:numPr>
          <w:ilvl w:val="0"/>
          <w:numId w:val="1"/>
        </w:numPr>
        <w:tabs>
          <w:tab w:val="left" w:pos="831"/>
        </w:tabs>
        <w:spacing w:before="132" w:line="360" w:lineRule="auto"/>
        <w:ind w:right="106"/>
        <w:rPr>
          <w:sz w:val="24"/>
        </w:rPr>
      </w:pPr>
      <w:r>
        <w:rPr>
          <w:sz w:val="24"/>
        </w:rPr>
        <w:lastRenderedPageBreak/>
        <w:t>Es lamentable tener que constatar que una excepción usada apropiadamente desde el año 2003 no pueda continuar</w:t>
      </w:r>
      <w:r>
        <w:rPr>
          <w:sz w:val="24"/>
        </w:rPr>
        <w:t xml:space="preserve"> existiendo por la facilidad con la que un sector político infiltró fundaciones para desviar fondos. Sin embargo, atendidos los casos conocidos en los últimos meses y la evidente ineficacia de los controles internos del Ministerio de Vivienda y sus servici</w:t>
      </w:r>
      <w:r>
        <w:rPr>
          <w:sz w:val="24"/>
        </w:rPr>
        <w:t>os, es indispensable eliminar esta excepción por el riesgo que conlleva, aun cuando haya servido exitosamente en gobiernos anteriores.</w:t>
      </w:r>
    </w:p>
    <w:p w:rsidR="00EA5597" w:rsidRDefault="00EA5597">
      <w:pPr>
        <w:pStyle w:val="Textoindependiente"/>
        <w:rPr>
          <w:sz w:val="28"/>
        </w:rPr>
      </w:pPr>
    </w:p>
    <w:p w:rsidR="00EA5597" w:rsidRDefault="00EA5597">
      <w:pPr>
        <w:pStyle w:val="Textoindependiente"/>
        <w:spacing w:before="9"/>
        <w:rPr>
          <w:sz w:val="34"/>
        </w:rPr>
      </w:pPr>
    </w:p>
    <w:p w:rsidR="00EA5597" w:rsidRDefault="003B2F32">
      <w:pPr>
        <w:pStyle w:val="Prrafodelista"/>
        <w:numPr>
          <w:ilvl w:val="0"/>
          <w:numId w:val="1"/>
        </w:numPr>
        <w:tabs>
          <w:tab w:val="left" w:pos="831"/>
        </w:tabs>
        <w:spacing w:line="360" w:lineRule="auto"/>
        <w:ind w:right="104"/>
        <w:rPr>
          <w:sz w:val="24"/>
        </w:rPr>
      </w:pPr>
      <w:r>
        <w:rPr>
          <w:sz w:val="24"/>
        </w:rPr>
        <w:t>Es así como este proyecto limita la excepción de la letra e) del artículo 3° de la ley N° 19.886, que actualmente señala: “</w:t>
      </w:r>
      <w:r>
        <w:rPr>
          <w:i/>
          <w:sz w:val="24"/>
        </w:rPr>
        <w:t>quedan excluidos de la aplicación de esta ley, los contratos de obra</w:t>
      </w:r>
      <w:r>
        <w:rPr>
          <w:i/>
          <w:spacing w:val="-3"/>
          <w:sz w:val="24"/>
        </w:rPr>
        <w:t xml:space="preserve"> </w:t>
      </w:r>
      <w:r>
        <w:rPr>
          <w:i/>
          <w:sz w:val="24"/>
        </w:rPr>
        <w:t>que celebren los Servicios de Vivienda y Urbanización para el cu</w:t>
      </w:r>
      <w:r>
        <w:rPr>
          <w:i/>
          <w:sz w:val="24"/>
        </w:rPr>
        <w:t>mplimiento de sus fines”. Sin</w:t>
      </w:r>
      <w:r>
        <w:rPr>
          <w:i/>
          <w:spacing w:val="40"/>
          <w:sz w:val="24"/>
        </w:rPr>
        <w:t xml:space="preserve"> </w:t>
      </w:r>
      <w:r>
        <w:rPr>
          <w:i/>
          <w:sz w:val="24"/>
        </w:rPr>
        <w:t xml:space="preserve">embargo, creemos pertinente mantener la excepción </w:t>
      </w:r>
      <w:r>
        <w:rPr>
          <w:sz w:val="24"/>
        </w:rPr>
        <w:t>en el contexto de catástrofes, a fin de ayudar a la reconstrucción en tales eventos por un tiempo</w:t>
      </w:r>
      <w:r>
        <w:rPr>
          <w:spacing w:val="-4"/>
          <w:sz w:val="24"/>
        </w:rPr>
        <w:t xml:space="preserve"> </w:t>
      </w:r>
      <w:r>
        <w:rPr>
          <w:sz w:val="24"/>
        </w:rPr>
        <w:t>limitado,</w:t>
      </w:r>
      <w:r>
        <w:rPr>
          <w:spacing w:val="-4"/>
          <w:sz w:val="24"/>
        </w:rPr>
        <w:t xml:space="preserve"> </w:t>
      </w:r>
      <w:r>
        <w:rPr>
          <w:sz w:val="24"/>
        </w:rPr>
        <w:t>privilegiándose</w:t>
      </w:r>
      <w:r>
        <w:rPr>
          <w:spacing w:val="-4"/>
          <w:sz w:val="24"/>
        </w:rPr>
        <w:t xml:space="preserve"> </w:t>
      </w:r>
      <w:r>
        <w:rPr>
          <w:sz w:val="24"/>
        </w:rPr>
        <w:t>así</w:t>
      </w:r>
      <w:r>
        <w:rPr>
          <w:spacing w:val="-4"/>
          <w:sz w:val="24"/>
        </w:rPr>
        <w:t xml:space="preserve"> </w:t>
      </w:r>
      <w:r>
        <w:rPr>
          <w:sz w:val="24"/>
        </w:rPr>
        <w:t>las</w:t>
      </w:r>
      <w:r>
        <w:rPr>
          <w:spacing w:val="-4"/>
          <w:sz w:val="24"/>
        </w:rPr>
        <w:t xml:space="preserve"> </w:t>
      </w:r>
      <w:r>
        <w:rPr>
          <w:sz w:val="24"/>
        </w:rPr>
        <w:t>asignaciones</w:t>
      </w:r>
      <w:r>
        <w:rPr>
          <w:spacing w:val="-4"/>
          <w:sz w:val="24"/>
        </w:rPr>
        <w:t xml:space="preserve"> </w:t>
      </w:r>
      <w:r>
        <w:rPr>
          <w:sz w:val="24"/>
        </w:rPr>
        <w:t>mediante</w:t>
      </w:r>
      <w:r>
        <w:rPr>
          <w:spacing w:val="-4"/>
          <w:sz w:val="24"/>
        </w:rPr>
        <w:t xml:space="preserve"> </w:t>
      </w:r>
      <w:r>
        <w:rPr>
          <w:sz w:val="24"/>
        </w:rPr>
        <w:t xml:space="preserve">concurso o licitación </w:t>
      </w:r>
      <w:r>
        <w:rPr>
          <w:sz w:val="24"/>
        </w:rPr>
        <w:t>pública en la generalidad de los casos.</w:t>
      </w:r>
    </w:p>
    <w:p w:rsidR="00EA5597" w:rsidRDefault="00EA5597">
      <w:pPr>
        <w:pStyle w:val="Textoindependiente"/>
        <w:rPr>
          <w:sz w:val="28"/>
        </w:rPr>
      </w:pPr>
    </w:p>
    <w:p w:rsidR="00EA5597" w:rsidRDefault="00EA5597">
      <w:pPr>
        <w:pStyle w:val="Textoindependiente"/>
        <w:rPr>
          <w:sz w:val="28"/>
        </w:rPr>
      </w:pPr>
    </w:p>
    <w:p w:rsidR="00EA5597" w:rsidRDefault="003B2F32">
      <w:pPr>
        <w:pStyle w:val="Prrafodelista"/>
        <w:numPr>
          <w:ilvl w:val="0"/>
          <w:numId w:val="1"/>
        </w:numPr>
        <w:tabs>
          <w:tab w:val="left" w:pos="831"/>
        </w:tabs>
        <w:spacing w:before="182" w:line="357" w:lineRule="auto"/>
        <w:rPr>
          <w:sz w:val="24"/>
        </w:rPr>
      </w:pPr>
      <w:r>
        <w:rPr>
          <w:sz w:val="24"/>
        </w:rPr>
        <w:t>Si bien la naturaleza de este proyecto es limitado, se enmarca dentro del esfuerzo en aras de una agenda de probidad, a fin de asegurar a los chilenos que los impuestos que pagan día a día sean utilizados de la mej</w:t>
      </w:r>
      <w:r>
        <w:rPr>
          <w:sz w:val="24"/>
        </w:rPr>
        <w:t xml:space="preserve">or manera para proveer de servicios públicos a quienes más lo </w:t>
      </w:r>
      <w:r>
        <w:rPr>
          <w:spacing w:val="-2"/>
          <w:sz w:val="24"/>
        </w:rPr>
        <w:t>necesitan.</w:t>
      </w:r>
    </w:p>
    <w:p w:rsidR="00EA5597" w:rsidRDefault="00EA5597">
      <w:pPr>
        <w:pStyle w:val="Textoindependiente"/>
        <w:rPr>
          <w:sz w:val="28"/>
        </w:rPr>
      </w:pPr>
    </w:p>
    <w:p w:rsidR="00EA5597" w:rsidRDefault="00EA5597">
      <w:pPr>
        <w:pStyle w:val="Textoindependiente"/>
        <w:spacing w:before="6"/>
        <w:rPr>
          <w:sz w:val="22"/>
        </w:rPr>
      </w:pPr>
    </w:p>
    <w:p w:rsidR="00EA5597" w:rsidRDefault="003B2F32">
      <w:pPr>
        <w:pStyle w:val="Textoindependiente"/>
        <w:spacing w:line="360" w:lineRule="auto"/>
        <w:ind w:left="111"/>
      </w:pPr>
      <w:r>
        <w:t>Por</w:t>
      </w:r>
      <w:r>
        <w:rPr>
          <w:spacing w:val="40"/>
        </w:rPr>
        <w:t xml:space="preserve"> </w:t>
      </w:r>
      <w:r>
        <w:t>lo</w:t>
      </w:r>
      <w:r>
        <w:rPr>
          <w:spacing w:val="40"/>
        </w:rPr>
        <w:t xml:space="preserve"> </w:t>
      </w:r>
      <w:r>
        <w:t>señalado</w:t>
      </w:r>
      <w:r>
        <w:rPr>
          <w:spacing w:val="40"/>
        </w:rPr>
        <w:t xml:space="preserve"> </w:t>
      </w:r>
      <w:r>
        <w:t>precedentemente,</w:t>
      </w:r>
      <w:r>
        <w:rPr>
          <w:spacing w:val="40"/>
        </w:rPr>
        <w:t xml:space="preserve"> </w:t>
      </w:r>
      <w:r>
        <w:t>los</w:t>
      </w:r>
      <w:r>
        <w:rPr>
          <w:spacing w:val="40"/>
        </w:rPr>
        <w:t xml:space="preserve"> </w:t>
      </w:r>
      <w:r>
        <w:t>diputados</w:t>
      </w:r>
      <w:r>
        <w:rPr>
          <w:spacing w:val="40"/>
        </w:rPr>
        <w:t xml:space="preserve"> </w:t>
      </w:r>
      <w:r>
        <w:t>que</w:t>
      </w:r>
      <w:r>
        <w:rPr>
          <w:spacing w:val="40"/>
        </w:rPr>
        <w:t xml:space="preserve"> </w:t>
      </w:r>
      <w:r>
        <w:t>suscriben</w:t>
      </w:r>
      <w:r>
        <w:rPr>
          <w:spacing w:val="40"/>
        </w:rPr>
        <w:t xml:space="preserve"> </w:t>
      </w:r>
      <w:r>
        <w:t>venimos</w:t>
      </w:r>
      <w:r>
        <w:rPr>
          <w:spacing w:val="40"/>
        </w:rPr>
        <w:t xml:space="preserve"> </w:t>
      </w:r>
      <w:r>
        <w:t>en proponer el siguiente:</w:t>
      </w:r>
    </w:p>
    <w:p w:rsidR="00EA5597" w:rsidRDefault="00EA5597">
      <w:pPr>
        <w:spacing w:line="360" w:lineRule="auto"/>
        <w:sectPr w:rsidR="00EA5597">
          <w:pgSz w:w="12240" w:h="15840"/>
          <w:pgMar w:top="1820" w:right="1420" w:bottom="280" w:left="1420" w:header="720" w:footer="720" w:gutter="0"/>
          <w:cols w:space="720"/>
        </w:sectPr>
      </w:pPr>
    </w:p>
    <w:p w:rsidR="00EA5597" w:rsidRDefault="003B2F32">
      <w:pPr>
        <w:pStyle w:val="Textoindependiente"/>
        <w:spacing w:before="133"/>
        <w:ind w:left="203" w:right="201"/>
        <w:jc w:val="center"/>
        <w:rPr>
          <w:b/>
        </w:rPr>
      </w:pPr>
      <w:r>
        <w:rPr>
          <w:b/>
          <w:u w:val="single"/>
        </w:rPr>
        <w:lastRenderedPageBreak/>
        <w:t>PROYECTO</w:t>
      </w:r>
      <w:r>
        <w:rPr>
          <w:b/>
          <w:spacing w:val="-1"/>
          <w:u w:val="single"/>
        </w:rPr>
        <w:t xml:space="preserve"> </w:t>
      </w:r>
      <w:r>
        <w:rPr>
          <w:b/>
          <w:u w:val="single"/>
        </w:rPr>
        <w:t>DE</w:t>
      </w:r>
      <w:r>
        <w:rPr>
          <w:b/>
          <w:spacing w:val="-1"/>
          <w:u w:val="single"/>
        </w:rPr>
        <w:t xml:space="preserve"> </w:t>
      </w:r>
      <w:r>
        <w:rPr>
          <w:b/>
          <w:spacing w:val="-5"/>
          <w:u w:val="single"/>
        </w:rPr>
        <w:t>LEY</w:t>
      </w:r>
    </w:p>
    <w:p w:rsidR="00EA5597" w:rsidRDefault="00EA5597">
      <w:pPr>
        <w:pStyle w:val="Textoindependiente"/>
        <w:rPr>
          <w:b/>
          <w:sz w:val="20"/>
        </w:rPr>
      </w:pPr>
    </w:p>
    <w:p w:rsidR="00EA5597" w:rsidRDefault="00EA5597">
      <w:pPr>
        <w:pStyle w:val="Textoindependiente"/>
        <w:rPr>
          <w:b/>
          <w:sz w:val="20"/>
        </w:rPr>
      </w:pPr>
    </w:p>
    <w:p w:rsidR="00EA5597" w:rsidRDefault="00EA5597">
      <w:pPr>
        <w:pStyle w:val="Textoindependiente"/>
        <w:rPr>
          <w:b/>
          <w:sz w:val="20"/>
        </w:rPr>
      </w:pPr>
    </w:p>
    <w:p w:rsidR="00EA5597" w:rsidRDefault="00EA5597">
      <w:pPr>
        <w:pStyle w:val="Textoindependiente"/>
        <w:spacing w:before="5"/>
        <w:rPr>
          <w:b/>
          <w:sz w:val="15"/>
        </w:rPr>
      </w:pPr>
    </w:p>
    <w:p w:rsidR="00EA5597" w:rsidRDefault="003B2F32">
      <w:pPr>
        <w:pStyle w:val="Textoindependiente"/>
        <w:spacing w:before="100" w:line="360" w:lineRule="auto"/>
        <w:ind w:left="111" w:right="106"/>
        <w:jc w:val="both"/>
      </w:pPr>
      <w:r>
        <w:t>“</w:t>
      </w:r>
      <w:r>
        <w:rPr>
          <w:b/>
        </w:rPr>
        <w:t>ARTÍCULO ÚNICO</w:t>
      </w:r>
      <w:r>
        <w:t>.- Para modificar la letra e) del artículo 3° de la Ley N° 19.886, de bases sobre contratos administrativos de suministro y prestación de servicios, reemplazando su párrafo segundo por el siguiente:</w:t>
      </w:r>
    </w:p>
    <w:p w:rsidR="00EA5597" w:rsidRDefault="00EA5597">
      <w:pPr>
        <w:pStyle w:val="Textoindependiente"/>
        <w:spacing w:before="2"/>
        <w:rPr>
          <w:sz w:val="36"/>
        </w:rPr>
      </w:pPr>
    </w:p>
    <w:p w:rsidR="00EA5597" w:rsidRDefault="003B2F32">
      <w:pPr>
        <w:pStyle w:val="Textoindependiente"/>
        <w:spacing w:line="360" w:lineRule="auto"/>
        <w:ind w:left="111" w:right="106"/>
        <w:jc w:val="both"/>
      </w:pPr>
      <w:r>
        <w:t>"Asimismo, quedan excluidos de la aplicación de esta ley</w:t>
      </w:r>
      <w:r>
        <w:t>, los contratos de obra que celebren los Servicios de Vivienda y Urbanización para el cumplimiento de sus fines durante un estado de excepción constitucional de catástrofe y hasta por un año tras su término, como asimismo los contratos destinados a la ejec</w:t>
      </w:r>
      <w:r>
        <w:t>ución, operación y mantención de obras urbanas, con participación de terceros, que suscriban de conformidad a la ley Nº 19.865 que aprueba el Sistema de Financiamiento Urbano Compartido.".”.</w:t>
      </w:r>
    </w:p>
    <w:sectPr w:rsidR="00EA5597">
      <w:pgSz w:w="12240" w:h="15840"/>
      <w:pgMar w:top="1820" w:right="142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F1F10"/>
    <w:multiLevelType w:val="hybridMultilevel"/>
    <w:tmpl w:val="C2524BB2"/>
    <w:lvl w:ilvl="0" w:tplc="6950C036">
      <w:numFmt w:val="bullet"/>
      <w:lvlText w:val=""/>
      <w:lvlJc w:val="left"/>
      <w:pPr>
        <w:ind w:left="831" w:hanging="360"/>
      </w:pPr>
      <w:rPr>
        <w:rFonts w:ascii="Symbol" w:eastAsia="Symbol" w:hAnsi="Symbol" w:cs="Symbol" w:hint="default"/>
        <w:b w:val="0"/>
        <w:bCs w:val="0"/>
        <w:i w:val="0"/>
        <w:iCs w:val="0"/>
        <w:spacing w:val="0"/>
        <w:w w:val="100"/>
        <w:sz w:val="24"/>
        <w:szCs w:val="24"/>
        <w:lang w:val="es-ES" w:eastAsia="en-US" w:bidi="ar-SA"/>
      </w:rPr>
    </w:lvl>
    <w:lvl w:ilvl="1" w:tplc="7F6A9B78">
      <w:numFmt w:val="bullet"/>
      <w:lvlText w:val="•"/>
      <w:lvlJc w:val="left"/>
      <w:pPr>
        <w:ind w:left="1696" w:hanging="360"/>
      </w:pPr>
      <w:rPr>
        <w:rFonts w:hint="default"/>
        <w:lang w:val="es-ES" w:eastAsia="en-US" w:bidi="ar-SA"/>
      </w:rPr>
    </w:lvl>
    <w:lvl w:ilvl="2" w:tplc="B43610F4">
      <w:numFmt w:val="bullet"/>
      <w:lvlText w:val="•"/>
      <w:lvlJc w:val="left"/>
      <w:pPr>
        <w:ind w:left="2552" w:hanging="360"/>
      </w:pPr>
      <w:rPr>
        <w:rFonts w:hint="default"/>
        <w:lang w:val="es-ES" w:eastAsia="en-US" w:bidi="ar-SA"/>
      </w:rPr>
    </w:lvl>
    <w:lvl w:ilvl="3" w:tplc="C7406FB4">
      <w:numFmt w:val="bullet"/>
      <w:lvlText w:val="•"/>
      <w:lvlJc w:val="left"/>
      <w:pPr>
        <w:ind w:left="3408" w:hanging="360"/>
      </w:pPr>
      <w:rPr>
        <w:rFonts w:hint="default"/>
        <w:lang w:val="es-ES" w:eastAsia="en-US" w:bidi="ar-SA"/>
      </w:rPr>
    </w:lvl>
    <w:lvl w:ilvl="4" w:tplc="D4684FBA">
      <w:numFmt w:val="bullet"/>
      <w:lvlText w:val="•"/>
      <w:lvlJc w:val="left"/>
      <w:pPr>
        <w:ind w:left="4264" w:hanging="360"/>
      </w:pPr>
      <w:rPr>
        <w:rFonts w:hint="default"/>
        <w:lang w:val="es-ES" w:eastAsia="en-US" w:bidi="ar-SA"/>
      </w:rPr>
    </w:lvl>
    <w:lvl w:ilvl="5" w:tplc="F2F0886A">
      <w:numFmt w:val="bullet"/>
      <w:lvlText w:val="•"/>
      <w:lvlJc w:val="left"/>
      <w:pPr>
        <w:ind w:left="5120" w:hanging="360"/>
      </w:pPr>
      <w:rPr>
        <w:rFonts w:hint="default"/>
        <w:lang w:val="es-ES" w:eastAsia="en-US" w:bidi="ar-SA"/>
      </w:rPr>
    </w:lvl>
    <w:lvl w:ilvl="6" w:tplc="D1CC0B7C">
      <w:numFmt w:val="bullet"/>
      <w:lvlText w:val="•"/>
      <w:lvlJc w:val="left"/>
      <w:pPr>
        <w:ind w:left="5976" w:hanging="360"/>
      </w:pPr>
      <w:rPr>
        <w:rFonts w:hint="default"/>
        <w:lang w:val="es-ES" w:eastAsia="en-US" w:bidi="ar-SA"/>
      </w:rPr>
    </w:lvl>
    <w:lvl w:ilvl="7" w:tplc="E7321F3C">
      <w:numFmt w:val="bullet"/>
      <w:lvlText w:val="•"/>
      <w:lvlJc w:val="left"/>
      <w:pPr>
        <w:ind w:left="6832" w:hanging="360"/>
      </w:pPr>
      <w:rPr>
        <w:rFonts w:hint="default"/>
        <w:lang w:val="es-ES" w:eastAsia="en-US" w:bidi="ar-SA"/>
      </w:rPr>
    </w:lvl>
    <w:lvl w:ilvl="8" w:tplc="9BFCC374">
      <w:numFmt w:val="bullet"/>
      <w:lvlText w:val="•"/>
      <w:lvlJc w:val="left"/>
      <w:pPr>
        <w:ind w:left="768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A5597"/>
    <w:rsid w:val="003B2F32"/>
    <w:rsid w:val="00EA55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499A7-AEDF-40AD-BBAA-1489D07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00"/>
      <w:ind w:left="205" w:right="201"/>
      <w:jc w:val="center"/>
    </w:pPr>
    <w:rPr>
      <w:sz w:val="36"/>
      <w:szCs w:val="36"/>
    </w:rPr>
  </w:style>
  <w:style w:type="paragraph" w:styleId="Prrafodelista">
    <w:name w:val="List Paragraph"/>
    <w:basedOn w:val="Normal"/>
    <w:uiPriority w:val="1"/>
    <w:qFormat/>
    <w:pPr>
      <w:ind w:left="831" w:right="10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2756</Characters>
  <Application>Microsoft Office Word</Application>
  <DocSecurity>0</DocSecurity>
  <Lines>22</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Mera Schmidt</dc:creator>
  <cp:lastModifiedBy>Guillermo Diaz Vallejos</cp:lastModifiedBy>
  <cp:revision>1</cp:revision>
  <dcterms:created xsi:type="dcterms:W3CDTF">2023-07-19T14:01:00Z</dcterms:created>
  <dcterms:modified xsi:type="dcterms:W3CDTF">2023-08-02T16:46:00Z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2013</vt:lpwstr>
  </property>
  <property fmtid="{D5CDD505-2E9C-101B-9397-08002B2CF9AE}" pid="4" name="LastSaved">
    <vt:filetime>2023-07-19T00:00:00Z</vt:filetime>
  </property>
  <property fmtid="{D5CDD505-2E9C-101B-9397-08002B2CF9AE}" pid="5" name="Producer">
    <vt:lpwstr>Microsoft® Word 2013</vt:lpwstr>
  </property>
</Properties>
</file>