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7CA5" w:rsidRDefault="003A6009">
      <w:pPr>
        <w:pStyle w:val="Textoindependiente"/>
        <w:spacing w:before="75" w:line="360" w:lineRule="auto"/>
        <w:ind w:left="157" w:right="174"/>
        <w:jc w:val="center"/>
        <w:rPr>
          <w:b/>
        </w:rPr>
      </w:pPr>
      <w:r>
        <w:rPr>
          <w:b/>
        </w:rPr>
        <w:t>Modifica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ley</w:t>
      </w:r>
      <w:r>
        <w:rPr>
          <w:b/>
          <w:spacing w:val="-5"/>
        </w:rPr>
        <w:t xml:space="preserve"> </w:t>
      </w:r>
      <w:r>
        <w:rPr>
          <w:b/>
        </w:rPr>
        <w:t>Nº19.886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Bases</w:t>
      </w:r>
      <w:r>
        <w:rPr>
          <w:b/>
          <w:spacing w:val="-5"/>
        </w:rPr>
        <w:t xml:space="preserve"> </w:t>
      </w:r>
      <w:r>
        <w:rPr>
          <w:b/>
        </w:rPr>
        <w:t>sobre</w:t>
      </w:r>
      <w:r>
        <w:rPr>
          <w:b/>
          <w:spacing w:val="-5"/>
        </w:rPr>
        <w:t xml:space="preserve"> </w:t>
      </w:r>
      <w:r>
        <w:rPr>
          <w:b/>
        </w:rPr>
        <w:t>Contratos</w:t>
      </w:r>
      <w:r>
        <w:rPr>
          <w:b/>
          <w:spacing w:val="-5"/>
        </w:rPr>
        <w:t xml:space="preserve"> </w:t>
      </w:r>
      <w:r>
        <w:rPr>
          <w:b/>
        </w:rPr>
        <w:t>Administrativos</w:t>
      </w:r>
      <w:r>
        <w:rPr>
          <w:b/>
          <w:spacing w:val="-5"/>
        </w:rPr>
        <w:t xml:space="preserve"> </w:t>
      </w:r>
      <w:r>
        <w:rPr>
          <w:b/>
        </w:rPr>
        <w:t>de Suministro y Prestación de Servicios a fin de eliminar el trato de directo como mecanismo de contratación administrativa.</w:t>
      </w:r>
    </w:p>
    <w:p w:rsidR="00B47CA5" w:rsidRDefault="00B47CA5">
      <w:pPr>
        <w:pStyle w:val="Textoindependiente"/>
        <w:spacing w:before="2"/>
        <w:rPr>
          <w:b/>
          <w:sz w:val="36"/>
        </w:rPr>
      </w:pPr>
    </w:p>
    <w:p w:rsidR="00B47CA5" w:rsidRDefault="003A6009">
      <w:pPr>
        <w:pStyle w:val="Textoindependiente"/>
        <w:ind w:left="102"/>
        <w:rPr>
          <w:b/>
        </w:rPr>
      </w:pPr>
      <w:r>
        <w:rPr>
          <w:b/>
          <w:spacing w:val="-2"/>
        </w:rPr>
        <w:t>Antecedentes</w:t>
      </w:r>
    </w:p>
    <w:p w:rsidR="00B47CA5" w:rsidRDefault="00B47CA5">
      <w:pPr>
        <w:pStyle w:val="Textoindependiente"/>
        <w:rPr>
          <w:b/>
          <w:sz w:val="28"/>
        </w:rPr>
      </w:pPr>
    </w:p>
    <w:p w:rsidR="00B47CA5" w:rsidRDefault="003A6009">
      <w:pPr>
        <w:pStyle w:val="Textoindependiente"/>
        <w:spacing w:before="235" w:line="360" w:lineRule="auto"/>
        <w:ind w:left="102" w:right="117" w:firstLine="707"/>
        <w:jc w:val="both"/>
      </w:pPr>
      <w:r>
        <w:t xml:space="preserve">A propósito de los graves casos de corrupción que se han ido ventilando en el último tiempo, se hace imperioso para </w:t>
      </w:r>
      <w:r>
        <w:t>este Honrable Congreso Nacional, revisar las distintas regulaciones relacionadas con la probidad y transparencia, de manera tal de establecer una regulación mucho más rigurosa que nos permita prevenir o disuadir la comisión de estos actos de corrupción.</w:t>
      </w:r>
    </w:p>
    <w:p w:rsidR="00B47CA5" w:rsidRDefault="003A6009">
      <w:pPr>
        <w:pStyle w:val="Textoindependiente"/>
        <w:spacing w:line="360" w:lineRule="auto"/>
        <w:ind w:left="102" w:right="116" w:firstLine="707"/>
        <w:jc w:val="both"/>
      </w:pPr>
      <w:r>
        <w:t>De</w:t>
      </w:r>
      <w:r>
        <w:rPr>
          <w:spacing w:val="-14"/>
        </w:rPr>
        <w:t xml:space="preserve"> </w:t>
      </w:r>
      <w:r>
        <w:t>entrada,</w:t>
      </w:r>
      <w:r>
        <w:rPr>
          <w:spacing w:val="-14"/>
        </w:rPr>
        <w:t xml:space="preserve"> </w:t>
      </w:r>
      <w:r>
        <w:t>diversos</w:t>
      </w:r>
      <w:r>
        <w:rPr>
          <w:spacing w:val="-12"/>
        </w:rPr>
        <w:t xml:space="preserve"> </w:t>
      </w:r>
      <w:r>
        <w:t>estudios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provenientes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distintos</w:t>
      </w:r>
      <w:r>
        <w:rPr>
          <w:spacing w:val="-14"/>
        </w:rPr>
        <w:t xml:space="preserve"> </w:t>
      </w:r>
      <w:r>
        <w:t>organismos, entre ellos la propia Contraloría de la República</w:t>
      </w:r>
      <w:r>
        <w:rPr>
          <w:position w:val="6"/>
          <w:sz w:val="16"/>
        </w:rPr>
        <w:t>1</w:t>
      </w:r>
      <w:r>
        <w:t>, han señalado que el Sistema de Compras Públicas nacional se tiende a prestar como un flanco importante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fraud</w:t>
      </w:r>
      <w:r>
        <w:t>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perjudican</w:t>
      </w:r>
      <w:r>
        <w:rPr>
          <w:spacing w:val="-5"/>
        </w:rPr>
        <w:t xml:space="preserve"> </w:t>
      </w:r>
      <w:r>
        <w:t>gravemente las arcas fiscales.</w:t>
      </w:r>
    </w:p>
    <w:p w:rsidR="00B47CA5" w:rsidRDefault="003A6009">
      <w:pPr>
        <w:pStyle w:val="Textoindependiente"/>
        <w:spacing w:before="1" w:line="360" w:lineRule="auto"/>
        <w:ind w:left="102" w:right="118" w:firstLine="707"/>
        <w:jc w:val="both"/>
      </w:pPr>
      <w:r>
        <w:t xml:space="preserve">Este factor de riesgo se produce, entre otras cosas, por la excesiva discrecionalidad de los distintos mecanismos de contratación. En efecto, y principalmente, se han detectado importantes abusos respecto a </w:t>
      </w:r>
      <w:r>
        <w:t>la utilización -mal utilización- de las causales establecidas en la ley para la procedencia del trato o contratación directa.</w:t>
      </w:r>
    </w:p>
    <w:p w:rsidR="00B47CA5" w:rsidRDefault="003A6009">
      <w:pPr>
        <w:spacing w:line="360" w:lineRule="auto"/>
        <w:ind w:left="102" w:right="116" w:firstLine="707"/>
        <w:jc w:val="both"/>
        <w:rPr>
          <w:i/>
          <w:sz w:val="24"/>
        </w:rPr>
      </w:pPr>
      <w:r>
        <w:rPr>
          <w:sz w:val="24"/>
        </w:rPr>
        <w:t>En esa línea, la Fiscalía Nacional Económica realizó durante el año 2020 un Estudio de Mercado sobre Compras Públicas</w:t>
      </w:r>
      <w:r>
        <w:rPr>
          <w:position w:val="6"/>
          <w:sz w:val="16"/>
        </w:rPr>
        <w:t>2</w:t>
      </w:r>
      <w:r>
        <w:rPr>
          <w:sz w:val="24"/>
        </w:rPr>
        <w:t>, en él ya s</w:t>
      </w:r>
      <w:r>
        <w:rPr>
          <w:sz w:val="24"/>
        </w:rPr>
        <w:t xml:space="preserve">e puntualizaba las falencias que presenta el mecanismo de trato directo y resaltaba como </w:t>
      </w:r>
      <w:r>
        <w:rPr>
          <w:i/>
          <w:sz w:val="24"/>
        </w:rPr>
        <w:t>“de suma importancia revisar su utilización de forma adecuada,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puesto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definición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optar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mecanismo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significa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 contar con los beneficios de la competencia para que el Estado acceda a bienes y servicios.”</w:t>
      </w:r>
    </w:p>
    <w:p w:rsidR="00B47CA5" w:rsidRDefault="003A6009">
      <w:pPr>
        <w:pStyle w:val="Textoindependiente"/>
        <w:spacing w:line="360" w:lineRule="auto"/>
        <w:ind w:left="102" w:right="116" w:firstLine="707"/>
        <w:jc w:val="both"/>
      </w:pPr>
      <w:r>
        <w:t>Asimismo, y del análisis que hizo de cientos de tratos directos junto con jurisprudencia de Contraloría General de República, se pudo apreciar que cerca del 60%</w:t>
      </w:r>
      <w:r>
        <w:t xml:space="preserve"> “de los tratos directos, los organismos públicos demandantes </w:t>
      </w:r>
      <w:r>
        <w:rPr>
          <w:b/>
        </w:rPr>
        <w:t>no cumplieron con el estándar regulatorio para justificar su</w:t>
      </w:r>
      <w:r>
        <w:rPr>
          <w:b/>
          <w:spacing w:val="-20"/>
        </w:rPr>
        <w:t xml:space="preserve"> </w:t>
      </w:r>
      <w:r>
        <w:rPr>
          <w:b/>
        </w:rPr>
        <w:t>uso</w:t>
      </w:r>
      <w:r>
        <w:t>.”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continúa</w:t>
      </w:r>
      <w:r>
        <w:rPr>
          <w:spacing w:val="-16"/>
        </w:rPr>
        <w:t xml:space="preserve"> </w:t>
      </w:r>
      <w:r>
        <w:t>“se</w:t>
      </w:r>
      <w:r>
        <w:rPr>
          <w:spacing w:val="-16"/>
        </w:rPr>
        <w:t xml:space="preserve"> </w:t>
      </w:r>
      <w:r>
        <w:t>observa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utilización</w:t>
      </w:r>
      <w:r>
        <w:rPr>
          <w:spacing w:val="-16"/>
        </w:rPr>
        <w:t xml:space="preserve"> </w:t>
      </w:r>
      <w:r>
        <w:t>recurrente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ciertas</w:t>
      </w:r>
      <w:r>
        <w:rPr>
          <w:spacing w:val="-16"/>
        </w:rPr>
        <w:t xml:space="preserve"> </w:t>
      </w:r>
      <w:r>
        <w:t>causales, como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emergencia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proveedo</w:t>
      </w:r>
      <w:r>
        <w:t>r,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que más</w:t>
      </w:r>
      <w:r>
        <w:rPr>
          <w:spacing w:val="6"/>
        </w:rPr>
        <w:t xml:space="preserve"> </w:t>
      </w:r>
      <w:r>
        <w:t>bien</w:t>
      </w:r>
      <w:r>
        <w:rPr>
          <w:spacing w:val="6"/>
        </w:rPr>
        <w:t xml:space="preserve"> </w:t>
      </w:r>
      <w:r>
        <w:t>podrían</w:t>
      </w:r>
      <w:r>
        <w:rPr>
          <w:spacing w:val="5"/>
        </w:rPr>
        <w:t xml:space="preserve"> </w:t>
      </w:r>
      <w:r>
        <w:t>obedecer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desórdenes</w:t>
      </w:r>
      <w:r>
        <w:rPr>
          <w:spacing w:val="6"/>
        </w:rPr>
        <w:t xml:space="preserve"> </w:t>
      </w:r>
      <w:r>
        <w:t>administrativos</w:t>
      </w:r>
      <w:r>
        <w:rPr>
          <w:spacing w:val="6"/>
        </w:rPr>
        <w:t xml:space="preserve"> </w:t>
      </w:r>
      <w:r>
        <w:t>derivados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5"/>
        </w:rPr>
        <w:t>una</w:t>
      </w:r>
    </w:p>
    <w:p w:rsidR="00B47CA5" w:rsidRDefault="00B47CA5">
      <w:pPr>
        <w:pStyle w:val="Textoindependiente"/>
        <w:rPr>
          <w:sz w:val="20"/>
        </w:rPr>
      </w:pPr>
    </w:p>
    <w:p w:rsidR="00B47CA5" w:rsidRDefault="00B47CA5">
      <w:pPr>
        <w:pStyle w:val="Textoindependiente"/>
        <w:rPr>
          <w:sz w:val="20"/>
        </w:rPr>
      </w:pPr>
    </w:p>
    <w:p w:rsidR="00B47CA5" w:rsidRDefault="00B47CA5">
      <w:pPr>
        <w:pStyle w:val="Textoindependiente"/>
        <w:rPr>
          <w:sz w:val="20"/>
        </w:rPr>
      </w:pPr>
    </w:p>
    <w:p w:rsidR="00B47CA5" w:rsidRDefault="003A6009">
      <w:pPr>
        <w:pStyle w:val="Textoindependiente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196101</wp:posOffset>
                </wp:positionV>
                <wp:extent cx="1829435" cy="1079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1079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829054" y="1066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E4BD" id="Graphic 1" o:spid="_x0000_s1026" style="position:absolute;margin-left:85.1pt;margin-top:15.45pt;width:144.0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" path="m1829054,l,,,1066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47CA5" w:rsidRDefault="003A6009">
      <w:pPr>
        <w:tabs>
          <w:tab w:val="left" w:pos="1227"/>
          <w:tab w:val="left" w:pos="2870"/>
          <w:tab w:val="left" w:pos="4535"/>
          <w:tab w:val="left" w:pos="5858"/>
        </w:tabs>
        <w:spacing w:before="107"/>
        <w:ind w:left="102" w:right="116"/>
        <w:rPr>
          <w:rFonts w:ascii="Calibri"/>
          <w:sz w:val="20"/>
        </w:rPr>
      </w:pPr>
      <w:r>
        <w:rPr>
          <w:rFonts w:ascii="Calibri"/>
          <w:spacing w:val="-10"/>
          <w:sz w:val="20"/>
          <w:vertAlign w:val="superscript"/>
        </w:rPr>
        <w:t>1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Revisar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estudio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en: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https:/</w:t>
      </w:r>
      <w:hyperlink r:id="rId5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6">
        <w:r>
          <w:rPr>
            <w:rFonts w:ascii="Calibri"/>
            <w:spacing w:val="-2"/>
            <w:sz w:val="20"/>
          </w:rPr>
          <w:t>w.chiletransparente.cl/wp-</w:t>
        </w:r>
      </w:hyperlink>
      <w:r>
        <w:rPr>
          <w:rFonts w:ascii="Calibri"/>
          <w:spacing w:val="-2"/>
          <w:sz w:val="20"/>
        </w:rPr>
        <w:t xml:space="preserve"> content/files_mf/1607614519radiografiadelacorrupcion.pdf</w:t>
      </w:r>
    </w:p>
    <w:p w:rsidR="00B47CA5" w:rsidRDefault="003A6009">
      <w:pPr>
        <w:tabs>
          <w:tab w:val="left" w:pos="2369"/>
          <w:tab w:val="left" w:pos="4806"/>
          <w:tab w:val="left" w:pos="6666"/>
        </w:tabs>
        <w:spacing w:before="2"/>
        <w:ind w:left="102" w:right="116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-2"/>
          <w:sz w:val="20"/>
        </w:rPr>
        <w:t>Estudio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disponible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en: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https:/</w:t>
      </w:r>
      <w:hyperlink r:id="rId7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8">
        <w:r>
          <w:rPr>
            <w:rFonts w:ascii="Calibri"/>
            <w:spacing w:val="-2"/>
            <w:sz w:val="20"/>
          </w:rPr>
          <w:t>w.fne.gob.cl/wp-</w:t>
        </w:r>
      </w:hyperlink>
      <w:r>
        <w:rPr>
          <w:rFonts w:ascii="Calibri"/>
          <w:spacing w:val="-2"/>
          <w:sz w:val="20"/>
        </w:rPr>
        <w:t xml:space="preserve"> content/uploads/2020/08/informe_preliminar_EM05_2020.pdf</w:t>
      </w:r>
    </w:p>
    <w:p w:rsidR="00B47CA5" w:rsidRDefault="00B47CA5">
      <w:pPr>
        <w:rPr>
          <w:rFonts w:ascii="Calibri"/>
          <w:sz w:val="20"/>
        </w:rPr>
        <w:sectPr w:rsidR="00B47CA5">
          <w:type w:val="continuous"/>
          <w:pgSz w:w="12240" w:h="20160"/>
          <w:pgMar w:top="1340" w:right="1580" w:bottom="280" w:left="1600" w:header="720" w:footer="720" w:gutter="0"/>
          <w:cols w:space="720"/>
        </w:sectPr>
      </w:pPr>
    </w:p>
    <w:p w:rsidR="00B47CA5" w:rsidRDefault="003A6009">
      <w:pPr>
        <w:pStyle w:val="Textoindependiente"/>
        <w:spacing w:before="75" w:line="360" w:lineRule="auto"/>
        <w:ind w:left="102" w:right="119"/>
        <w:jc w:val="both"/>
      </w:pPr>
      <w:r>
        <w:lastRenderedPageBreak/>
        <w:t>mala planificación por parte de los organismos públicos o a una mala determinación de los mercados relevantes.”</w:t>
      </w:r>
    </w:p>
    <w:p w:rsidR="00B47CA5" w:rsidRDefault="003A6009">
      <w:pPr>
        <w:pStyle w:val="Textoindependiente"/>
        <w:spacing w:before="2" w:line="360" w:lineRule="auto"/>
        <w:ind w:left="102" w:right="117" w:firstLine="707"/>
        <w:jc w:val="both"/>
      </w:pPr>
      <w:r>
        <w:t>Así, queda de manifiesto que, lamentablemente, se h</w:t>
      </w:r>
      <w:r>
        <w:t>a hecho un mal uso de las causales de procedencia para la contratación vía trato directo que,</w:t>
      </w:r>
      <w:r>
        <w:rPr>
          <w:spacing w:val="-3"/>
        </w:rPr>
        <w:t xml:space="preserve"> </w:t>
      </w:r>
      <w:r>
        <w:t>además,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relaciona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prevalencia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corrupción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han detectado en el uso de este mecanismo. Baste señalar, a modo de ejemplo, los recientes “casos convenios” donde fundaciones se han adjudicado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trato</w:t>
      </w:r>
      <w:r>
        <w:rPr>
          <w:spacing w:val="-4"/>
        </w:rPr>
        <w:t xml:space="preserve"> </w:t>
      </w:r>
      <w:r>
        <w:t>directo</w:t>
      </w:r>
      <w:r>
        <w:rPr>
          <w:spacing w:val="-2"/>
        </w:rPr>
        <w:t xml:space="preserve"> </w:t>
      </w:r>
      <w:r>
        <w:t>miles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millones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irregular</w:t>
      </w:r>
      <w:r>
        <w:rPr>
          <w:spacing w:val="-4"/>
        </w:rPr>
        <w:t xml:space="preserve"> </w:t>
      </w:r>
      <w:r>
        <w:t>y altamente cuestionable.</w:t>
      </w:r>
    </w:p>
    <w:p w:rsidR="00B47CA5" w:rsidRDefault="00B47CA5">
      <w:pPr>
        <w:pStyle w:val="Textoindependiente"/>
        <w:spacing w:before="11"/>
        <w:rPr>
          <w:sz w:val="35"/>
        </w:rPr>
      </w:pPr>
    </w:p>
    <w:p w:rsidR="00B47CA5" w:rsidRDefault="003A6009">
      <w:pPr>
        <w:pStyle w:val="Textoindependiente"/>
        <w:ind w:left="810"/>
        <w:rPr>
          <w:b/>
        </w:rPr>
      </w:pPr>
      <w:r>
        <w:rPr>
          <w:b/>
        </w:rPr>
        <w:t>Idea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matriz</w:t>
      </w:r>
    </w:p>
    <w:p w:rsidR="00B47CA5" w:rsidRDefault="00B47CA5">
      <w:pPr>
        <w:pStyle w:val="Textoindependiente"/>
        <w:rPr>
          <w:b/>
          <w:sz w:val="28"/>
        </w:rPr>
      </w:pPr>
    </w:p>
    <w:p w:rsidR="00B47CA5" w:rsidRDefault="003A6009">
      <w:pPr>
        <w:pStyle w:val="Textoindependiente"/>
        <w:spacing w:before="235" w:line="360" w:lineRule="auto"/>
        <w:ind w:left="102" w:right="116" w:firstLine="707"/>
        <w:jc w:val="both"/>
      </w:pPr>
      <w:r>
        <w:t>El o</w:t>
      </w:r>
      <w:r>
        <w:t>bjeto de este proyecto es modificar de forma relevante la actual regulación en cuanto a mecanismos de compra pública se refiere, para lisa y llanamente eliminar la figura de trato directo y solo dejar establecida la licitación privada. Creemos importante a</w:t>
      </w:r>
      <w:r>
        <w:t>brir esta discusión para dar lugar a fortalecer las licitaciones públicas, reducir los espacios a la discrecionalidad y, en última instancia, prevenir los graves casos de corrupción que hemos visto últimamente.</w:t>
      </w:r>
    </w:p>
    <w:p w:rsidR="00B47CA5" w:rsidRDefault="003A6009">
      <w:pPr>
        <w:pStyle w:val="Textoindependiente"/>
        <w:spacing w:before="1" w:line="360" w:lineRule="auto"/>
        <w:ind w:left="102" w:right="116" w:firstLine="707"/>
        <w:jc w:val="both"/>
      </w:pPr>
      <w:r>
        <w:t>En</w:t>
      </w:r>
      <w:r>
        <w:rPr>
          <w:spacing w:val="-18"/>
        </w:rPr>
        <w:t xml:space="preserve"> </w:t>
      </w:r>
      <w:r>
        <w:t>este</w:t>
      </w:r>
      <w:r>
        <w:rPr>
          <w:spacing w:val="-18"/>
        </w:rPr>
        <w:t xml:space="preserve"> </w:t>
      </w:r>
      <w:r>
        <w:t>sentido,</w:t>
      </w:r>
      <w:r>
        <w:rPr>
          <w:spacing w:val="-19"/>
        </w:rPr>
        <w:t xml:space="preserve"> </w:t>
      </w:r>
      <w:r>
        <w:t>proponemos</w:t>
      </w:r>
      <w:r>
        <w:rPr>
          <w:spacing w:val="-18"/>
        </w:rPr>
        <w:t xml:space="preserve"> </w:t>
      </w:r>
      <w:r>
        <w:t>modificar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18"/>
        </w:rPr>
        <w:t xml:space="preserve"> </w:t>
      </w:r>
      <w:r>
        <w:t>Nº19.886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Bases</w:t>
      </w:r>
      <w:r>
        <w:rPr>
          <w:spacing w:val="-18"/>
        </w:rPr>
        <w:t xml:space="preserve"> </w:t>
      </w:r>
      <w:r>
        <w:t>sobre Contratos Administrativos de Suministro y Prestación de Servicio para que las causales que actualmente se contemplan para trato directo, se refieran sólo a las licitaciones privadas.</w:t>
      </w:r>
    </w:p>
    <w:p w:rsidR="00B47CA5" w:rsidRDefault="00B47CA5">
      <w:pPr>
        <w:pStyle w:val="Textoindependiente"/>
        <w:spacing w:before="11"/>
        <w:rPr>
          <w:sz w:val="35"/>
        </w:rPr>
      </w:pPr>
    </w:p>
    <w:p w:rsidR="00B47CA5" w:rsidRDefault="003A6009">
      <w:pPr>
        <w:pStyle w:val="Textoindependiente"/>
        <w:spacing w:line="360" w:lineRule="auto"/>
        <w:ind w:left="102" w:right="116" w:firstLine="707"/>
        <w:jc w:val="both"/>
      </w:pPr>
      <w:r>
        <w:t>Por lo anteriormente expuesto, y en virtud de las potestades constitucionales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legales,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diputados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diputadas</w:t>
      </w:r>
      <w:r>
        <w:rPr>
          <w:spacing w:val="-5"/>
        </w:rPr>
        <w:t xml:space="preserve"> </w:t>
      </w:r>
      <w:r>
        <w:t>firmantes,</w:t>
      </w:r>
      <w:r>
        <w:rPr>
          <w:spacing w:val="-5"/>
        </w:rPr>
        <w:t xml:space="preserve"> </w:t>
      </w:r>
      <w:r>
        <w:t>venimos</w:t>
      </w:r>
      <w:r>
        <w:rPr>
          <w:spacing w:val="-5"/>
        </w:rPr>
        <w:t xml:space="preserve"> </w:t>
      </w:r>
      <w:r>
        <w:t xml:space="preserve">en someter a la consideración de esta Honorable Cámara de Diputados, el </w:t>
      </w:r>
      <w:r>
        <w:rPr>
          <w:spacing w:val="-2"/>
        </w:rPr>
        <w:t>siguiente:</w:t>
      </w:r>
    </w:p>
    <w:p w:rsidR="00B47CA5" w:rsidRDefault="00B47CA5">
      <w:pPr>
        <w:spacing w:line="360" w:lineRule="auto"/>
        <w:jc w:val="both"/>
        <w:sectPr w:rsidR="00B47CA5">
          <w:pgSz w:w="12240" w:h="20160"/>
          <w:pgMar w:top="1340" w:right="1580" w:bottom="280" w:left="1600" w:header="720" w:footer="720" w:gutter="0"/>
          <w:cols w:space="720"/>
        </w:sectPr>
      </w:pPr>
    </w:p>
    <w:p w:rsidR="00B47CA5" w:rsidRDefault="003A6009">
      <w:pPr>
        <w:pStyle w:val="Textoindependiente"/>
        <w:spacing w:before="75"/>
        <w:ind w:left="157" w:right="172"/>
        <w:jc w:val="center"/>
        <w:rPr>
          <w:b/>
        </w:rPr>
      </w:pPr>
      <w:r>
        <w:rPr>
          <w:b/>
        </w:rPr>
        <w:lastRenderedPageBreak/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LEY</w:t>
      </w:r>
    </w:p>
    <w:p w:rsidR="00B47CA5" w:rsidRDefault="00B47CA5">
      <w:pPr>
        <w:pStyle w:val="Textoindependiente"/>
        <w:rPr>
          <w:b/>
          <w:sz w:val="28"/>
        </w:rPr>
      </w:pPr>
    </w:p>
    <w:p w:rsidR="00B47CA5" w:rsidRDefault="00B47CA5">
      <w:pPr>
        <w:pStyle w:val="Textoindependiente"/>
        <w:rPr>
          <w:b/>
          <w:sz w:val="28"/>
        </w:rPr>
      </w:pPr>
    </w:p>
    <w:p w:rsidR="00B47CA5" w:rsidRDefault="00B47CA5">
      <w:pPr>
        <w:pStyle w:val="Textoindependiente"/>
        <w:spacing w:before="2"/>
        <w:rPr>
          <w:b/>
          <w:sz w:val="28"/>
        </w:rPr>
      </w:pPr>
    </w:p>
    <w:p w:rsidR="00B47CA5" w:rsidRDefault="003A6009">
      <w:pPr>
        <w:pStyle w:val="Textoindependiente"/>
        <w:spacing w:line="360" w:lineRule="auto"/>
        <w:ind w:left="102" w:right="116"/>
        <w:jc w:val="both"/>
      </w:pPr>
      <w:r>
        <w:rPr>
          <w:b/>
        </w:rPr>
        <w:t>ARTÍCULO</w:t>
      </w:r>
      <w:r>
        <w:rPr>
          <w:b/>
          <w:spacing w:val="-16"/>
        </w:rPr>
        <w:t xml:space="preserve"> </w:t>
      </w:r>
      <w:r>
        <w:rPr>
          <w:b/>
        </w:rPr>
        <w:t>ÚNICO</w:t>
      </w:r>
      <w:r>
        <w:t>.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Modifíquese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Nº</w:t>
      </w:r>
      <w:r>
        <w:rPr>
          <w:spacing w:val="-15"/>
        </w:rPr>
        <w:t xml:space="preserve"> </w:t>
      </w:r>
      <w:r>
        <w:t>19.886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Bases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Contratos Administrativos de Suministro y Prestación de Servicios en el siguient</w:t>
      </w:r>
      <w:r>
        <w:t xml:space="preserve">e </w:t>
      </w:r>
      <w:r>
        <w:rPr>
          <w:spacing w:val="-2"/>
        </w:rPr>
        <w:t>sentido: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 xml:space="preserve">Suprímase en el artículo 5º inciso primero la frase “o contratación </w:t>
      </w:r>
      <w:r>
        <w:rPr>
          <w:spacing w:val="-2"/>
          <w:sz w:val="24"/>
        </w:rPr>
        <w:t>directa.”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0"/>
        </w:tabs>
        <w:spacing w:line="281" w:lineRule="exact"/>
        <w:ind w:left="820" w:right="0" w:hanging="359"/>
        <w:jc w:val="both"/>
        <w:rPr>
          <w:sz w:val="24"/>
        </w:rPr>
      </w:pPr>
      <w:r>
        <w:rPr>
          <w:sz w:val="24"/>
        </w:rPr>
        <w:t>Suprímase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letra</w:t>
      </w:r>
      <w:r>
        <w:rPr>
          <w:spacing w:val="-2"/>
          <w:sz w:val="24"/>
        </w:rPr>
        <w:t xml:space="preserve"> </w:t>
      </w:r>
      <w:r>
        <w:rPr>
          <w:sz w:val="24"/>
        </w:rPr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7º.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1"/>
        </w:tabs>
        <w:spacing w:before="140" w:line="360" w:lineRule="auto"/>
        <w:ind w:left="821" w:right="118"/>
        <w:jc w:val="both"/>
        <w:rPr>
          <w:sz w:val="24"/>
        </w:rPr>
      </w:pPr>
      <w:r>
        <w:rPr>
          <w:sz w:val="24"/>
        </w:rPr>
        <w:t>Suprímase en el artículo 8º inciso primero la frase “o el trato o contratación directa”.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left="821" w:right="116"/>
        <w:jc w:val="both"/>
        <w:rPr>
          <w:sz w:val="24"/>
        </w:rPr>
      </w:pPr>
      <w:r>
        <w:rPr>
          <w:sz w:val="24"/>
        </w:rPr>
        <w:t xml:space="preserve">Reemplácese en la letra a) del artículo 8º la frase: “. En tal situación precederá primero la licitación o propuesta privada y, en caso de no encontrar nuevamente interesado, será procedente el trato o contratación directa.” por la frase: "a dos concursos </w:t>
      </w:r>
      <w:r>
        <w:rPr>
          <w:sz w:val="24"/>
        </w:rPr>
        <w:t>consecutivos”.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1"/>
        </w:tabs>
        <w:spacing w:before="1" w:line="360" w:lineRule="auto"/>
        <w:ind w:left="821"/>
        <w:jc w:val="both"/>
        <w:rPr>
          <w:sz w:val="24"/>
        </w:rPr>
      </w:pPr>
      <w:r>
        <w:rPr>
          <w:sz w:val="24"/>
        </w:rPr>
        <w:t>Suprímase en el inciso segundo de la letra a) del artículo 8º la frase “contratar directamente o”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>Reemplácese en la letra g) del artículo 8º la frase: “al trato o contratación directa” por “a la licitación privada”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/>
        <w:jc w:val="both"/>
        <w:rPr>
          <w:sz w:val="24"/>
        </w:rPr>
      </w:pPr>
      <w:r>
        <w:rPr>
          <w:sz w:val="24"/>
        </w:rPr>
        <w:t>Reemplácese en el inciso tercero del artículo 8º la frase “del trato o contratación directa” por “la licitación privada”.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1"/>
        </w:tabs>
        <w:spacing w:line="360" w:lineRule="auto"/>
        <w:ind w:left="821" w:right="119"/>
        <w:jc w:val="both"/>
        <w:rPr>
          <w:sz w:val="24"/>
        </w:rPr>
      </w:pPr>
      <w:r>
        <w:rPr>
          <w:sz w:val="24"/>
        </w:rPr>
        <w:t>Suprímase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inciso</w:t>
      </w:r>
      <w:r>
        <w:rPr>
          <w:spacing w:val="-11"/>
          <w:sz w:val="24"/>
        </w:rPr>
        <w:t xml:space="preserve"> </w:t>
      </w:r>
      <w:r>
        <w:rPr>
          <w:sz w:val="24"/>
        </w:rPr>
        <w:t>tercero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1"/>
          <w:sz w:val="24"/>
        </w:rPr>
        <w:t xml:space="preserve"> </w:t>
      </w:r>
      <w:r>
        <w:rPr>
          <w:sz w:val="24"/>
        </w:rPr>
        <w:t>8º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frase:</w:t>
      </w:r>
      <w:r>
        <w:rPr>
          <w:spacing w:val="-11"/>
          <w:sz w:val="24"/>
        </w:rPr>
        <w:t xml:space="preserve"> </w:t>
      </w:r>
      <w:r>
        <w:rPr>
          <w:sz w:val="24"/>
        </w:rPr>
        <w:t>“En</w:t>
      </w:r>
      <w:r>
        <w:rPr>
          <w:spacing w:val="-11"/>
          <w:sz w:val="24"/>
        </w:rPr>
        <w:t xml:space="preserve"> </w:t>
      </w:r>
      <w:r>
        <w:rPr>
          <w:sz w:val="24"/>
        </w:rPr>
        <w:t>igual</w:t>
      </w:r>
      <w:r>
        <w:rPr>
          <w:spacing w:val="-11"/>
          <w:sz w:val="24"/>
        </w:rPr>
        <w:t xml:space="preserve"> </w:t>
      </w:r>
      <w:r>
        <w:rPr>
          <w:sz w:val="24"/>
        </w:rPr>
        <w:t>forma y plazo deberán publicarse las resoluciones o acuerdos emanad</w:t>
      </w:r>
      <w:r>
        <w:rPr>
          <w:sz w:val="24"/>
        </w:rPr>
        <w:t>os de los organismos públicos regidos por esta ley, que autoricen la procedencia de la licitación privada.”</w:t>
      </w:r>
    </w:p>
    <w:p w:rsidR="00B47CA5" w:rsidRDefault="003A6009">
      <w:pPr>
        <w:pStyle w:val="Prrafodelista"/>
        <w:numPr>
          <w:ilvl w:val="0"/>
          <w:numId w:val="1"/>
        </w:numPr>
        <w:tabs>
          <w:tab w:val="left" w:pos="820"/>
        </w:tabs>
        <w:spacing w:line="281" w:lineRule="exact"/>
        <w:ind w:left="820" w:right="0" w:hanging="359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3026119</wp:posOffset>
            </wp:positionH>
            <wp:positionV relativeFrom="paragraph">
              <wp:posOffset>292846</wp:posOffset>
            </wp:positionV>
            <wp:extent cx="1939479" cy="179273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479" cy="1792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Suprímase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inciso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8º.</w:t>
      </w:r>
    </w:p>
    <w:p w:rsidR="00B47CA5" w:rsidRDefault="00B47CA5">
      <w:pPr>
        <w:pStyle w:val="Textoindependiente"/>
        <w:rPr>
          <w:sz w:val="28"/>
        </w:rPr>
      </w:pPr>
    </w:p>
    <w:p w:rsidR="00B47CA5" w:rsidRDefault="00B47CA5">
      <w:pPr>
        <w:pStyle w:val="Textoindependiente"/>
        <w:rPr>
          <w:sz w:val="28"/>
        </w:rPr>
      </w:pPr>
    </w:p>
    <w:p w:rsidR="00B47CA5" w:rsidRDefault="00B47CA5">
      <w:pPr>
        <w:pStyle w:val="Textoindependiente"/>
        <w:rPr>
          <w:sz w:val="28"/>
        </w:rPr>
      </w:pPr>
    </w:p>
    <w:p w:rsidR="00B47CA5" w:rsidRDefault="00B47CA5">
      <w:pPr>
        <w:pStyle w:val="Textoindependiente"/>
        <w:rPr>
          <w:sz w:val="28"/>
        </w:rPr>
      </w:pPr>
    </w:p>
    <w:p w:rsidR="00B47CA5" w:rsidRDefault="00B47CA5">
      <w:pPr>
        <w:pStyle w:val="Textoindependiente"/>
        <w:rPr>
          <w:sz w:val="28"/>
        </w:rPr>
      </w:pPr>
    </w:p>
    <w:p w:rsidR="00B47CA5" w:rsidRDefault="00B47CA5">
      <w:pPr>
        <w:pStyle w:val="Textoindependiente"/>
        <w:rPr>
          <w:sz w:val="28"/>
        </w:rPr>
      </w:pPr>
    </w:p>
    <w:p w:rsidR="00B47CA5" w:rsidRDefault="00B47CA5">
      <w:pPr>
        <w:pStyle w:val="Textoindependiente"/>
        <w:spacing w:before="1"/>
      </w:pPr>
    </w:p>
    <w:p w:rsidR="00B47CA5" w:rsidRDefault="003A6009">
      <w:pPr>
        <w:pStyle w:val="Textoindependiente"/>
        <w:spacing w:before="1"/>
        <w:ind w:left="2747"/>
        <w:rPr>
          <w:b/>
        </w:rPr>
      </w:pPr>
      <w:r>
        <w:rPr>
          <w:b/>
        </w:rPr>
        <w:t>H.D.</w:t>
      </w:r>
      <w:r>
        <w:rPr>
          <w:b/>
          <w:spacing w:val="-5"/>
        </w:rPr>
        <w:t xml:space="preserve"> </w:t>
      </w:r>
      <w:r>
        <w:rPr>
          <w:b/>
        </w:rPr>
        <w:t>FRANCESCA</w:t>
      </w:r>
      <w:r>
        <w:rPr>
          <w:b/>
          <w:spacing w:val="-4"/>
        </w:rPr>
        <w:t xml:space="preserve"> </w:t>
      </w:r>
      <w:r>
        <w:rPr>
          <w:b/>
        </w:rPr>
        <w:t>MUÑOZ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G.</w:t>
      </w:r>
    </w:p>
    <w:sectPr w:rsidR="00B47CA5">
      <w:pgSz w:w="12240" w:h="2016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5727"/>
    <w:multiLevelType w:val="hybridMultilevel"/>
    <w:tmpl w:val="5DEEF192"/>
    <w:lvl w:ilvl="0" w:tplc="0BA62B50">
      <w:start w:val="1"/>
      <w:numFmt w:val="decimal"/>
      <w:lvlText w:val="%1."/>
      <w:lvlJc w:val="left"/>
      <w:pPr>
        <w:ind w:left="822" w:hanging="360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B1A9756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57AE499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92F447C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A3905C6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95A4479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301AE31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9AE0F920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7F88FE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CA5"/>
    <w:rsid w:val="003A6009"/>
    <w:rsid w:val="00B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e.gob.cl/wp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e.gob.cl/wp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iletransparente.cl/wp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letransparente.cl/wp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Lu-yen Elías Chea</dc:creator>
  <cp:lastModifiedBy>Guillermo Diaz Vallejos</cp:lastModifiedBy>
  <cp:revision>1</cp:revision>
  <dcterms:created xsi:type="dcterms:W3CDTF">2023-08-01T19:35:00Z</dcterms:created>
  <dcterms:modified xsi:type="dcterms:W3CDTF">2023-08-07T22:35:00Z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LTSC</vt:lpwstr>
  </property>
</Properties>
</file>