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1AE" w:rsidRDefault="007C0F10">
      <w:pPr>
        <w:pStyle w:val="Textoindependiente"/>
        <w:ind w:left="37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96691" cy="9921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1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1AE" w:rsidRDefault="000761AE">
      <w:pPr>
        <w:pStyle w:val="Textoindependiente"/>
        <w:rPr>
          <w:rFonts w:ascii="Times New Roman"/>
          <w:sz w:val="20"/>
        </w:rPr>
      </w:pPr>
    </w:p>
    <w:p w:rsidR="000761AE" w:rsidRDefault="000761AE">
      <w:pPr>
        <w:pStyle w:val="Textoindependiente"/>
        <w:rPr>
          <w:rFonts w:ascii="Times New Roman"/>
          <w:sz w:val="21"/>
        </w:rPr>
      </w:pPr>
    </w:p>
    <w:p w:rsidR="000761AE" w:rsidRDefault="007C0F10">
      <w:pPr>
        <w:pStyle w:val="Textoindependiente"/>
        <w:spacing w:before="100" w:line="360" w:lineRule="auto"/>
        <w:ind w:left="100" w:right="110"/>
        <w:jc w:val="both"/>
        <w:rPr>
          <w:b/>
        </w:rPr>
      </w:pPr>
      <w:r>
        <w:rPr>
          <w:b/>
        </w:rPr>
        <w:t>PROYECTO DE LEY QUE MODIFICA LA LEY Nº 19.477, QUE APRUEBA LEY ORGÁNICA DEL SERVICIO DE REGISTRO CIVIL E IDENTIFICACIÓN, PARA ESTABLECER LA OBLIGACIÓN DE INCORPORAR</w:t>
      </w:r>
      <w:r>
        <w:rPr>
          <w:b/>
          <w:spacing w:val="-12"/>
        </w:rPr>
        <w:t xml:space="preserve"> 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</w:rPr>
        <w:t>GRUPO</w:t>
      </w:r>
      <w:r>
        <w:rPr>
          <w:b/>
          <w:spacing w:val="-12"/>
        </w:rPr>
        <w:t xml:space="preserve"> </w:t>
      </w:r>
      <w:r>
        <w:rPr>
          <w:b/>
        </w:rPr>
        <w:t>SANGUÍNEO</w:t>
      </w:r>
      <w:r>
        <w:rPr>
          <w:b/>
          <w:spacing w:val="-12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CÉDULA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IDENTIDAD</w:t>
      </w:r>
      <w:r>
        <w:rPr>
          <w:b/>
          <w:spacing w:val="-3"/>
        </w:rPr>
        <w:t xml:space="preserve"> </w:t>
      </w:r>
      <w:r>
        <w:rPr>
          <w:b/>
        </w:rPr>
        <w:t>Y EN EL CERTIFICADO DE NACIMIENTO.</w:t>
      </w:r>
    </w:p>
    <w:p w:rsidR="000761AE" w:rsidRDefault="000761AE">
      <w:pPr>
        <w:pStyle w:val="Textoindependiente"/>
        <w:spacing w:before="4"/>
        <w:rPr>
          <w:b/>
          <w:sz w:val="34"/>
        </w:rPr>
      </w:pPr>
    </w:p>
    <w:p w:rsidR="000761AE" w:rsidRDefault="007C0F10">
      <w:pPr>
        <w:pStyle w:val="Ttulo1"/>
        <w:numPr>
          <w:ilvl w:val="0"/>
          <w:numId w:val="1"/>
        </w:numPr>
        <w:tabs>
          <w:tab w:val="left" w:pos="3661"/>
        </w:tabs>
        <w:ind w:hanging="254"/>
        <w:jc w:val="left"/>
        <w:rPr>
          <w:b/>
        </w:rPr>
      </w:pPr>
      <w:r>
        <w:rPr>
          <w:b/>
          <w:spacing w:val="-2"/>
        </w:rPr>
        <w:t>FUNDAMENTO</w:t>
      </w:r>
      <w:r>
        <w:rPr>
          <w:b/>
          <w:spacing w:val="-2"/>
        </w:rPr>
        <w:t>S</w:t>
      </w:r>
    </w:p>
    <w:p w:rsidR="000761AE" w:rsidRDefault="000761AE">
      <w:pPr>
        <w:pStyle w:val="Textoindependiente"/>
        <w:rPr>
          <w:b/>
          <w:sz w:val="28"/>
        </w:rPr>
      </w:pPr>
    </w:p>
    <w:p w:rsidR="000761AE" w:rsidRDefault="007C0F10">
      <w:pPr>
        <w:spacing w:before="210" w:line="340" w:lineRule="auto"/>
        <w:ind w:left="100" w:right="113"/>
        <w:jc w:val="both"/>
        <w:rPr>
          <w:i/>
          <w:sz w:val="24"/>
        </w:rPr>
      </w:pPr>
      <w:r>
        <w:rPr>
          <w:sz w:val="24"/>
        </w:rPr>
        <w:t>La Real Academia de la Lengua Española define “grupo sanguíneo” como “</w:t>
      </w:r>
      <w:r>
        <w:rPr>
          <w:i/>
          <w:sz w:val="24"/>
        </w:rPr>
        <w:t>cada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conjuntos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factores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caracterizan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diferentes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grupos 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hemoaglutinación,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 deben tenerse 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cuenta antes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 proceder 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 transfusiones de sangre”</w:t>
      </w:r>
      <w:r>
        <w:rPr>
          <w:i/>
          <w:position w:val="6"/>
          <w:sz w:val="16"/>
        </w:rPr>
        <w:t>1</w:t>
      </w:r>
      <w:r>
        <w:rPr>
          <w:i/>
          <w:sz w:val="24"/>
        </w:rPr>
        <w:t>.</w:t>
      </w:r>
    </w:p>
    <w:p w:rsidR="000761AE" w:rsidRDefault="000761AE">
      <w:pPr>
        <w:pStyle w:val="Textoindependiente"/>
        <w:spacing w:before="11"/>
        <w:rPr>
          <w:i/>
          <w:sz w:val="34"/>
        </w:rPr>
      </w:pPr>
    </w:p>
    <w:p w:rsidR="000761AE" w:rsidRDefault="007C0F10">
      <w:pPr>
        <w:pStyle w:val="Textoindependiente"/>
        <w:spacing w:line="345" w:lineRule="auto"/>
        <w:ind w:left="100" w:right="119"/>
        <w:jc w:val="both"/>
      </w:pPr>
      <w:r>
        <w:t>El concepto señalado, pone de manifiesto uno de los aspectos más relevantes sobre el conocimiento del grupo sanguíneo, relacionado directamente con las transfusiones y donaciones de sangre en casos de emergencia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accidentes</w:t>
      </w:r>
      <w:r>
        <w:t>.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esa</w:t>
      </w:r>
      <w:r>
        <w:rPr>
          <w:spacing w:val="-19"/>
        </w:rPr>
        <w:t xml:space="preserve"> </w:t>
      </w:r>
      <w:r>
        <w:t>línea,</w:t>
      </w:r>
      <w:r>
        <w:rPr>
          <w:spacing w:val="-20"/>
        </w:rPr>
        <w:t xml:space="preserve"> </w:t>
      </w:r>
      <w:r>
        <w:t>cabe</w:t>
      </w:r>
      <w:r>
        <w:rPr>
          <w:spacing w:val="-19"/>
        </w:rPr>
        <w:t xml:space="preserve"> </w:t>
      </w:r>
      <w:r>
        <w:t>destacar</w:t>
      </w:r>
      <w:r>
        <w:rPr>
          <w:spacing w:val="-19"/>
        </w:rPr>
        <w:t xml:space="preserve"> </w:t>
      </w:r>
      <w:r>
        <w:t>que,</w:t>
      </w:r>
      <w:r>
        <w:rPr>
          <w:spacing w:val="-19"/>
        </w:rPr>
        <w:t xml:space="preserve"> </w:t>
      </w:r>
      <w:r>
        <w:t>según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Comisión Nacional</w:t>
      </w:r>
      <w:r>
        <w:rPr>
          <w:spacing w:val="-3"/>
        </w:rPr>
        <w:t xml:space="preserve"> </w:t>
      </w:r>
      <w:r>
        <w:t>de Seguridad</w:t>
      </w:r>
      <w:r>
        <w:rPr>
          <w:spacing w:val="-1"/>
        </w:rPr>
        <w:t xml:space="preserve"> </w:t>
      </w:r>
      <w:r>
        <w:t>de Tránsito,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registraron en Chile más de 86 mil accidentes de tránsito, donde casi 2 mil personas perdieron la vida</w:t>
      </w:r>
      <w:r>
        <w:rPr>
          <w:position w:val="6"/>
          <w:sz w:val="16"/>
        </w:rPr>
        <w:t>2</w:t>
      </w:r>
      <w:r>
        <w:t xml:space="preserve">. De esta forma, atendida la gran cantidad de </w:t>
      </w:r>
      <w:r>
        <w:t>siniestros en este ámbito</w:t>
      </w:r>
      <w:r>
        <w:rPr>
          <w:spacing w:val="-8"/>
        </w:rPr>
        <w:t xml:space="preserve"> </w:t>
      </w:r>
      <w:r>
        <w:t>ocurridos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nuestro</w:t>
      </w:r>
      <w:r>
        <w:rPr>
          <w:spacing w:val="-9"/>
        </w:rPr>
        <w:t xml:space="preserve"> </w:t>
      </w:r>
      <w:r>
        <w:t>país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año,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fácil</w:t>
      </w:r>
      <w:r>
        <w:rPr>
          <w:spacing w:val="-11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sangre 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pacientes</w:t>
      </w:r>
      <w:r>
        <w:rPr>
          <w:spacing w:val="-9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marcar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diferencia</w:t>
      </w:r>
      <w:r>
        <w:rPr>
          <w:spacing w:val="-4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muerte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 persona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</w:t>
      </w:r>
      <w:r>
        <w:rPr>
          <w:spacing w:val="5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transfusión</w:t>
      </w:r>
      <w:r>
        <w:rPr>
          <w:spacing w:val="4"/>
        </w:rPr>
        <w:t xml:space="preserve"> </w:t>
      </w:r>
      <w:r>
        <w:t>urgente,</w:t>
      </w:r>
      <w:r>
        <w:rPr>
          <w:spacing w:val="-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 no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2"/>
        </w:rPr>
        <w:t>tipos</w:t>
      </w:r>
    </w:p>
    <w:p w:rsidR="000761AE" w:rsidRDefault="007C0F10">
      <w:pPr>
        <w:pStyle w:val="Textoindependien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121227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B322E" id="Graphic 2" o:spid="_x0000_s1026" style="position:absolute;margin-left:85pt;margin-top:9.5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61AE" w:rsidRDefault="007C0F10">
      <w:pPr>
        <w:spacing w:before="104" w:line="230" w:lineRule="auto"/>
        <w:ind w:left="100" w:right="126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 xml:space="preserve">Real Academia de la Lengua Española, definición de grupo sanguíneo, disponible en: </w:t>
      </w:r>
      <w:hyperlink r:id="rId6">
        <w:r>
          <w:rPr>
            <w:color w:val="0462C1"/>
            <w:sz w:val="20"/>
            <w:u w:val="single" w:color="0462C1"/>
          </w:rPr>
          <w:t>https://dle.rae.es/grupo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[última vez visto el 19 de junio de 2023].</w:t>
      </w:r>
    </w:p>
    <w:p w:rsidR="000761AE" w:rsidRDefault="007C0F10">
      <w:pPr>
        <w:spacing w:line="230" w:lineRule="auto"/>
        <w:ind w:left="100" w:right="112"/>
        <w:jc w:val="both"/>
        <w:rPr>
          <w:sz w:val="20"/>
        </w:rPr>
      </w:pPr>
      <w:r>
        <w:rPr>
          <w:position w:val="5"/>
          <w:sz w:val="13"/>
        </w:rPr>
        <w:t>2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Estadísticas de la Comisión Nacional de Seguridad de Tránsi</w:t>
      </w:r>
      <w:r>
        <w:rPr>
          <w:sz w:val="20"/>
        </w:rPr>
        <w:t xml:space="preserve">to. Disponible en: </w:t>
      </w:r>
      <w:hyperlink r:id="rId7">
        <w:r>
          <w:rPr>
            <w:color w:val="0462C1"/>
            <w:sz w:val="20"/>
            <w:u w:val="single" w:color="0462C1"/>
          </w:rPr>
          <w:t>https://www.conaset.cl/programa/observatorio-datos-estadistica/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[última vez visto el 20 de junio de 2023].</w:t>
      </w:r>
    </w:p>
    <w:p w:rsidR="000761AE" w:rsidRDefault="000761AE">
      <w:pPr>
        <w:spacing w:line="230" w:lineRule="auto"/>
        <w:jc w:val="both"/>
        <w:rPr>
          <w:sz w:val="20"/>
        </w:rPr>
        <w:sectPr w:rsidR="000761AE">
          <w:type w:val="continuous"/>
          <w:pgSz w:w="12240" w:h="15840"/>
          <w:pgMar w:top="1460" w:right="1580" w:bottom="280" w:left="1600" w:header="720" w:footer="720" w:gutter="0"/>
          <w:cols w:space="720"/>
        </w:sectPr>
      </w:pPr>
    </w:p>
    <w:p w:rsidR="000761AE" w:rsidRDefault="007C0F10">
      <w:pPr>
        <w:pStyle w:val="Textoindependiente"/>
        <w:spacing w:before="64" w:line="345" w:lineRule="auto"/>
        <w:ind w:left="100" w:right="114"/>
        <w:jc w:val="both"/>
      </w:pPr>
      <w:r>
        <w:lastRenderedPageBreak/>
        <w:t>de sangre son compatibles entre sí. Así, una transfusión sanguínea incompatible</w:t>
      </w:r>
      <w:r>
        <w:rPr>
          <w:spacing w:val="-20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tipo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sangre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paciente</w:t>
      </w:r>
      <w:r>
        <w:rPr>
          <w:spacing w:val="-19"/>
        </w:rPr>
        <w:t xml:space="preserve"> </w:t>
      </w:r>
      <w:r>
        <w:t>puede</w:t>
      </w:r>
      <w:r>
        <w:rPr>
          <w:spacing w:val="-19"/>
        </w:rPr>
        <w:t xml:space="preserve"> </w:t>
      </w:r>
      <w:r>
        <w:t>causar</w:t>
      </w:r>
      <w:r>
        <w:rPr>
          <w:spacing w:val="-19"/>
        </w:rPr>
        <w:t xml:space="preserve"> </w:t>
      </w:r>
      <w:r>
        <w:t>complicaciones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 inmunológico</w:t>
      </w:r>
      <w:r>
        <w:rPr>
          <w:spacing w:val="-4"/>
        </w:rPr>
        <w:t xml:space="preserve"> </w:t>
      </w:r>
      <w:r>
        <w:t>que van</w:t>
      </w:r>
      <w:r>
        <w:rPr>
          <w:spacing w:val="-3"/>
        </w:rPr>
        <w:t xml:space="preserve"> </w:t>
      </w:r>
      <w:r>
        <w:t>desde una</w:t>
      </w:r>
      <w:r>
        <w:rPr>
          <w:spacing w:val="-4"/>
        </w:rPr>
        <w:t xml:space="preserve"> </w:t>
      </w:r>
      <w:r>
        <w:t>anemia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la muerte por falta de flujo sanguíneo.</w:t>
      </w:r>
    </w:p>
    <w:p w:rsidR="000761AE" w:rsidRDefault="000761AE">
      <w:pPr>
        <w:pStyle w:val="Textoindependiente"/>
        <w:spacing w:before="3"/>
        <w:rPr>
          <w:sz w:val="34"/>
        </w:rPr>
      </w:pPr>
    </w:p>
    <w:p w:rsidR="000761AE" w:rsidRDefault="007C0F10">
      <w:pPr>
        <w:pStyle w:val="Textoindependiente"/>
        <w:spacing w:before="1" w:line="345" w:lineRule="auto"/>
        <w:ind w:left="100" w:right="118"/>
        <w:jc w:val="both"/>
      </w:pPr>
      <w:r>
        <w:t>A lo anterior,</w:t>
      </w:r>
      <w:r>
        <w:t xml:space="preserve"> se agrega que algunos tipos de sangre son más propensos a sufrir</w:t>
      </w:r>
      <w:r>
        <w:rPr>
          <w:spacing w:val="-1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consecuencias</w:t>
      </w:r>
      <w:r>
        <w:rPr>
          <w:spacing w:val="-15"/>
        </w:rPr>
        <w:t xml:space="preserve"> </w:t>
      </w:r>
      <w:r>
        <w:t>negativas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ciertas</w:t>
      </w:r>
      <w:r>
        <w:rPr>
          <w:spacing w:val="-15"/>
        </w:rPr>
        <w:t xml:space="preserve"> </w:t>
      </w:r>
      <w:r>
        <w:t>enfermedades,</w:t>
      </w:r>
      <w:r>
        <w:rPr>
          <w:spacing w:val="-17"/>
        </w:rPr>
        <w:t xml:space="preserve"> </w:t>
      </w:r>
      <w:r>
        <w:t>tal</w:t>
      </w:r>
      <w:r>
        <w:rPr>
          <w:spacing w:val="-17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sucedió con el coronavirus. En efecto, durante la pandemia, estudios concluyeron que</w:t>
      </w:r>
      <w:r>
        <w:rPr>
          <w:spacing w:val="-18"/>
        </w:rPr>
        <w:t xml:space="preserve"> </w:t>
      </w:r>
      <w:r>
        <w:t>pacientes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sangre</w:t>
      </w:r>
      <w:r>
        <w:rPr>
          <w:spacing w:val="-13"/>
        </w:rPr>
        <w:t xml:space="preserve"> </w:t>
      </w:r>
      <w:r>
        <w:t>tipo</w:t>
      </w:r>
      <w:r>
        <w:rPr>
          <w:spacing w:val="-1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eran</w:t>
      </w:r>
      <w:r>
        <w:rPr>
          <w:spacing w:val="-17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vulnerables</w:t>
      </w:r>
      <w:r>
        <w:rPr>
          <w:spacing w:val="-1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efectos</w:t>
      </w:r>
      <w:r>
        <w:rPr>
          <w:spacing w:val="-18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virus, mientras que los pacientes con sangre tipo O tenían un riesgo significativamente menor de contrae</w:t>
      </w:r>
      <w:r>
        <w:t>r enfermedades infecciosas</w:t>
      </w:r>
      <w:r>
        <w:rPr>
          <w:position w:val="6"/>
          <w:sz w:val="16"/>
        </w:rPr>
        <w:t>3</w:t>
      </w:r>
      <w:r>
        <w:t>.</w:t>
      </w:r>
    </w:p>
    <w:p w:rsidR="000761AE" w:rsidRDefault="000761AE">
      <w:pPr>
        <w:pStyle w:val="Textoindependiente"/>
        <w:spacing w:before="2"/>
        <w:rPr>
          <w:sz w:val="34"/>
        </w:rPr>
      </w:pPr>
    </w:p>
    <w:p w:rsidR="000761AE" w:rsidRDefault="007C0F10">
      <w:pPr>
        <w:pStyle w:val="Textoindependiente"/>
        <w:spacing w:line="345" w:lineRule="auto"/>
        <w:ind w:left="100" w:right="117"/>
        <w:jc w:val="both"/>
      </w:pPr>
      <w:r>
        <w:t>A</w:t>
      </w:r>
      <w:r>
        <w:rPr>
          <w:spacing w:val="-2"/>
        </w:rPr>
        <w:t xml:space="preserve"> </w:t>
      </w:r>
      <w:r>
        <w:t>pesar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reviste</w:t>
      </w:r>
      <w:r>
        <w:rPr>
          <w:spacing w:val="-3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sanguíneo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 pertenece, hoy existe un alto nivel</w:t>
      </w:r>
      <w:r>
        <w:rPr>
          <w:spacing w:val="-2"/>
        </w:rPr>
        <w:t xml:space="preserve"> </w:t>
      </w:r>
      <w:r>
        <w:t xml:space="preserve">de ignorancia en la población respecto a ello. De esa manera, incorporar ese dato en documentos de identificación </w:t>
      </w:r>
      <w:r>
        <w:t>personal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gran avance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nuestra sociedad,</w:t>
      </w:r>
      <w:r>
        <w:rPr>
          <w:spacing w:val="-3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en materia de salud. Sin duda alguna, aquello será un aporte considerable para el personal</w:t>
      </w:r>
      <w:r>
        <w:rPr>
          <w:spacing w:val="-2"/>
        </w:rPr>
        <w:t xml:space="preserve"> </w:t>
      </w:r>
      <w:r>
        <w:t>médico cuando se requiera practicar</w:t>
      </w:r>
      <w:r>
        <w:rPr>
          <w:spacing w:val="-1"/>
        </w:rPr>
        <w:t xml:space="preserve"> </w:t>
      </w:r>
      <w:r>
        <w:t>transfusiones sanguíneas de emergencia, ya que se evitarán trámites dilatorios para acceder a dicha información, como la realización de exámenes de sangre.</w:t>
      </w:r>
    </w:p>
    <w:p w:rsidR="000761AE" w:rsidRDefault="000761AE">
      <w:pPr>
        <w:pStyle w:val="Textoindependiente"/>
        <w:spacing w:before="2"/>
        <w:rPr>
          <w:sz w:val="34"/>
        </w:rPr>
      </w:pPr>
    </w:p>
    <w:p w:rsidR="000761AE" w:rsidRDefault="007C0F10">
      <w:pPr>
        <w:spacing w:line="345" w:lineRule="auto"/>
        <w:ind w:left="100" w:right="111"/>
        <w:jc w:val="both"/>
        <w:rPr>
          <w:i/>
          <w:sz w:val="24"/>
        </w:rPr>
      </w:pPr>
      <w:r>
        <w:rPr>
          <w:sz w:val="24"/>
        </w:rPr>
        <w:t>Por los motivos antes señalados, las legislaciones comparadas han incorporado el grupo sanguíneo en</w:t>
      </w:r>
      <w:r>
        <w:rPr>
          <w:sz w:val="24"/>
        </w:rPr>
        <w:t xml:space="preserve"> los documentos de identidad nacional. Tal es el caso de Panamá, donde la Ley Nº18, del 2 de junio de 2005, que adopta el servicio de verificación de identidad y dicta medidas para la inclusión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tipo</w:t>
      </w:r>
      <w:r>
        <w:rPr>
          <w:spacing w:val="-19"/>
          <w:sz w:val="24"/>
        </w:rPr>
        <w:t xml:space="preserve"> </w:t>
      </w:r>
      <w:r>
        <w:rPr>
          <w:sz w:val="24"/>
        </w:rPr>
        <w:t>sanguíneo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cédula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identidad,</w:t>
      </w:r>
      <w:r>
        <w:rPr>
          <w:spacing w:val="-20"/>
          <w:sz w:val="24"/>
        </w:rPr>
        <w:t xml:space="preserve"> </w:t>
      </w:r>
      <w:r>
        <w:rPr>
          <w:sz w:val="24"/>
        </w:rPr>
        <w:t>señala,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su</w:t>
      </w:r>
      <w:r>
        <w:rPr>
          <w:spacing w:val="-16"/>
          <w:sz w:val="24"/>
        </w:rPr>
        <w:t xml:space="preserve"> </w:t>
      </w:r>
      <w:r>
        <w:rPr>
          <w:sz w:val="24"/>
        </w:rPr>
        <w:t>ar</w:t>
      </w:r>
      <w:r>
        <w:rPr>
          <w:sz w:val="24"/>
        </w:rPr>
        <w:t>tículo 4º, que “</w:t>
      </w:r>
      <w:r>
        <w:rPr>
          <w:i/>
          <w:sz w:val="24"/>
        </w:rPr>
        <w:t>los solicitantes de la cédula de identidad personal aportarán al Registro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certificación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tipo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sanguíneo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expedido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laboratorio</w:t>
      </w:r>
    </w:p>
    <w:p w:rsidR="000761AE" w:rsidRDefault="007C0F10">
      <w:pPr>
        <w:pStyle w:val="Textoindependiente"/>
        <w:spacing w:before="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217542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4EB89" id="Graphic 3" o:spid="_x0000_s1026" style="position:absolute;margin-left:85pt;margin-top:17.15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61AE" w:rsidRDefault="007C0F10">
      <w:pPr>
        <w:spacing w:before="100"/>
        <w:ind w:left="100" w:right="117"/>
        <w:jc w:val="both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3</w:t>
      </w:r>
      <w:r>
        <w:rPr>
          <w:rFonts w:ascii="Calibri" w:hAnsi="Calibri"/>
          <w:spacing w:val="40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 xml:space="preserve">Agenda País, “Personas con sangre tipo A pueden ser más vulnerables a coronavirus según estudio”, El Mostrador, 18 de marzo de 2020. Disponible en: </w:t>
      </w:r>
      <w:hyperlink r:id="rId8">
        <w:r>
          <w:rPr>
            <w:rFonts w:ascii="Calibri" w:hAnsi="Calibri"/>
            <w:color w:val="0462C1"/>
            <w:sz w:val="20"/>
            <w:u w:val="single" w:color="0462C1"/>
          </w:rPr>
          <w:t>https://www.elmostrador.cl/agenda-</w:t>
        </w:r>
      </w:hyperlink>
      <w:r>
        <w:rPr>
          <w:rFonts w:ascii="Calibri" w:hAnsi="Calibri"/>
          <w:color w:val="0462C1"/>
          <w:sz w:val="20"/>
        </w:rPr>
        <w:t xml:space="preserve"> </w:t>
      </w:r>
      <w:hyperlink r:id="rId9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pais/2020/03/18/personas-</w:t>
        </w:r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con-sangre-tipo-a-pueden-ser-mas-vulnerables-a-coronavirus-segun-estudio/</w:t>
        </w:r>
      </w:hyperlink>
    </w:p>
    <w:p w:rsidR="000761AE" w:rsidRDefault="007C0F10">
      <w:pPr>
        <w:spacing w:before="2"/>
        <w:ind w:left="1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[última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visto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19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junio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2023].</w:t>
      </w:r>
    </w:p>
    <w:p w:rsidR="000761AE" w:rsidRDefault="000761AE">
      <w:pPr>
        <w:jc w:val="both"/>
        <w:rPr>
          <w:rFonts w:ascii="Calibri" w:hAnsi="Calibri"/>
          <w:sz w:val="20"/>
        </w:rPr>
        <w:sectPr w:rsidR="000761AE">
          <w:pgSz w:w="12240" w:h="15840"/>
          <w:pgMar w:top="1340" w:right="1580" w:bottom="280" w:left="1600" w:header="720" w:footer="720" w:gutter="0"/>
          <w:cols w:space="720"/>
        </w:sectPr>
      </w:pPr>
    </w:p>
    <w:p w:rsidR="000761AE" w:rsidRDefault="007C0F10">
      <w:pPr>
        <w:spacing w:before="64" w:line="343" w:lineRule="auto"/>
        <w:ind w:left="100" w:right="119"/>
        <w:jc w:val="both"/>
        <w:rPr>
          <w:sz w:val="24"/>
        </w:rPr>
      </w:pPr>
      <w:r>
        <w:rPr>
          <w:i/>
          <w:sz w:val="24"/>
        </w:rPr>
        <w:lastRenderedPageBreak/>
        <w:t>particular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público.</w:t>
      </w:r>
      <w:r>
        <w:rPr>
          <w:sz w:val="24"/>
        </w:rPr>
        <w:t>”.</w:t>
      </w:r>
      <w:r>
        <w:rPr>
          <w:spacing w:val="-15"/>
          <w:sz w:val="24"/>
        </w:rPr>
        <w:t xml:space="preserve"> </w:t>
      </w:r>
      <w:r>
        <w:rPr>
          <w:sz w:val="24"/>
        </w:rPr>
        <w:t>Además,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mismo</w:t>
      </w:r>
      <w:r>
        <w:rPr>
          <w:spacing w:val="-13"/>
          <w:sz w:val="24"/>
        </w:rPr>
        <w:t xml:space="preserve"> </w:t>
      </w:r>
      <w:r>
        <w:rPr>
          <w:sz w:val="24"/>
        </w:rPr>
        <w:t>cuerpo</w:t>
      </w:r>
      <w:r>
        <w:rPr>
          <w:spacing w:val="-12"/>
          <w:sz w:val="24"/>
        </w:rPr>
        <w:t xml:space="preserve"> </w:t>
      </w:r>
      <w:r>
        <w:rPr>
          <w:sz w:val="24"/>
        </w:rPr>
        <w:t>legal</w:t>
      </w:r>
      <w:r>
        <w:rPr>
          <w:spacing w:val="-11"/>
          <w:sz w:val="24"/>
        </w:rPr>
        <w:t xml:space="preserve"> </w:t>
      </w:r>
      <w:r>
        <w:rPr>
          <w:sz w:val="24"/>
        </w:rPr>
        <w:t>dispone,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artículo 6º, que “</w:t>
      </w:r>
      <w:r>
        <w:rPr>
          <w:i/>
          <w:sz w:val="24"/>
        </w:rPr>
        <w:t>A partir de la entrada en vigencia de la presente Ley, el tipo sanguíneo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nacidos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territorio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instituciones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salud públicas o particulares, será incorporado al acta de nacimiento</w:t>
      </w:r>
      <w:r>
        <w:rPr>
          <w:sz w:val="24"/>
        </w:rPr>
        <w:t>.”</w:t>
      </w:r>
      <w:r>
        <w:rPr>
          <w:position w:val="6"/>
          <w:sz w:val="16"/>
        </w:rPr>
        <w:t>4</w:t>
      </w:r>
      <w:r>
        <w:rPr>
          <w:sz w:val="24"/>
        </w:rPr>
        <w:t>.</w:t>
      </w:r>
    </w:p>
    <w:p w:rsidR="000761AE" w:rsidRDefault="000761AE">
      <w:pPr>
        <w:pStyle w:val="Textoindependiente"/>
        <w:spacing w:before="9"/>
        <w:rPr>
          <w:sz w:val="34"/>
        </w:rPr>
      </w:pPr>
    </w:p>
    <w:p w:rsidR="000761AE" w:rsidRDefault="007C0F10">
      <w:pPr>
        <w:spacing w:line="345" w:lineRule="auto"/>
        <w:ind w:left="100" w:right="121"/>
        <w:jc w:val="both"/>
        <w:rPr>
          <w:sz w:val="24"/>
        </w:rPr>
      </w:pPr>
      <w:r>
        <w:rPr>
          <w:sz w:val="24"/>
        </w:rPr>
        <w:t>En esa misma línea, en Paraguay, la Ley Nº4086,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 dispone se inserte el grupo sanguíneo y la condición de donante voluntario de órganos y tejidos </w:t>
      </w:r>
      <w:r>
        <w:rPr>
          <w:spacing w:val="-2"/>
          <w:sz w:val="24"/>
        </w:rPr>
        <w:t>y/o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simbología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holograma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distintivo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donante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órganos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tejidos </w:t>
      </w:r>
      <w:r>
        <w:rPr>
          <w:sz w:val="24"/>
        </w:rPr>
        <w:t>en la cédula de identidad civil, establece, en su artículo 1º, que se debe “</w:t>
      </w:r>
      <w:r>
        <w:rPr>
          <w:i/>
          <w:sz w:val="24"/>
        </w:rPr>
        <w:t>in</w:t>
      </w:r>
      <w:r>
        <w:rPr>
          <w:i/>
          <w:sz w:val="24"/>
        </w:rPr>
        <w:t>sertar en la Cédula de Identidad Civil, expedida por el Departamento de Identificaciones dependiente de la Policía Nacional, el Grupo Sanguíneo al cual pertenece el titular de la misma</w:t>
      </w:r>
      <w:r>
        <w:rPr>
          <w:sz w:val="24"/>
        </w:rPr>
        <w:t>.”</w:t>
      </w:r>
      <w:r>
        <w:rPr>
          <w:position w:val="6"/>
          <w:sz w:val="16"/>
        </w:rPr>
        <w:t>5</w:t>
      </w:r>
      <w:r>
        <w:rPr>
          <w:sz w:val="24"/>
        </w:rPr>
        <w:t>.</w:t>
      </w:r>
    </w:p>
    <w:p w:rsidR="000761AE" w:rsidRDefault="000761AE">
      <w:pPr>
        <w:pStyle w:val="Textoindependiente"/>
        <w:spacing w:before="8"/>
        <w:rPr>
          <w:sz w:val="33"/>
        </w:rPr>
      </w:pPr>
    </w:p>
    <w:p w:rsidR="000761AE" w:rsidRDefault="007C0F10">
      <w:pPr>
        <w:pStyle w:val="Textoindependiente"/>
        <w:spacing w:before="1" w:line="345" w:lineRule="auto"/>
        <w:ind w:left="100" w:right="118"/>
        <w:jc w:val="both"/>
        <w:rPr>
          <w:sz w:val="16"/>
        </w:rPr>
      </w:pPr>
      <w:r>
        <w:t>Finalmente,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Perú,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Nº26497,</w:t>
      </w:r>
      <w:r>
        <w:rPr>
          <w:spacing w:val="-11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Orgánica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 Identificación y Estado Civil, prescribe, en su artículo 32 letra n), que el documento de identidad nacional debe contener “</w:t>
      </w:r>
      <w:r>
        <w:rPr>
          <w:i/>
        </w:rPr>
        <w:t xml:space="preserve">El grupo y factor </w:t>
      </w:r>
      <w:r>
        <w:rPr>
          <w:i/>
          <w:spacing w:val="-2"/>
        </w:rPr>
        <w:t>sanguíneo</w:t>
      </w:r>
      <w:r>
        <w:rPr>
          <w:spacing w:val="-2"/>
        </w:rPr>
        <w:t>.”</w:t>
      </w:r>
      <w:r>
        <w:rPr>
          <w:spacing w:val="-2"/>
          <w:position w:val="6"/>
          <w:sz w:val="16"/>
        </w:rPr>
        <w:t>6</w:t>
      </w:r>
    </w:p>
    <w:p w:rsidR="000761AE" w:rsidRDefault="000761AE">
      <w:pPr>
        <w:pStyle w:val="Textoindependiente"/>
        <w:spacing w:before="3"/>
        <w:rPr>
          <w:sz w:val="34"/>
        </w:rPr>
      </w:pPr>
    </w:p>
    <w:p w:rsidR="000761AE" w:rsidRDefault="007C0F10">
      <w:pPr>
        <w:pStyle w:val="Textoindependiente"/>
        <w:spacing w:line="345" w:lineRule="auto"/>
        <w:ind w:left="100" w:right="116"/>
        <w:jc w:val="both"/>
      </w:pPr>
      <w:r>
        <w:t>Ahora bien, en el ordenamiento jurídico chileno aún no se ha dictado una ley qu</w:t>
      </w:r>
      <w:r>
        <w:t>e establezca la obligación de incorporar la información relativa al grupo sanguíneo en documentos o certificados de identidad del titular, encontrándonos</w:t>
      </w:r>
      <w:r>
        <w:rPr>
          <w:spacing w:val="-22"/>
        </w:rPr>
        <w:t xml:space="preserve"> </w:t>
      </w:r>
      <w:r>
        <w:t>desactualizados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comparación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legislación</w:t>
      </w:r>
      <w:r>
        <w:rPr>
          <w:spacing w:val="-18"/>
        </w:rPr>
        <w:t xml:space="preserve"> </w:t>
      </w:r>
      <w:r>
        <w:rPr>
          <w:spacing w:val="-2"/>
        </w:rPr>
        <w:t>extranjera.</w:t>
      </w:r>
    </w:p>
    <w:p w:rsidR="000761AE" w:rsidRDefault="000761AE">
      <w:pPr>
        <w:pStyle w:val="Textoindependiente"/>
        <w:rPr>
          <w:sz w:val="20"/>
        </w:rPr>
      </w:pPr>
    </w:p>
    <w:p w:rsidR="000761AE" w:rsidRDefault="000761AE">
      <w:pPr>
        <w:pStyle w:val="Textoindependiente"/>
        <w:rPr>
          <w:sz w:val="20"/>
        </w:rPr>
      </w:pPr>
    </w:p>
    <w:p w:rsidR="000761AE" w:rsidRDefault="007C0F10">
      <w:pPr>
        <w:pStyle w:val="Textoindependiente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222316</wp:posOffset>
                </wp:positionV>
                <wp:extent cx="1830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9816" y="6350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56065" id="Graphic 4" o:spid="_x0000_s1026" style="position:absolute;margin-left:85pt;margin-top:17.5pt;width:14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" path="m1829816,l,,,6350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61AE" w:rsidRDefault="007C0F10">
      <w:pPr>
        <w:spacing w:before="107" w:line="232" w:lineRule="auto"/>
        <w:ind w:left="100" w:right="113"/>
        <w:jc w:val="both"/>
        <w:rPr>
          <w:sz w:val="20"/>
        </w:rPr>
      </w:pPr>
      <w:r>
        <w:rPr>
          <w:rFonts w:ascii="Calibri" w:hAnsi="Calibri"/>
          <w:position w:val="6"/>
          <w:sz w:val="13"/>
        </w:rPr>
        <w:t>4</w:t>
      </w:r>
      <w:r>
        <w:rPr>
          <w:rFonts w:ascii="Calibri" w:hAnsi="Calibri"/>
          <w:spacing w:val="9"/>
          <w:position w:val="6"/>
          <w:sz w:val="13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11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junio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2005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adopta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servicio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identidad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dicta medidas</w:t>
      </w:r>
      <w:r>
        <w:rPr>
          <w:spacing w:val="-16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inclusión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tipo</w:t>
      </w:r>
      <w:r>
        <w:rPr>
          <w:spacing w:val="-14"/>
          <w:sz w:val="20"/>
        </w:rPr>
        <w:t xml:space="preserve"> </w:t>
      </w:r>
      <w:r>
        <w:rPr>
          <w:sz w:val="20"/>
        </w:rPr>
        <w:t>sanguíneo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cédula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identidad.</w:t>
      </w:r>
      <w:r>
        <w:rPr>
          <w:spacing w:val="-16"/>
          <w:sz w:val="20"/>
        </w:rPr>
        <w:t xml:space="preserve"> </w:t>
      </w:r>
      <w:r>
        <w:rPr>
          <w:sz w:val="20"/>
        </w:rPr>
        <w:t>Panamá.</w:t>
      </w:r>
      <w:r>
        <w:rPr>
          <w:spacing w:val="-12"/>
          <w:sz w:val="20"/>
        </w:rPr>
        <w:t xml:space="preserve"> </w:t>
      </w:r>
      <w:r>
        <w:rPr>
          <w:sz w:val="20"/>
        </w:rPr>
        <w:t>Disponible en:</w:t>
      </w:r>
      <w:r>
        <w:rPr>
          <w:spacing w:val="-7"/>
          <w:sz w:val="20"/>
        </w:rPr>
        <w:t xml:space="preserve"> </w:t>
      </w:r>
      <w:hyperlink r:id="rId10">
        <w:r>
          <w:rPr>
            <w:color w:val="0462C1"/>
            <w:sz w:val="20"/>
            <w:u w:val="single" w:color="0462C1"/>
          </w:rPr>
          <w:t>https://pana</w:t>
        </w:r>
        <w:r>
          <w:rPr>
            <w:color w:val="0462C1"/>
            <w:sz w:val="20"/>
            <w:u w:val="single" w:color="0462C1"/>
          </w:rPr>
          <w:t>ma.justia.com/federales/leyes/18-de-2005-jul-6-2005/gdoc/</w:t>
        </w:r>
      </w:hyperlink>
      <w:r>
        <w:rPr>
          <w:color w:val="0462C1"/>
          <w:spacing w:val="-7"/>
          <w:sz w:val="20"/>
        </w:rPr>
        <w:t xml:space="preserve"> </w:t>
      </w:r>
      <w:r>
        <w:rPr>
          <w:sz w:val="20"/>
        </w:rPr>
        <w:t>[última</w:t>
      </w:r>
      <w:r>
        <w:rPr>
          <w:spacing w:val="-9"/>
          <w:sz w:val="20"/>
        </w:rPr>
        <w:t xml:space="preserve"> </w:t>
      </w:r>
      <w:r>
        <w:rPr>
          <w:sz w:val="20"/>
        </w:rPr>
        <w:t>vez visto el 20 de junio de 2023].</w:t>
      </w:r>
    </w:p>
    <w:p w:rsidR="000761AE" w:rsidRDefault="007C0F10">
      <w:pPr>
        <w:tabs>
          <w:tab w:val="left" w:pos="1084"/>
          <w:tab w:val="left" w:pos="1409"/>
          <w:tab w:val="left" w:pos="2263"/>
          <w:tab w:val="left" w:pos="2712"/>
          <w:tab w:val="left" w:pos="3097"/>
          <w:tab w:val="left" w:pos="3956"/>
          <w:tab w:val="left" w:pos="4396"/>
          <w:tab w:val="left" w:pos="5530"/>
          <w:tab w:val="left" w:pos="6203"/>
          <w:tab w:val="left" w:pos="7392"/>
          <w:tab w:val="left" w:pos="8646"/>
        </w:tabs>
        <w:spacing w:before="1" w:line="230" w:lineRule="auto"/>
        <w:ind w:left="100" w:right="112"/>
        <w:rPr>
          <w:sz w:val="20"/>
        </w:rPr>
      </w:pPr>
      <w:r>
        <w:rPr>
          <w:position w:val="5"/>
          <w:sz w:val="13"/>
        </w:rPr>
        <w:t>5</w:t>
      </w:r>
      <w:r>
        <w:rPr>
          <w:spacing w:val="76"/>
          <w:position w:val="5"/>
          <w:sz w:val="13"/>
        </w:rPr>
        <w:t xml:space="preserve"> </w:t>
      </w:r>
      <w:r>
        <w:rPr>
          <w:sz w:val="20"/>
        </w:rPr>
        <w:t>Ley</w:t>
      </w:r>
      <w:r>
        <w:rPr>
          <w:spacing w:val="40"/>
          <w:sz w:val="20"/>
        </w:rPr>
        <w:t xml:space="preserve"> </w:t>
      </w:r>
      <w:r>
        <w:rPr>
          <w:sz w:val="20"/>
        </w:rPr>
        <w:t>Nº4086,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dispone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inserte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grupo</w:t>
      </w:r>
      <w:r>
        <w:rPr>
          <w:spacing w:val="40"/>
          <w:sz w:val="20"/>
        </w:rPr>
        <w:t xml:space="preserve"> </w:t>
      </w:r>
      <w:r>
        <w:rPr>
          <w:sz w:val="20"/>
        </w:rPr>
        <w:t>sanguíneo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condición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donante voluntario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órganos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tejidos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simbología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holograma</w:t>
      </w:r>
      <w:r>
        <w:rPr>
          <w:spacing w:val="-8"/>
          <w:sz w:val="20"/>
        </w:rPr>
        <w:t xml:space="preserve"> </w:t>
      </w:r>
      <w:r>
        <w:rPr>
          <w:sz w:val="20"/>
        </w:rPr>
        <w:t>distintivo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donante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órganos</w:t>
      </w:r>
      <w:r>
        <w:rPr>
          <w:sz w:val="20"/>
        </w:rPr>
        <w:tab/>
      </w:r>
      <w:r>
        <w:rPr>
          <w:spacing w:val="-10"/>
          <w:sz w:val="20"/>
        </w:rPr>
        <w:t>y</w:t>
      </w:r>
      <w:r>
        <w:rPr>
          <w:sz w:val="20"/>
        </w:rPr>
        <w:tab/>
      </w:r>
      <w:r>
        <w:rPr>
          <w:spacing w:val="-2"/>
          <w:sz w:val="20"/>
        </w:rPr>
        <w:t>tejidos</w:t>
      </w:r>
      <w:r>
        <w:rPr>
          <w:sz w:val="20"/>
        </w:rPr>
        <w:tab/>
      </w:r>
      <w:r>
        <w:rPr>
          <w:spacing w:val="-6"/>
          <w:sz w:val="20"/>
        </w:rPr>
        <w:t>en</w:t>
      </w:r>
      <w:r>
        <w:rPr>
          <w:sz w:val="20"/>
        </w:rPr>
        <w:tab/>
      </w:r>
      <w:r>
        <w:rPr>
          <w:spacing w:val="-6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cédula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identidad</w:t>
      </w:r>
      <w:r>
        <w:rPr>
          <w:sz w:val="20"/>
        </w:rPr>
        <w:tab/>
      </w:r>
      <w:r>
        <w:rPr>
          <w:spacing w:val="-2"/>
          <w:sz w:val="20"/>
        </w:rPr>
        <w:t>civil.</w:t>
      </w:r>
      <w:r>
        <w:rPr>
          <w:sz w:val="20"/>
        </w:rPr>
        <w:tab/>
      </w:r>
      <w:r>
        <w:rPr>
          <w:spacing w:val="-2"/>
          <w:sz w:val="20"/>
        </w:rPr>
        <w:t>Paraguay.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4"/>
          <w:sz w:val="20"/>
        </w:rPr>
        <w:t xml:space="preserve">en: </w:t>
      </w:r>
      <w:hyperlink r:id="rId11">
        <w:r>
          <w:rPr>
            <w:color w:val="0462C1"/>
            <w:spacing w:val="-2"/>
            <w:sz w:val="20"/>
            <w:u w:val="single" w:color="0462C1"/>
          </w:rPr>
          <w:t>https://www.bacn.gov.py/leyes-paraguayas/3568/dispone-se-inserte-el-grupo-</w:t>
        </w:r>
      </w:hyperlink>
      <w:r>
        <w:rPr>
          <w:color w:val="0462C1"/>
          <w:spacing w:val="80"/>
          <w:w w:val="150"/>
          <w:sz w:val="20"/>
        </w:rPr>
        <w:t xml:space="preserve"> </w:t>
      </w:r>
      <w:hyperlink r:id="rId12">
        <w:r>
          <w:rPr>
            <w:color w:val="0462C1"/>
            <w:spacing w:val="-2"/>
            <w:sz w:val="20"/>
            <w:u w:val="single" w:color="0462C1"/>
          </w:rPr>
          <w:t>sanguineo-y-la-condicion-de-donante-voluntario-de-organos-y-tejidos-yo-la-simbologia-</w:t>
        </w:r>
      </w:hyperlink>
      <w:r>
        <w:rPr>
          <w:color w:val="0462C1"/>
          <w:spacing w:val="40"/>
          <w:sz w:val="20"/>
        </w:rPr>
        <w:t xml:space="preserve"> </w:t>
      </w:r>
      <w:hyperlink r:id="rId13">
        <w:r>
          <w:rPr>
            <w:color w:val="0462C1"/>
            <w:spacing w:val="-2"/>
            <w:sz w:val="20"/>
            <w:u w:val="single" w:color="0462C1"/>
          </w:rPr>
          <w:t>con-el-holograma-distintivo-de-donante-de-organos-y-tej</w:t>
        </w:r>
        <w:r>
          <w:rPr>
            <w:color w:val="0462C1"/>
            <w:spacing w:val="-2"/>
            <w:sz w:val="20"/>
            <w:u w:val="single" w:color="0462C1"/>
          </w:rPr>
          <w:t>idos-en-la-cedula-de-identidad-</w:t>
        </w:r>
      </w:hyperlink>
      <w:r>
        <w:rPr>
          <w:color w:val="0462C1"/>
          <w:spacing w:val="-2"/>
          <w:sz w:val="20"/>
        </w:rPr>
        <w:t xml:space="preserve"> </w:t>
      </w:r>
      <w:hyperlink r:id="rId14">
        <w:r>
          <w:rPr>
            <w:color w:val="0462C1"/>
            <w:sz w:val="20"/>
            <w:u w:val="single" w:color="0462C1"/>
          </w:rPr>
          <w:t>civil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[última vez visto el 20 de junio de 2023].</w:t>
      </w:r>
    </w:p>
    <w:p w:rsidR="000761AE" w:rsidRDefault="007C0F10">
      <w:pPr>
        <w:spacing w:before="4" w:line="235" w:lineRule="auto"/>
        <w:ind w:left="100" w:right="122"/>
        <w:jc w:val="both"/>
        <w:rPr>
          <w:sz w:val="20"/>
        </w:rPr>
      </w:pPr>
      <w:r>
        <w:rPr>
          <w:rFonts w:ascii="Calibri" w:hAnsi="Calibri"/>
          <w:position w:val="6"/>
          <w:sz w:val="13"/>
        </w:rPr>
        <w:t>6</w:t>
      </w:r>
      <w:r>
        <w:rPr>
          <w:rFonts w:ascii="Calibri" w:hAnsi="Calibri"/>
          <w:spacing w:val="22"/>
          <w:position w:val="6"/>
          <w:sz w:val="13"/>
        </w:rPr>
        <w:t xml:space="preserve"> </w:t>
      </w:r>
      <w:r>
        <w:rPr>
          <w:sz w:val="20"/>
        </w:rPr>
        <w:t xml:space="preserve">Ley Nº26497, Ley Orgánica del Registro Nacional de Identificación y Estado Civil. Perú. Disponible en: </w:t>
      </w:r>
      <w:hyperlink r:id="rId15">
        <w:r>
          <w:rPr>
            <w:color w:val="0462C1"/>
            <w:sz w:val="20"/>
            <w:u w:val="single" w:color="0462C1"/>
          </w:rPr>
          <w:t>https://cdn.gacetajuridica.com.pe/laley/ley%20N%C2%BA%2031421.pdf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[última vez visto el 20 de junio de 2023].</w:t>
      </w:r>
    </w:p>
    <w:p w:rsidR="000761AE" w:rsidRDefault="000761AE">
      <w:pPr>
        <w:spacing w:line="235" w:lineRule="auto"/>
        <w:jc w:val="both"/>
        <w:rPr>
          <w:sz w:val="20"/>
        </w:rPr>
        <w:sectPr w:rsidR="000761AE">
          <w:pgSz w:w="12240" w:h="15840"/>
          <w:pgMar w:top="1340" w:right="1580" w:bottom="280" w:left="1600" w:header="720" w:footer="720" w:gutter="0"/>
          <w:cols w:space="720"/>
        </w:sectPr>
      </w:pPr>
    </w:p>
    <w:p w:rsidR="000761AE" w:rsidRDefault="007C0F10">
      <w:pPr>
        <w:pStyle w:val="Textoindependiente"/>
        <w:spacing w:before="64" w:line="345" w:lineRule="auto"/>
        <w:ind w:left="100" w:right="114"/>
        <w:jc w:val="both"/>
      </w:pPr>
      <w:r>
        <w:t>Por lo mismo, el presente proyecto de ley tiene por objeto establecer a nivel legal dicha obligación, para así facilitar el acceso a la información sobre el grupo</w:t>
      </w:r>
      <w:r>
        <w:rPr>
          <w:spacing w:val="-5"/>
        </w:rPr>
        <w:t xml:space="preserve"> </w:t>
      </w:r>
      <w:r>
        <w:t>sanguíneo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población,</w:t>
      </w:r>
      <w:r>
        <w:rPr>
          <w:spacing w:val="-6"/>
        </w:rPr>
        <w:t xml:space="preserve"> </w:t>
      </w:r>
      <w:r>
        <w:t>considerando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utilidad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aquello supone, especialmente en casos de emergencias o accidentes.</w:t>
      </w:r>
    </w:p>
    <w:p w:rsidR="000761AE" w:rsidRDefault="000761AE">
      <w:pPr>
        <w:pStyle w:val="Textoindependiente"/>
        <w:spacing w:before="2"/>
        <w:rPr>
          <w:sz w:val="35"/>
        </w:rPr>
      </w:pPr>
    </w:p>
    <w:p w:rsidR="000761AE" w:rsidRDefault="007C0F10">
      <w:pPr>
        <w:pStyle w:val="Ttulo1"/>
        <w:numPr>
          <w:ilvl w:val="0"/>
          <w:numId w:val="1"/>
        </w:numPr>
        <w:tabs>
          <w:tab w:val="left" w:pos="3836"/>
        </w:tabs>
        <w:ind w:left="3836" w:hanging="349"/>
        <w:jc w:val="left"/>
        <w:rPr>
          <w:b/>
        </w:rPr>
      </w:pPr>
      <w:r>
        <w:rPr>
          <w:b/>
        </w:rPr>
        <w:t>IDEA</w:t>
      </w:r>
      <w:r>
        <w:rPr>
          <w:b/>
          <w:spacing w:val="1"/>
        </w:rPr>
        <w:t xml:space="preserve"> </w:t>
      </w:r>
      <w:r>
        <w:rPr>
          <w:b/>
          <w:spacing w:val="-2"/>
        </w:rPr>
        <w:t>MATRIZ</w:t>
      </w:r>
    </w:p>
    <w:p w:rsidR="000761AE" w:rsidRDefault="000761AE">
      <w:pPr>
        <w:pStyle w:val="Textoindependiente"/>
        <w:rPr>
          <w:b/>
          <w:sz w:val="28"/>
        </w:rPr>
      </w:pPr>
    </w:p>
    <w:p w:rsidR="000761AE" w:rsidRDefault="007C0F10">
      <w:pPr>
        <w:pStyle w:val="Textoindependiente"/>
        <w:spacing w:before="210" w:line="345" w:lineRule="auto"/>
        <w:ind w:left="100" w:right="116"/>
        <w:jc w:val="both"/>
      </w:pP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 ley tiene por</w:t>
      </w:r>
      <w:r>
        <w:rPr>
          <w:spacing w:val="-5"/>
        </w:rPr>
        <w:t xml:space="preserve"> </w:t>
      </w:r>
      <w:r>
        <w:t>objeto establecer la</w:t>
      </w:r>
      <w:r>
        <w:rPr>
          <w:spacing w:val="-5"/>
        </w:rPr>
        <w:t xml:space="preserve"> </w:t>
      </w:r>
      <w:r>
        <w:t>obligación legal</w:t>
      </w:r>
      <w:r>
        <w:rPr>
          <w:spacing w:val="-2"/>
        </w:rPr>
        <w:t xml:space="preserve"> </w:t>
      </w:r>
      <w:r>
        <w:t>de incorporar en la cédula de identidad y en el certificado de nacimiento el grupo sanguíneo de su</w:t>
      </w:r>
      <w:r>
        <w:t xml:space="preserve"> titular.</w:t>
      </w:r>
    </w:p>
    <w:p w:rsidR="000761AE" w:rsidRDefault="000761AE">
      <w:pPr>
        <w:pStyle w:val="Textoindependiente"/>
        <w:spacing w:before="2"/>
        <w:rPr>
          <w:sz w:val="35"/>
        </w:rPr>
      </w:pPr>
    </w:p>
    <w:p w:rsidR="000761AE" w:rsidRDefault="007C0F10">
      <w:pPr>
        <w:pStyle w:val="Ttulo1"/>
        <w:numPr>
          <w:ilvl w:val="0"/>
          <w:numId w:val="1"/>
        </w:numPr>
        <w:tabs>
          <w:tab w:val="left" w:pos="3521"/>
        </w:tabs>
        <w:spacing w:before="1"/>
        <w:ind w:left="3521" w:hanging="444"/>
        <w:jc w:val="left"/>
        <w:rPr>
          <w:b/>
        </w:rPr>
      </w:pPr>
      <w:r>
        <w:rPr>
          <w:b/>
        </w:rPr>
        <w:t>PROYECTO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  <w:spacing w:val="-5"/>
        </w:rPr>
        <w:t>LEY</w:t>
      </w:r>
    </w:p>
    <w:p w:rsidR="000761AE" w:rsidRDefault="000761AE">
      <w:pPr>
        <w:pStyle w:val="Textoindependiente"/>
        <w:rPr>
          <w:b/>
          <w:sz w:val="28"/>
        </w:rPr>
      </w:pPr>
    </w:p>
    <w:p w:rsidR="000761AE" w:rsidRDefault="007C0F10">
      <w:pPr>
        <w:pStyle w:val="Textoindependiente"/>
        <w:spacing w:before="234" w:line="348" w:lineRule="auto"/>
        <w:ind w:left="100" w:right="116"/>
        <w:jc w:val="both"/>
      </w:pPr>
      <w:r>
        <w:rPr>
          <w:b/>
        </w:rPr>
        <w:t xml:space="preserve">Artículo 1º.- </w:t>
      </w:r>
      <w:r>
        <w:t>Modificase la letra n) del artículo 7º de la Ley Nº 19.477, que aprueba ley orgánica del servicio de registro civil e identificación, en el siguiente sentido:</w:t>
      </w:r>
    </w:p>
    <w:p w:rsidR="000761AE" w:rsidRDefault="000761AE">
      <w:pPr>
        <w:pStyle w:val="Textoindependiente"/>
        <w:spacing w:before="1"/>
        <w:rPr>
          <w:sz w:val="34"/>
        </w:rPr>
      </w:pPr>
    </w:p>
    <w:p w:rsidR="000761AE" w:rsidRDefault="007C0F10">
      <w:pPr>
        <w:spacing w:line="340" w:lineRule="auto"/>
        <w:ind w:left="821" w:right="112" w:hanging="360"/>
        <w:jc w:val="both"/>
        <w:rPr>
          <w:i/>
          <w:sz w:val="24"/>
        </w:rPr>
      </w:pP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Agregase, a continuación del punto y coma, que pasa </w:t>
      </w:r>
      <w:r>
        <w:rPr>
          <w:sz w:val="24"/>
        </w:rPr>
        <w:t xml:space="preserve">a ser punto seguido, lo siguiente: </w:t>
      </w:r>
      <w:r>
        <w:rPr>
          <w:i/>
          <w:sz w:val="24"/>
        </w:rPr>
        <w:t>“La cédula de identidad y el certificado de nacimiento deberán señalar el grupo sanguíneo de su titular, para lo cual el solicitante presentará cualquier documento emanado de los laboratorios de salud autorizados donde co</w:t>
      </w:r>
      <w:r>
        <w:rPr>
          <w:i/>
          <w:sz w:val="24"/>
        </w:rPr>
        <w:t>nste dicha información. Cuando el Registro Civil ya posea la información del grupo sanguíneo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solicitante, no será necesario que éste lo vuelva a acreditar en sus futuras solicitudes, pudiendo utilizarse la información ya consignada en documentos anteri</w:t>
      </w:r>
      <w:r>
        <w:rPr>
          <w:i/>
          <w:sz w:val="24"/>
        </w:rPr>
        <w:t>ores.”.</w:t>
      </w:r>
    </w:p>
    <w:p w:rsidR="000761AE" w:rsidRDefault="000761AE">
      <w:pPr>
        <w:pStyle w:val="Textoindependiente"/>
        <w:spacing w:before="7"/>
        <w:rPr>
          <w:i/>
          <w:sz w:val="34"/>
        </w:rPr>
      </w:pPr>
    </w:p>
    <w:p w:rsidR="000761AE" w:rsidRDefault="007C0F10">
      <w:pPr>
        <w:pStyle w:val="Textoindependiente"/>
        <w:spacing w:line="352" w:lineRule="auto"/>
        <w:ind w:left="100" w:right="126"/>
        <w:jc w:val="both"/>
      </w:pPr>
      <w:r>
        <w:rPr>
          <w:b/>
        </w:rPr>
        <w:t xml:space="preserve">Artículo transitorio.- </w:t>
      </w:r>
      <w:r>
        <w:t>Lo dispuesto en la presente ley comenzará a regir transcurridos seis meses desde su publicación en el Diario Oficial.</w:t>
      </w:r>
    </w:p>
    <w:p w:rsidR="000761AE" w:rsidRDefault="000761AE">
      <w:pPr>
        <w:spacing w:line="352" w:lineRule="auto"/>
        <w:jc w:val="both"/>
        <w:sectPr w:rsidR="000761AE">
          <w:pgSz w:w="12240" w:h="15840"/>
          <w:pgMar w:top="1340" w:right="1580" w:bottom="280" w:left="1600" w:header="720" w:footer="720" w:gutter="0"/>
          <w:cols w:space="720"/>
        </w:sectPr>
      </w:pPr>
    </w:p>
    <w:p w:rsidR="000761AE" w:rsidRDefault="000761AE">
      <w:pPr>
        <w:pStyle w:val="Textoindependiente"/>
        <w:spacing w:before="11"/>
        <w:rPr>
          <w:sz w:val="28"/>
        </w:rPr>
      </w:pPr>
    </w:p>
    <w:p w:rsidR="000761AE" w:rsidRDefault="007C0F10">
      <w:pPr>
        <w:pStyle w:val="Ttulo1"/>
        <w:spacing w:before="100"/>
        <w:ind w:right="2904" w:firstLine="0"/>
        <w:jc w:val="center"/>
        <w:rPr>
          <w:b/>
        </w:rPr>
      </w:pPr>
      <w:r>
        <w:rPr>
          <w:b/>
        </w:rPr>
        <w:t>PAULA</w:t>
      </w:r>
      <w:r>
        <w:rPr>
          <w:b/>
          <w:spacing w:val="-2"/>
        </w:rPr>
        <w:t xml:space="preserve"> </w:t>
      </w:r>
      <w:r>
        <w:rPr>
          <w:b/>
        </w:rPr>
        <w:t>LABRA</w:t>
      </w:r>
      <w:r>
        <w:rPr>
          <w:b/>
          <w:spacing w:val="-2"/>
        </w:rPr>
        <w:t xml:space="preserve"> BESSERER</w:t>
      </w:r>
    </w:p>
    <w:p w:rsidR="000761AE" w:rsidRDefault="007C0F10">
      <w:pPr>
        <w:pStyle w:val="Textoindependiente"/>
        <w:spacing w:before="133"/>
        <w:ind w:left="3026" w:right="3048"/>
        <w:jc w:val="center"/>
      </w:pPr>
      <w:r>
        <w:t>Diputada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República</w:t>
      </w:r>
    </w:p>
    <w:sectPr w:rsidR="000761AE"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EF4"/>
    <w:multiLevelType w:val="hybridMultilevel"/>
    <w:tmpl w:val="18C23250"/>
    <w:lvl w:ilvl="0" w:tplc="B4A4A72E">
      <w:start w:val="1"/>
      <w:numFmt w:val="upperRoman"/>
      <w:lvlText w:val="%1."/>
      <w:lvlJc w:val="left"/>
      <w:pPr>
        <w:ind w:left="3661" w:hanging="25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F872BD3E">
      <w:numFmt w:val="bullet"/>
      <w:lvlText w:val="•"/>
      <w:lvlJc w:val="left"/>
      <w:pPr>
        <w:ind w:left="4200" w:hanging="255"/>
      </w:pPr>
      <w:rPr>
        <w:rFonts w:hint="default"/>
        <w:lang w:val="es-ES" w:eastAsia="en-US" w:bidi="ar-SA"/>
      </w:rPr>
    </w:lvl>
    <w:lvl w:ilvl="2" w:tplc="701A1FB0">
      <w:numFmt w:val="bullet"/>
      <w:lvlText w:val="•"/>
      <w:lvlJc w:val="left"/>
      <w:pPr>
        <w:ind w:left="4740" w:hanging="255"/>
      </w:pPr>
      <w:rPr>
        <w:rFonts w:hint="default"/>
        <w:lang w:val="es-ES" w:eastAsia="en-US" w:bidi="ar-SA"/>
      </w:rPr>
    </w:lvl>
    <w:lvl w:ilvl="3" w:tplc="00A63358">
      <w:numFmt w:val="bullet"/>
      <w:lvlText w:val="•"/>
      <w:lvlJc w:val="left"/>
      <w:pPr>
        <w:ind w:left="5280" w:hanging="255"/>
      </w:pPr>
      <w:rPr>
        <w:rFonts w:hint="default"/>
        <w:lang w:val="es-ES" w:eastAsia="en-US" w:bidi="ar-SA"/>
      </w:rPr>
    </w:lvl>
    <w:lvl w:ilvl="4" w:tplc="3350D2CA">
      <w:numFmt w:val="bullet"/>
      <w:lvlText w:val="•"/>
      <w:lvlJc w:val="left"/>
      <w:pPr>
        <w:ind w:left="5820" w:hanging="255"/>
      </w:pPr>
      <w:rPr>
        <w:rFonts w:hint="default"/>
        <w:lang w:val="es-ES" w:eastAsia="en-US" w:bidi="ar-SA"/>
      </w:rPr>
    </w:lvl>
    <w:lvl w:ilvl="5" w:tplc="20DCFE10">
      <w:numFmt w:val="bullet"/>
      <w:lvlText w:val="•"/>
      <w:lvlJc w:val="left"/>
      <w:pPr>
        <w:ind w:left="6360" w:hanging="255"/>
      </w:pPr>
      <w:rPr>
        <w:rFonts w:hint="default"/>
        <w:lang w:val="es-ES" w:eastAsia="en-US" w:bidi="ar-SA"/>
      </w:rPr>
    </w:lvl>
    <w:lvl w:ilvl="6" w:tplc="641E3BEA">
      <w:numFmt w:val="bullet"/>
      <w:lvlText w:val="•"/>
      <w:lvlJc w:val="left"/>
      <w:pPr>
        <w:ind w:left="6900" w:hanging="255"/>
      </w:pPr>
      <w:rPr>
        <w:rFonts w:hint="default"/>
        <w:lang w:val="es-ES" w:eastAsia="en-US" w:bidi="ar-SA"/>
      </w:rPr>
    </w:lvl>
    <w:lvl w:ilvl="7" w:tplc="CB924E78">
      <w:numFmt w:val="bullet"/>
      <w:lvlText w:val="•"/>
      <w:lvlJc w:val="left"/>
      <w:pPr>
        <w:ind w:left="7440" w:hanging="255"/>
      </w:pPr>
      <w:rPr>
        <w:rFonts w:hint="default"/>
        <w:lang w:val="es-ES" w:eastAsia="en-US" w:bidi="ar-SA"/>
      </w:rPr>
    </w:lvl>
    <w:lvl w:ilvl="8" w:tplc="D23E49AA">
      <w:numFmt w:val="bullet"/>
      <w:lvlText w:val="•"/>
      <w:lvlJc w:val="left"/>
      <w:pPr>
        <w:ind w:left="7980" w:hanging="25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1AE"/>
    <w:rsid w:val="000761AE"/>
    <w:rsid w:val="007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2895" w:hanging="444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521" w:hanging="4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ostrador.cl/agenda-pais/2020/03/18/personas-con-sangre-tipo-a-pueden-ser-mas-vulnerables-a-coronavirus-segun-estudio/" TargetMode="External"/><Relationship Id="rId13" Type="http://schemas.openxmlformats.org/officeDocument/2006/relationships/hyperlink" Target="https://www.bacn.gov.py/leyes-paraguayas/3568/dispone-se-inserte-el-grupo-sanguineo-y-la-condicion-de-donante-voluntario-de-organos-y-tejidos-yo-la-simbologia-con-el-holograma-distintivo-de-donante-de-organos-y-tejidos-en-la-cedula-de-identidad-civ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aset.cl/programa/observatorio-datos-estadistica/" TargetMode="External"/><Relationship Id="rId12" Type="http://schemas.openxmlformats.org/officeDocument/2006/relationships/hyperlink" Target="https://www.bacn.gov.py/leyes-paraguayas/3568/dispone-se-inserte-el-grupo-sanguineo-y-la-condicion-de-donante-voluntario-de-organos-y-tejidos-yo-la-simbologia-con-el-holograma-distintivo-de-donante-de-organos-y-tejidos-en-la-cedula-de-identidad-civ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le.rae.es/grupo" TargetMode="External"/><Relationship Id="rId11" Type="http://schemas.openxmlformats.org/officeDocument/2006/relationships/hyperlink" Target="https://www.bacn.gov.py/leyes-paraguayas/3568/dispone-se-inserte-el-grupo-sanguineo-y-la-condicion-de-donante-voluntario-de-organos-y-tejidos-yo-la-simbologia-con-el-holograma-distintivo-de-donante-de-organos-y-tejidos-en-la-cedula-de-identidad-civi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dn.gacetajuridica.com.pe/laley/ley%20N%C2%BA%2031421.pdf" TargetMode="External"/><Relationship Id="rId10" Type="http://schemas.openxmlformats.org/officeDocument/2006/relationships/hyperlink" Target="https://panama.justia.com/federales/leyes/18-de-2005-jul-6-2005/gd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mostrador.cl/agenda-pais/2020/03/18/personas-con-sangre-tipo-a-pueden-ser-mas-vulnerables-a-coronavirus-segun-estudio/" TargetMode="External"/><Relationship Id="rId14" Type="http://schemas.openxmlformats.org/officeDocument/2006/relationships/hyperlink" Target="https://www.bacn.gov.py/leyes-paraguayas/3568/dispone-se-inserte-el-grupo-sanguineo-y-la-condicion-de-donante-voluntario-de-organos-y-tejidos-yo-la-simbologia-con-el-holograma-distintivo-de-donante-de-organos-y-tejidos-en-la-cedula-de-identidad-civ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Guillermo Diaz Vallejos</cp:lastModifiedBy>
  <cp:revision>1</cp:revision>
  <dcterms:created xsi:type="dcterms:W3CDTF">2023-07-31T15:21:00Z</dcterms:created>
  <dcterms:modified xsi:type="dcterms:W3CDTF">2023-08-09T14:57:00Z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2023-07-31T00:00:00Z</vt:filetime>
  </property>
</Properties>
</file>