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810" w:rsidRDefault="004B6EA2">
      <w:pPr>
        <w:pStyle w:val="Textoindependiente"/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9738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73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10" w:rsidRDefault="002A1810">
      <w:pPr>
        <w:pStyle w:val="Textoindependiente"/>
        <w:rPr>
          <w:sz w:val="20"/>
        </w:rPr>
      </w:pPr>
    </w:p>
    <w:p w:rsidR="002A1810" w:rsidRDefault="002A1810">
      <w:pPr>
        <w:pStyle w:val="Textoindependiente"/>
        <w:spacing w:before="3"/>
        <w:rPr>
          <w:sz w:val="19"/>
        </w:rPr>
      </w:pPr>
    </w:p>
    <w:p w:rsidR="002A1810" w:rsidRDefault="004B6EA2">
      <w:pPr>
        <w:pStyle w:val="Ttulo1"/>
        <w:ind w:right="100"/>
        <w:jc w:val="both"/>
      </w:pPr>
      <w:r>
        <w:t>Modifica la ley Nº19.175, para someter a la aprobación del Consejo Regional las asignaciones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inversión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iniciativas,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 que indica</w:t>
      </w:r>
    </w:p>
    <w:p w:rsidR="002A1810" w:rsidRDefault="004B6EA2">
      <w:pPr>
        <w:pStyle w:val="Textoindependiente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174020</wp:posOffset>
                </wp:positionV>
                <wp:extent cx="556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BEBCE" id="Graphic 2" o:spid="_x0000_s1026" style="position:absolute;margin-left:84.95pt;margin-top:13.7pt;width:4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2A1810" w:rsidRDefault="002A1810">
      <w:pPr>
        <w:pStyle w:val="Textoindependiente"/>
        <w:spacing w:before="8"/>
        <w:rPr>
          <w:b/>
          <w:sz w:val="28"/>
        </w:rPr>
      </w:pPr>
    </w:p>
    <w:p w:rsidR="002A1810" w:rsidRDefault="004B6EA2">
      <w:pPr>
        <w:spacing w:before="90"/>
        <w:ind w:left="199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2A1810" w:rsidRDefault="002A1810">
      <w:pPr>
        <w:pStyle w:val="Textoindependiente"/>
        <w:rPr>
          <w:b/>
          <w:sz w:val="26"/>
        </w:rPr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3"/>
        </w:tabs>
        <w:spacing w:before="178"/>
        <w:jc w:val="both"/>
        <w:rPr>
          <w:sz w:val="24"/>
        </w:rPr>
      </w:pPr>
      <w:r>
        <w:rPr>
          <w:sz w:val="24"/>
        </w:rPr>
        <w:t>La transferencia de recursos públicos a fundaciones y otras corporaciones privadas sin</w:t>
      </w:r>
      <w:r>
        <w:rPr>
          <w:spacing w:val="-3"/>
          <w:sz w:val="24"/>
        </w:rPr>
        <w:t xml:space="preserve"> </w:t>
      </w:r>
      <w:r>
        <w:rPr>
          <w:sz w:val="24"/>
        </w:rPr>
        <w:t>fines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lucro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fuertes</w:t>
      </w:r>
      <w:r>
        <w:rPr>
          <w:spacing w:val="-3"/>
          <w:sz w:val="24"/>
        </w:rPr>
        <w:t xml:space="preserve"> </w:t>
      </w:r>
      <w:r>
        <w:rPr>
          <w:sz w:val="24"/>
        </w:rPr>
        <w:t>cuestionamientos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último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tras conocerse una serie de casos donde los responsables de autorizar las asignaciones mant</w:t>
      </w:r>
      <w:r>
        <w:rPr>
          <w:sz w:val="24"/>
        </w:rPr>
        <w:t>enían</w:t>
      </w:r>
      <w:r>
        <w:rPr>
          <w:spacing w:val="-10"/>
          <w:sz w:val="24"/>
        </w:rPr>
        <w:t xml:space="preserve"> </w:t>
      </w:r>
      <w:r>
        <w:rPr>
          <w:sz w:val="24"/>
        </w:rPr>
        <w:t>estrechos</w:t>
      </w:r>
      <w:r>
        <w:rPr>
          <w:spacing w:val="-10"/>
          <w:sz w:val="24"/>
        </w:rPr>
        <w:t xml:space="preserve"> </w:t>
      </w:r>
      <w:r>
        <w:rPr>
          <w:sz w:val="24"/>
        </w:rPr>
        <w:t>vínculos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entidades</w:t>
      </w:r>
      <w:r>
        <w:rPr>
          <w:spacing w:val="-10"/>
          <w:sz w:val="24"/>
        </w:rPr>
        <w:t xml:space="preserve"> </w:t>
      </w:r>
      <w:r>
        <w:rPr>
          <w:sz w:val="24"/>
        </w:rPr>
        <w:t>receptoras,</w:t>
      </w:r>
      <w:r>
        <w:rPr>
          <w:spacing w:val="-10"/>
          <w:sz w:val="24"/>
        </w:rPr>
        <w:t xml:space="preserve"> </w:t>
      </w:r>
      <w:r>
        <w:rPr>
          <w:sz w:val="24"/>
        </w:rPr>
        <w:t>dejando de</w:t>
      </w:r>
      <w:r>
        <w:rPr>
          <w:spacing w:val="-7"/>
          <w:sz w:val="24"/>
        </w:rPr>
        <w:t xml:space="preserve"> </w:t>
      </w:r>
      <w:r>
        <w:rPr>
          <w:sz w:val="24"/>
        </w:rPr>
        <w:t>manifiesto</w:t>
      </w:r>
      <w:r>
        <w:rPr>
          <w:spacing w:val="-7"/>
          <w:sz w:val="24"/>
        </w:rPr>
        <w:t xml:space="preserve"> </w:t>
      </w:r>
      <w:r>
        <w:rPr>
          <w:sz w:val="24"/>
        </w:rPr>
        <w:t>eventuales</w:t>
      </w:r>
      <w:r>
        <w:rPr>
          <w:spacing w:val="-7"/>
          <w:sz w:val="24"/>
        </w:rPr>
        <w:t xml:space="preserve"> </w:t>
      </w:r>
      <w:r>
        <w:rPr>
          <w:sz w:val="24"/>
        </w:rPr>
        <w:t>conflictos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interés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hechos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constitutivos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delito,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que ha motivado la presentación de querellas y el inicio de investigaciones de oficio por parte del Ministerio Público en gran parte de las regiones.</w:t>
      </w:r>
    </w:p>
    <w:p w:rsidR="002A1810" w:rsidRDefault="002A1810">
      <w:pPr>
        <w:pStyle w:val="Textoindependiente"/>
        <w:spacing w:before="1"/>
        <w:rPr>
          <w:sz w:val="26"/>
        </w:rPr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9"/>
        </w:tabs>
        <w:spacing w:before="1"/>
        <w:ind w:left="919" w:hanging="360"/>
        <w:jc w:val="both"/>
        <w:rPr>
          <w:sz w:val="24"/>
        </w:rPr>
      </w:pPr>
      <w:r>
        <w:rPr>
          <w:sz w:val="24"/>
        </w:rPr>
        <w:t>En tal contexto, el primer caso que salió a la luz pública corresponde al de la Fundación Democracia Viva</w:t>
      </w:r>
      <w:r>
        <w:rPr>
          <w:sz w:val="24"/>
        </w:rPr>
        <w:t>, cuyo representante legal, durante el año 2022 -en ese entonces militante RD y pareja de la diputada Catalina Pérez (RD)- suscribió tres convenios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Vivienda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Antofagasta,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un monto total de $426 millones, cuan</w:t>
      </w:r>
      <w:r>
        <w:rPr>
          <w:sz w:val="24"/>
        </w:rPr>
        <w:t>do dicha repartición estaba dirigida por Carlos Contreras, también militante RD y exasesor de la mencionada parlamentaria.</w:t>
      </w:r>
    </w:p>
    <w:p w:rsidR="002A1810" w:rsidRDefault="002A1810">
      <w:pPr>
        <w:pStyle w:val="Textoindependiente"/>
        <w:spacing w:before="2"/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9"/>
        </w:tabs>
        <w:ind w:left="919" w:hanging="360"/>
        <w:jc w:val="both"/>
        <w:rPr>
          <w:sz w:val="24"/>
        </w:rPr>
      </w:pPr>
      <w:r>
        <w:rPr>
          <w:sz w:val="24"/>
        </w:rPr>
        <w:t>Posteriormente, comenzaron a circular con gran alcance público otros casos de fundaciones que recibieron aportes directos del Estado</w:t>
      </w:r>
      <w:r>
        <w:rPr>
          <w:sz w:val="24"/>
        </w:rPr>
        <w:t>, generando serias dudas respecto de la imparcialidad que debe existir en los procesos de asignación. En particular, y en una situación similar a Democracia Viva, la Fundación Urbanismo Social recibió en 2022 un total de $109 millones por parte de la Serem</w:t>
      </w:r>
      <w:r>
        <w:rPr>
          <w:sz w:val="24"/>
        </w:rPr>
        <w:t>i de Vivienda del</w:t>
      </w:r>
      <w:r>
        <w:rPr>
          <w:spacing w:val="-9"/>
          <w:sz w:val="24"/>
        </w:rPr>
        <w:t xml:space="preserve"> </w:t>
      </w:r>
      <w:r>
        <w:rPr>
          <w:sz w:val="24"/>
        </w:rPr>
        <w:t>Maule,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ese</w:t>
      </w:r>
      <w:r>
        <w:rPr>
          <w:spacing w:val="-9"/>
          <w:sz w:val="24"/>
        </w:rPr>
        <w:t xml:space="preserve"> </w:t>
      </w:r>
      <w:r>
        <w:rPr>
          <w:sz w:val="24"/>
        </w:rPr>
        <w:t>momento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Rodrigo</w:t>
      </w:r>
      <w:r>
        <w:rPr>
          <w:spacing w:val="-9"/>
          <w:sz w:val="24"/>
        </w:rPr>
        <w:t xml:space="preserve"> </w:t>
      </w:r>
      <w:r>
        <w:rPr>
          <w:sz w:val="24"/>
        </w:rPr>
        <w:t>Hernández</w:t>
      </w:r>
      <w:r>
        <w:rPr>
          <w:spacing w:val="-9"/>
          <w:sz w:val="24"/>
        </w:rPr>
        <w:t xml:space="preserve"> </w:t>
      </w:r>
      <w:r>
        <w:rPr>
          <w:sz w:val="24"/>
        </w:rPr>
        <w:t>(RD),</w:t>
      </w:r>
      <w:r>
        <w:rPr>
          <w:spacing w:val="-9"/>
          <w:sz w:val="24"/>
        </w:rPr>
        <w:t xml:space="preserve"> </w:t>
      </w:r>
      <w:r>
        <w:rPr>
          <w:sz w:val="24"/>
        </w:rPr>
        <w:t>quien</w:t>
      </w:r>
      <w:r>
        <w:rPr>
          <w:spacing w:val="-9"/>
          <w:sz w:val="24"/>
        </w:rPr>
        <w:t xml:space="preserve"> </w:t>
      </w:r>
      <w:r>
        <w:rPr>
          <w:sz w:val="24"/>
        </w:rPr>
        <w:t>trabajó anteriormente en la referida fundación durante seis años. Esta organización también se adjudicó $577 millones de la Seremi de Vivienda de Antofagasta, entre octubre y diciembre de 2022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lo que se suma a un convenio suscrito en diciembre del mismo </w:t>
      </w:r>
      <w:r>
        <w:rPr>
          <w:sz w:val="24"/>
        </w:rPr>
        <w:t>año, a través del cual el Gobierno Regional del Maule (Gore) le asignó un monto de</w:t>
      </w:r>
    </w:p>
    <w:p w:rsidR="002A1810" w:rsidRDefault="004B6EA2">
      <w:pPr>
        <w:spacing w:before="3" w:line="237" w:lineRule="auto"/>
        <w:ind w:left="919" w:right="100"/>
        <w:jc w:val="both"/>
        <w:rPr>
          <w:i/>
          <w:sz w:val="24"/>
        </w:rPr>
      </w:pPr>
      <w:r>
        <w:rPr>
          <w:sz w:val="24"/>
        </w:rPr>
        <w:t>$264 millones para la ejecución del proyecto “Juntos y juntas nos sentimos más seguros”,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fin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“implementar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intervención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física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barrios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 xml:space="preserve"> </w:t>
      </w:r>
      <w:r>
        <w:rPr>
          <w:i/>
          <w:spacing w:val="-5"/>
          <w:sz w:val="24"/>
        </w:rPr>
        <w:t>la</w:t>
      </w:r>
    </w:p>
    <w:p w:rsidR="002A1810" w:rsidRDefault="002A1810">
      <w:pPr>
        <w:pStyle w:val="Textoindependiente"/>
        <w:rPr>
          <w:i/>
          <w:sz w:val="20"/>
        </w:rPr>
      </w:pPr>
    </w:p>
    <w:p w:rsidR="002A1810" w:rsidRDefault="002A1810">
      <w:pPr>
        <w:pStyle w:val="Textoindependiente"/>
        <w:rPr>
          <w:i/>
          <w:sz w:val="20"/>
        </w:rPr>
      </w:pPr>
    </w:p>
    <w:p w:rsidR="002A1810" w:rsidRDefault="004B6EA2">
      <w:pPr>
        <w:pStyle w:val="Textoindependiente"/>
        <w:spacing w:before="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184549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D58F5" id="Graphic 3" o:spid="_x0000_s1026" style="position:absolute;margin-left:84.95pt;margin-top:14.5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810" w:rsidRDefault="004B6EA2">
      <w:pPr>
        <w:spacing w:before="131" w:line="242" w:lineRule="auto"/>
        <w:ind w:left="199" w:right="99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i/>
          <w:sz w:val="18"/>
        </w:rPr>
        <w:t>“Caso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Antofagasta: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platas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fundación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vinculada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RD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salpican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ahora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Maule”.</w:t>
      </w:r>
      <w:r>
        <w:rPr>
          <w:i/>
          <w:spacing w:val="80"/>
          <w:sz w:val="18"/>
        </w:rPr>
        <w:t xml:space="preserve"> </w:t>
      </w:r>
      <w:r>
        <w:rPr>
          <w:sz w:val="18"/>
        </w:rPr>
        <w:t>Disponible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en: </w:t>
      </w:r>
      <w:r>
        <w:rPr>
          <w:spacing w:val="-2"/>
          <w:sz w:val="18"/>
        </w:rPr>
        <w:t>https://</w:t>
      </w:r>
      <w:hyperlink r:id="rId6">
        <w:r>
          <w:rPr>
            <w:spacing w:val="-2"/>
            <w:sz w:val="18"/>
          </w:rPr>
          <w:t>www.t13.cl/noticia/politica/ex-ante/caso-antofagasta-las-platas-fundacion-vinculada-rd-salpican-ahora-al-maule-</w:t>
        </w:r>
      </w:hyperlink>
      <w:r>
        <w:rPr>
          <w:spacing w:val="80"/>
          <w:sz w:val="18"/>
        </w:rPr>
        <w:t xml:space="preserve">  </w:t>
      </w:r>
      <w:r>
        <w:rPr>
          <w:spacing w:val="-2"/>
          <w:sz w:val="18"/>
        </w:rPr>
        <w:t>22-6-20</w:t>
      </w:r>
      <w:r>
        <w:rPr>
          <w:spacing w:val="-2"/>
          <w:sz w:val="18"/>
        </w:rPr>
        <w:t>23</w:t>
      </w:r>
    </w:p>
    <w:p w:rsidR="002A1810" w:rsidRDefault="002A1810">
      <w:pPr>
        <w:spacing w:line="242" w:lineRule="auto"/>
        <w:rPr>
          <w:sz w:val="18"/>
        </w:rPr>
        <w:sectPr w:rsidR="002A1810">
          <w:type w:val="continuous"/>
          <w:pgSz w:w="12240" w:h="15840"/>
          <w:pgMar w:top="1240" w:right="1600" w:bottom="280" w:left="1500" w:header="720" w:footer="720" w:gutter="0"/>
          <w:cols w:space="720"/>
        </w:sectPr>
      </w:pPr>
    </w:p>
    <w:p w:rsidR="002A1810" w:rsidRDefault="004B6EA2">
      <w:pPr>
        <w:spacing w:before="72" w:line="242" w:lineRule="auto"/>
        <w:ind w:left="919"/>
        <w:rPr>
          <w:sz w:val="24"/>
        </w:rPr>
      </w:pPr>
      <w:r>
        <w:rPr>
          <w:i/>
          <w:sz w:val="24"/>
        </w:rPr>
        <w:lastRenderedPageBreak/>
        <w:t>Región de El Maule, con miras a reducir la percepción de inseguridad en cada uno de ellos”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2A1810" w:rsidRDefault="002A1810">
      <w:pPr>
        <w:pStyle w:val="Textoindependiente"/>
        <w:spacing w:before="9"/>
        <w:rPr>
          <w:sz w:val="23"/>
        </w:rPr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9"/>
        </w:tabs>
        <w:ind w:left="919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última</w:t>
      </w:r>
      <w:r>
        <w:rPr>
          <w:spacing w:val="-7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exenta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cuestionamientos,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Gore</w:t>
      </w:r>
      <w:r>
        <w:rPr>
          <w:spacing w:val="-7"/>
          <w:sz w:val="24"/>
        </w:rPr>
        <w:t xml:space="preserve"> </w:t>
      </w:r>
      <w:r>
        <w:rPr>
          <w:sz w:val="24"/>
        </w:rPr>
        <w:t>habría exigido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tres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iniciativa,</w:t>
      </w:r>
      <w:r>
        <w:rPr>
          <w:spacing w:val="-14"/>
          <w:sz w:val="24"/>
        </w:rPr>
        <w:t xml:space="preserve"> </w:t>
      </w:r>
      <w:r>
        <w:rPr>
          <w:sz w:val="24"/>
        </w:rPr>
        <w:t>petición</w:t>
      </w:r>
      <w:r>
        <w:rPr>
          <w:spacing w:val="-13"/>
          <w:sz w:val="24"/>
        </w:rPr>
        <w:t xml:space="preserve"> </w:t>
      </w:r>
      <w:r>
        <w:rPr>
          <w:sz w:val="24"/>
        </w:rPr>
        <w:t>que fue rechazada parcialmente por la fundación al descartar a uno de los candidatos, el concejal de Curicó, Javier Ahumada (DC), informando esta decisión a través de una carta</w:t>
      </w:r>
      <w:r>
        <w:rPr>
          <w:spacing w:val="-7"/>
          <w:sz w:val="24"/>
        </w:rPr>
        <w:t xml:space="preserve"> </w:t>
      </w:r>
      <w:r>
        <w:rPr>
          <w:sz w:val="24"/>
        </w:rPr>
        <w:t>dirigida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gobernadora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Maule,</w:t>
      </w:r>
      <w:r>
        <w:rPr>
          <w:spacing w:val="-7"/>
          <w:sz w:val="24"/>
        </w:rPr>
        <w:t xml:space="preserve"> </w:t>
      </w:r>
      <w:r>
        <w:rPr>
          <w:sz w:val="24"/>
        </w:rPr>
        <w:t>Crist</w:t>
      </w:r>
      <w:r>
        <w:rPr>
          <w:sz w:val="24"/>
        </w:rPr>
        <w:t>ina</w:t>
      </w:r>
      <w:r>
        <w:rPr>
          <w:spacing w:val="-7"/>
          <w:sz w:val="24"/>
        </w:rPr>
        <w:t xml:space="preserve"> </w:t>
      </w:r>
      <w:r>
        <w:rPr>
          <w:sz w:val="24"/>
        </w:rPr>
        <w:t>Bravo</w:t>
      </w:r>
      <w:r>
        <w:rPr>
          <w:spacing w:val="-7"/>
          <w:sz w:val="24"/>
        </w:rPr>
        <w:t xml:space="preserve"> </w:t>
      </w:r>
      <w:r>
        <w:rPr>
          <w:sz w:val="24"/>
        </w:rPr>
        <w:t>(DC)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Sin</w:t>
      </w:r>
      <w:r>
        <w:rPr>
          <w:spacing w:val="-7"/>
          <w:sz w:val="24"/>
        </w:rPr>
        <w:t xml:space="preserve"> </w:t>
      </w:r>
      <w:r>
        <w:rPr>
          <w:sz w:val="24"/>
        </w:rPr>
        <w:t>perjuicio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que el Gore recientemente anunció que no continuarán con el programa, los hechos dan cuenta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posibles</w:t>
      </w:r>
      <w:r>
        <w:rPr>
          <w:spacing w:val="-12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fondos,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-12"/>
          <w:sz w:val="24"/>
        </w:rPr>
        <w:t xml:space="preserve"> </w:t>
      </w:r>
      <w:r>
        <w:rPr>
          <w:sz w:val="24"/>
        </w:rPr>
        <w:t>por las tratativas de ambas entidades para la selecció</w:t>
      </w:r>
      <w:r>
        <w:rPr>
          <w:sz w:val="24"/>
        </w:rPr>
        <w:t>n del equipo de trabajo, el giro del proyecto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seguridad</w:t>
      </w:r>
      <w:r>
        <w:rPr>
          <w:spacing w:val="-12"/>
          <w:sz w:val="24"/>
        </w:rPr>
        <w:t xml:space="preserve"> </w:t>
      </w:r>
      <w:r>
        <w:rPr>
          <w:sz w:val="24"/>
        </w:rPr>
        <w:t>-que</w:t>
      </w:r>
      <w:r>
        <w:rPr>
          <w:spacing w:val="-12"/>
          <w:sz w:val="24"/>
        </w:rPr>
        <w:t xml:space="preserve"> </w:t>
      </w:r>
      <w:r>
        <w:rPr>
          <w:sz w:val="24"/>
        </w:rPr>
        <w:t>dista</w:t>
      </w:r>
      <w:r>
        <w:rPr>
          <w:spacing w:val="-12"/>
          <w:sz w:val="24"/>
        </w:rPr>
        <w:t xml:space="preserve"> </w:t>
      </w:r>
      <w:r>
        <w:rPr>
          <w:sz w:val="24"/>
        </w:rPr>
        <w:t>absolutamente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iniciativa</w:t>
      </w:r>
      <w:r>
        <w:rPr>
          <w:spacing w:val="-12"/>
          <w:sz w:val="24"/>
        </w:rPr>
        <w:t xml:space="preserve"> </w:t>
      </w:r>
      <w:r>
        <w:rPr>
          <w:sz w:val="24"/>
        </w:rPr>
        <w:t>adjudicada en</w:t>
      </w:r>
      <w:r>
        <w:rPr>
          <w:spacing w:val="-8"/>
          <w:sz w:val="24"/>
        </w:rPr>
        <w:t xml:space="preserve"> </w:t>
      </w:r>
      <w:r>
        <w:rPr>
          <w:sz w:val="24"/>
        </w:rPr>
        <w:t>Vivienda-,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dato</w:t>
      </w:r>
      <w:r>
        <w:rPr>
          <w:spacing w:val="-8"/>
          <w:sz w:val="24"/>
        </w:rPr>
        <w:t xml:space="preserve"> </w:t>
      </w:r>
      <w:r>
        <w:rPr>
          <w:sz w:val="24"/>
        </w:rPr>
        <w:t>relativo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18%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8"/>
          <w:sz w:val="24"/>
        </w:rPr>
        <w:t xml:space="preserve"> </w:t>
      </w:r>
      <w:r>
        <w:rPr>
          <w:sz w:val="24"/>
        </w:rPr>
        <w:t>asignado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($47,5 millones) sería utilizado en actividades con </w:t>
      </w:r>
      <w:r>
        <w:rPr>
          <w:i/>
          <w:sz w:val="24"/>
        </w:rPr>
        <w:t xml:space="preserve">“coffee breaks”, </w:t>
      </w:r>
      <w:r>
        <w:rPr>
          <w:sz w:val="24"/>
        </w:rPr>
        <w:t>cuya realización contemplaba la participación de vecinos de cinco barrios definidos por el Gore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 w:rsidR="002A1810" w:rsidRDefault="002A1810">
      <w:pPr>
        <w:pStyle w:val="Textoindependiente"/>
        <w:spacing w:before="9"/>
        <w:rPr>
          <w:sz w:val="23"/>
        </w:rPr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9"/>
        </w:tabs>
        <w:ind w:left="919" w:hanging="360"/>
        <w:jc w:val="both"/>
        <w:rPr>
          <w:sz w:val="24"/>
        </w:rPr>
      </w:pPr>
      <w:r>
        <w:rPr>
          <w:sz w:val="24"/>
        </w:rPr>
        <w:t>A raíz de la gran cantidad de casos que se han difundido en el último tiempo, surge la n</w:t>
      </w:r>
      <w:r>
        <w:rPr>
          <w:sz w:val="24"/>
        </w:rPr>
        <w:t>ecesidad de incorporar a la legislación vigente mecanismos que aseguren la imparcialidad,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eficiencia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probidad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5"/>
          <w:sz w:val="24"/>
        </w:rPr>
        <w:t xml:space="preserve"> </w:t>
      </w:r>
      <w:r>
        <w:rPr>
          <w:sz w:val="24"/>
        </w:rPr>
        <w:t>destinados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aprobar y autorizar transferencias de recursos públicos a iniciativas regionales, con la finalidad de p</w:t>
      </w:r>
      <w:r>
        <w:rPr>
          <w:sz w:val="24"/>
        </w:rPr>
        <w:t>revenir eventuales hechos de corrupción y conflictos de interés. En particular, casos como el de Urbanismo Social han generado la discusión en torno a las atribuciones de los Gobiernos Regionales en materia de asignaciones para la ejecución de proyectos, a</w:t>
      </w:r>
      <w:r>
        <w:rPr>
          <w:sz w:val="24"/>
        </w:rPr>
        <w:t>sí como la injerencia del Consejo Regional en la autorización de dichas transferencias.</w:t>
      </w:r>
    </w:p>
    <w:p w:rsidR="002A1810" w:rsidRDefault="002A1810">
      <w:pPr>
        <w:pStyle w:val="Textoindependiente"/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9"/>
        </w:tabs>
        <w:spacing w:before="1"/>
        <w:ind w:left="919" w:hanging="360"/>
        <w:jc w:val="both"/>
        <w:rPr>
          <w:sz w:val="24"/>
        </w:rPr>
      </w:pPr>
      <w:r>
        <w:rPr>
          <w:sz w:val="24"/>
        </w:rPr>
        <w:t>Al respecto, la ley N°19.175, Orgánica Constitucional sobre Gobierno y Administración Regional, dispone que las asignaciones de hasta 7.000 unidades tributarias mensua</w:t>
      </w:r>
      <w:r>
        <w:rPr>
          <w:sz w:val="24"/>
        </w:rPr>
        <w:t>les ($443.282.000 a julio de 2023) corresponde a una atribución exclusiva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Gobernador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y,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tanto,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requieren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 consejeros.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criterio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cuenta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excesiva</w:t>
      </w:r>
      <w:r>
        <w:rPr>
          <w:spacing w:val="-12"/>
          <w:sz w:val="24"/>
        </w:rPr>
        <w:t xml:space="preserve"> </w:t>
      </w:r>
      <w:r>
        <w:rPr>
          <w:sz w:val="24"/>
        </w:rPr>
        <w:t>discrecionalidad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distribución de los fondos, por cuanto las transferencias directas -con el límite ya señalado- dependen únicamente de la decisión que adopta una persona en forma unilateral, excluyendo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Consejo</w:t>
      </w:r>
      <w:r>
        <w:rPr>
          <w:spacing w:val="-7"/>
          <w:sz w:val="24"/>
        </w:rPr>
        <w:t xml:space="preserve"> </w:t>
      </w:r>
      <w:r>
        <w:rPr>
          <w:sz w:val="24"/>
        </w:rPr>
        <w:t>Regional</w:t>
      </w:r>
      <w:r>
        <w:rPr>
          <w:spacing w:val="-7"/>
          <w:sz w:val="24"/>
        </w:rPr>
        <w:t xml:space="preserve"> </w:t>
      </w:r>
      <w:r>
        <w:rPr>
          <w:sz w:val="24"/>
        </w:rPr>
        <w:t>respectivo</w:t>
      </w:r>
      <w:r>
        <w:rPr>
          <w:spacing w:val="-7"/>
          <w:sz w:val="24"/>
        </w:rPr>
        <w:t xml:space="preserve"> </w:t>
      </w:r>
      <w:r>
        <w:rPr>
          <w:sz w:val="24"/>
        </w:rPr>
        <w:t>pueda</w:t>
      </w:r>
      <w:r>
        <w:rPr>
          <w:spacing w:val="-7"/>
          <w:sz w:val="24"/>
        </w:rPr>
        <w:t xml:space="preserve"> </w:t>
      </w:r>
      <w:r>
        <w:rPr>
          <w:sz w:val="24"/>
        </w:rPr>
        <w:t>pronunciarse</w:t>
      </w:r>
      <w:r>
        <w:rPr>
          <w:sz w:val="24"/>
        </w:rPr>
        <w:t xml:space="preserve"> sobre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iniciativas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entidades</w:t>
      </w:r>
      <w:r>
        <w:rPr>
          <w:spacing w:val="-5"/>
          <w:sz w:val="24"/>
        </w:rPr>
        <w:t xml:space="preserve"> </w:t>
      </w:r>
      <w:r>
        <w:rPr>
          <w:sz w:val="24"/>
        </w:rPr>
        <w:t>receptoras,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pesar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facultades</w:t>
      </w:r>
      <w:r>
        <w:rPr>
          <w:spacing w:val="-4"/>
          <w:sz w:val="24"/>
        </w:rPr>
        <w:t xml:space="preserve"> </w:t>
      </w:r>
      <w:r>
        <w:rPr>
          <w:sz w:val="24"/>
        </w:rPr>
        <w:t>resolutivas</w:t>
      </w:r>
      <w:r>
        <w:rPr>
          <w:spacing w:val="-4"/>
          <w:sz w:val="24"/>
        </w:rPr>
        <w:t xml:space="preserve"> </w:t>
      </w:r>
      <w:r>
        <w:rPr>
          <w:sz w:val="24"/>
        </w:rPr>
        <w:t>y fiscalizadoras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ley</w:t>
      </w:r>
      <w:r>
        <w:rPr>
          <w:spacing w:val="-12"/>
          <w:sz w:val="24"/>
        </w:rPr>
        <w:t xml:space="preserve"> </w:t>
      </w:r>
      <w:r>
        <w:rPr>
          <w:sz w:val="24"/>
        </w:rPr>
        <w:t>asigna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dicho</w:t>
      </w:r>
      <w:r>
        <w:rPr>
          <w:spacing w:val="-12"/>
          <w:sz w:val="24"/>
        </w:rPr>
        <w:t xml:space="preserve"> </w:t>
      </w:r>
      <w:r>
        <w:rPr>
          <w:sz w:val="24"/>
        </w:rPr>
        <w:t>órgano</w:t>
      </w:r>
      <w:r>
        <w:rPr>
          <w:spacing w:val="-12"/>
          <w:sz w:val="24"/>
        </w:rPr>
        <w:t xml:space="preserve"> </w:t>
      </w:r>
      <w:r>
        <w:rPr>
          <w:sz w:val="24"/>
        </w:rPr>
        <w:t>colegiado.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ello,</w:t>
      </w:r>
      <w:r>
        <w:rPr>
          <w:spacing w:val="-12"/>
          <w:sz w:val="24"/>
        </w:rPr>
        <w:t xml:space="preserve"> </w:t>
      </w:r>
      <w:r>
        <w:rPr>
          <w:sz w:val="24"/>
        </w:rPr>
        <w:t>estimamos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los aportes deben autorizarse previa aprobación de los Consejeros Regionales, a fin de aumentar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niveles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publicidad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convenios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suscribir,</w:t>
      </w:r>
      <w:r>
        <w:rPr>
          <w:spacing w:val="-11"/>
          <w:sz w:val="24"/>
        </w:rPr>
        <w:t xml:space="preserve"> </w:t>
      </w:r>
      <w:r>
        <w:rPr>
          <w:sz w:val="24"/>
        </w:rPr>
        <w:t>sobre todo luego de la gran cantidad de casos que se han difundido y a partir de los cua</w:t>
      </w:r>
      <w:r>
        <w:rPr>
          <w:sz w:val="24"/>
        </w:rPr>
        <w:t>les han</w:t>
      </w:r>
      <w:r>
        <w:rPr>
          <w:spacing w:val="17"/>
          <w:sz w:val="24"/>
        </w:rPr>
        <w:t xml:space="preserve"> </w:t>
      </w:r>
      <w:r>
        <w:rPr>
          <w:sz w:val="24"/>
        </w:rPr>
        <w:t>surgido</w:t>
      </w:r>
      <w:r>
        <w:rPr>
          <w:spacing w:val="17"/>
          <w:sz w:val="24"/>
        </w:rPr>
        <w:t xml:space="preserve"> </w:t>
      </w:r>
      <w:r>
        <w:rPr>
          <w:sz w:val="24"/>
        </w:rPr>
        <w:t>dudas</w:t>
      </w:r>
      <w:r>
        <w:rPr>
          <w:spacing w:val="17"/>
          <w:sz w:val="24"/>
        </w:rPr>
        <w:t xml:space="preserve"> </w:t>
      </w:r>
      <w:r>
        <w:rPr>
          <w:sz w:val="24"/>
        </w:rPr>
        <w:t>razonables</w:t>
      </w:r>
      <w:r>
        <w:rPr>
          <w:spacing w:val="16"/>
          <w:sz w:val="24"/>
        </w:rPr>
        <w:t xml:space="preserve"> </w:t>
      </w:r>
      <w:r>
        <w:rPr>
          <w:sz w:val="24"/>
        </w:rPr>
        <w:t>respecto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recursos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han</w:t>
      </w:r>
      <w:r>
        <w:rPr>
          <w:spacing w:val="17"/>
          <w:sz w:val="24"/>
        </w:rPr>
        <w:t xml:space="preserve"> </w:t>
      </w:r>
      <w:r>
        <w:rPr>
          <w:sz w:val="24"/>
        </w:rPr>
        <w:t>ejecutado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</w:p>
    <w:p w:rsidR="002A1810" w:rsidRDefault="004B6EA2">
      <w:pPr>
        <w:pStyle w:val="Textoindependiente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182001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C849C" id="Graphic 4" o:spid="_x0000_s1026" style="position:absolute;margin-left:84.95pt;margin-top:14.3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810" w:rsidRDefault="004B6EA2">
      <w:pPr>
        <w:spacing w:before="131" w:line="242" w:lineRule="auto"/>
        <w:ind w:left="199" w:right="98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i/>
          <w:sz w:val="18"/>
        </w:rPr>
        <w:t>“Urbanismo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Social: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Gobernación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encabezada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Cristina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Bravo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(DC)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pidió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fundación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contratar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concejal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partido para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millonario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proyecto”.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Disponible</w:t>
      </w:r>
      <w:r>
        <w:rPr>
          <w:spacing w:val="-5"/>
          <w:sz w:val="18"/>
        </w:rPr>
        <w:t xml:space="preserve"> </w:t>
      </w:r>
      <w:r>
        <w:rPr>
          <w:sz w:val="18"/>
        </w:rPr>
        <w:t>en:</w:t>
      </w:r>
      <w:r>
        <w:rPr>
          <w:spacing w:val="-5"/>
          <w:sz w:val="18"/>
        </w:rPr>
        <w:t xml:space="preserve"> </w:t>
      </w:r>
      <w:r>
        <w:rPr>
          <w:sz w:val="18"/>
        </w:rPr>
        <w:t>https://</w:t>
      </w:r>
      <w:hyperlink r:id="rId7">
        <w:r>
          <w:rPr>
            <w:sz w:val="18"/>
          </w:rPr>
          <w:t>www.ex-ante.cl/urbanismo-social-gobernacion-encabezada-por-cristina-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bravo-dc-pidio-a-fundacion-contratar-a-concejal-del-partido-para-millonario-proyecto</w:t>
      </w:r>
      <w:r>
        <w:rPr>
          <w:spacing w:val="-2"/>
          <w:sz w:val="18"/>
        </w:rPr>
        <w:t>/</w:t>
      </w:r>
    </w:p>
    <w:p w:rsidR="002A1810" w:rsidRDefault="004B6EA2">
      <w:pPr>
        <w:spacing w:before="17"/>
        <w:ind w:left="199"/>
        <w:jc w:val="both"/>
        <w:rPr>
          <w:sz w:val="18"/>
        </w:rPr>
      </w:pPr>
      <w:r>
        <w:rPr>
          <w:rFonts w:ascii="Calibri"/>
          <w:w w:val="105"/>
          <w:sz w:val="18"/>
          <w:vertAlign w:val="superscript"/>
        </w:rPr>
        <w:t>3</w:t>
      </w:r>
      <w:r>
        <w:rPr>
          <w:rFonts w:ascii="Calibri"/>
          <w:spacing w:val="4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Idem.</w:t>
      </w:r>
    </w:p>
    <w:p w:rsidR="002A1810" w:rsidRDefault="004B6EA2">
      <w:pPr>
        <w:spacing w:before="25" w:line="242" w:lineRule="auto"/>
        <w:ind w:left="199" w:right="100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4</w:t>
      </w:r>
      <w:r>
        <w:rPr>
          <w:rFonts w:ascii="Calibri" w:hAnsi="Calibri"/>
          <w:sz w:val="18"/>
        </w:rPr>
        <w:t xml:space="preserve"> </w:t>
      </w:r>
      <w:r>
        <w:rPr>
          <w:i/>
          <w:sz w:val="18"/>
        </w:rPr>
        <w:t xml:space="preserve">“Proyecto de Urbanismo Social en el Maule consideraba más de $47 millones para actividades con coffee breaks”. </w:t>
      </w:r>
      <w:r>
        <w:rPr>
          <w:sz w:val="18"/>
        </w:rPr>
        <w:t xml:space="preserve">Disponible en: https://ellibero.cl/actualidad/proyecto-de-urbanismo-social-en-el-maule-consideraba-mas-de-47-millones- </w:t>
      </w:r>
      <w:r>
        <w:rPr>
          <w:spacing w:val="-2"/>
          <w:sz w:val="18"/>
        </w:rPr>
        <w:t>para-actividad</w:t>
      </w:r>
      <w:r>
        <w:rPr>
          <w:spacing w:val="-2"/>
          <w:sz w:val="18"/>
        </w:rPr>
        <w:t>es-con-coffee-breaks/</w:t>
      </w:r>
    </w:p>
    <w:p w:rsidR="002A1810" w:rsidRDefault="002A1810">
      <w:pPr>
        <w:spacing w:line="242" w:lineRule="auto"/>
        <w:jc w:val="both"/>
        <w:rPr>
          <w:sz w:val="18"/>
        </w:rPr>
        <w:sectPr w:rsidR="002A1810">
          <w:pgSz w:w="12240" w:h="15840"/>
          <w:pgMar w:top="1340" w:right="1600" w:bottom="280" w:left="1500" w:header="720" w:footer="720" w:gutter="0"/>
          <w:cols w:space="720"/>
        </w:sectPr>
      </w:pPr>
    </w:p>
    <w:p w:rsidR="002A1810" w:rsidRDefault="004B6EA2">
      <w:pPr>
        <w:pStyle w:val="Textoindependiente"/>
        <w:spacing w:before="72"/>
        <w:ind w:left="919" w:right="100"/>
        <w:jc w:val="both"/>
      </w:pPr>
      <w:r>
        <w:lastRenderedPageBreak/>
        <w:t>fines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fueron</w:t>
      </w:r>
      <w:r>
        <w:rPr>
          <w:spacing w:val="-11"/>
        </w:rPr>
        <w:t xml:space="preserve"> </w:t>
      </w:r>
      <w:r>
        <w:t>asignados</w:t>
      </w:r>
      <w:r>
        <w:rPr>
          <w:spacing w:val="-11"/>
        </w:rPr>
        <w:t xml:space="preserve"> </w:t>
      </w:r>
      <w:r>
        <w:t>-a</w:t>
      </w:r>
      <w:r>
        <w:rPr>
          <w:spacing w:val="-11"/>
        </w:rPr>
        <w:t xml:space="preserve"> </w:t>
      </w:r>
      <w:r>
        <w:t>iniciativas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favor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comunidad-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definitiva, se trata de un posible mecanismo para utilizar ilegalmente fondos públicos en actividades de proselitismo político.</w:t>
      </w:r>
    </w:p>
    <w:p w:rsidR="002A1810" w:rsidRDefault="002A1810">
      <w:pPr>
        <w:pStyle w:val="Textoindependiente"/>
      </w:pPr>
    </w:p>
    <w:p w:rsidR="002A1810" w:rsidRDefault="004B6EA2">
      <w:pPr>
        <w:pStyle w:val="Prrafodelista"/>
        <w:numPr>
          <w:ilvl w:val="0"/>
          <w:numId w:val="2"/>
        </w:numPr>
        <w:tabs>
          <w:tab w:val="left" w:pos="919"/>
        </w:tabs>
        <w:spacing w:before="1"/>
        <w:ind w:left="919" w:hanging="360"/>
        <w:jc w:val="both"/>
        <w:rPr>
          <w:sz w:val="24"/>
        </w:rPr>
      </w:pPr>
      <w:r>
        <w:rPr>
          <w:sz w:val="24"/>
        </w:rPr>
        <w:t>Así las cosas, la presente propuesta legislativa tiene por objeto que las asignaciones a proyectos de inversión y otras iniciat</w:t>
      </w:r>
      <w:r>
        <w:rPr>
          <w:sz w:val="24"/>
        </w:rPr>
        <w:t>ivas con montos de ejecución a partir de mil unidades tributarias mensuales -y no desde 7.000 como dispone la legislación vigente-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aprobadas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Consejeros</w:t>
      </w:r>
      <w:r>
        <w:rPr>
          <w:spacing w:val="-1"/>
          <w:sz w:val="24"/>
        </w:rPr>
        <w:t xml:space="preserve"> </w:t>
      </w:r>
      <w:r>
        <w:rPr>
          <w:sz w:val="24"/>
        </w:rPr>
        <w:t>Regionales,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éstos</w:t>
      </w:r>
      <w:r>
        <w:rPr>
          <w:spacing w:val="-1"/>
          <w:sz w:val="24"/>
        </w:rPr>
        <w:t xml:space="preserve"> </w:t>
      </w:r>
      <w:r>
        <w:rPr>
          <w:sz w:val="24"/>
        </w:rPr>
        <w:t>puedan pronunciarse sobre una mayor cantidad de casos y, de</w:t>
      </w:r>
      <w:r>
        <w:rPr>
          <w:sz w:val="24"/>
        </w:rPr>
        <w:t xml:space="preserve"> esta forma, garantizar un procedimiento con instancias y mecanismos de evaluación y fiscalización que aseguren la imparcialidad, la conveniencia y la pertinencia de las transferencias de recursos públicos.</w:t>
      </w:r>
    </w:p>
    <w:p w:rsidR="002A1810" w:rsidRDefault="002A1810">
      <w:pPr>
        <w:pStyle w:val="Textoindependiente"/>
        <w:rPr>
          <w:sz w:val="26"/>
        </w:rPr>
      </w:pPr>
    </w:p>
    <w:p w:rsidR="002A1810" w:rsidRDefault="002A1810">
      <w:pPr>
        <w:pStyle w:val="Textoindependiente"/>
        <w:rPr>
          <w:sz w:val="22"/>
        </w:rPr>
      </w:pPr>
    </w:p>
    <w:p w:rsidR="002A1810" w:rsidRDefault="004B6EA2">
      <w:pPr>
        <w:pStyle w:val="Textoindependiente"/>
        <w:spacing w:line="242" w:lineRule="auto"/>
        <w:ind w:left="199"/>
      </w:pPr>
      <w:r>
        <w:t>En mérito de lo expuesto, los diputados que sus</w:t>
      </w:r>
      <w:r>
        <w:t>criben vienen en someter a la consideración del Congreso Nacional el siguiente:</w:t>
      </w:r>
    </w:p>
    <w:p w:rsidR="002A1810" w:rsidRDefault="002A1810">
      <w:pPr>
        <w:pStyle w:val="Textoindependiente"/>
        <w:rPr>
          <w:sz w:val="26"/>
        </w:rPr>
      </w:pPr>
    </w:p>
    <w:p w:rsidR="002A1810" w:rsidRDefault="002A1810">
      <w:pPr>
        <w:pStyle w:val="Textoindependiente"/>
        <w:rPr>
          <w:sz w:val="26"/>
        </w:rPr>
      </w:pPr>
    </w:p>
    <w:p w:rsidR="002A1810" w:rsidRDefault="004B6EA2">
      <w:pPr>
        <w:pStyle w:val="Ttulo1"/>
        <w:spacing w:before="227"/>
        <w:ind w:left="3781" w:right="3685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2A1810" w:rsidRDefault="002A1810">
      <w:pPr>
        <w:pStyle w:val="Textoindependiente"/>
        <w:spacing w:before="2"/>
        <w:rPr>
          <w:b/>
        </w:rPr>
      </w:pPr>
    </w:p>
    <w:p w:rsidR="002A1810" w:rsidRDefault="004B6EA2">
      <w:pPr>
        <w:pStyle w:val="Textoindependiente"/>
        <w:spacing w:line="237" w:lineRule="auto"/>
        <w:ind w:left="199"/>
      </w:pPr>
      <w:r>
        <w:rPr>
          <w:b/>
        </w:rPr>
        <w:t>Artículo</w:t>
      </w:r>
      <w:r>
        <w:rPr>
          <w:b/>
          <w:spacing w:val="30"/>
        </w:rPr>
        <w:t xml:space="preserve"> </w:t>
      </w:r>
      <w:r>
        <w:rPr>
          <w:b/>
        </w:rPr>
        <w:t>Único:</w:t>
      </w:r>
      <w:r>
        <w:rPr>
          <w:b/>
          <w:spacing w:val="30"/>
        </w:rPr>
        <w:t xml:space="preserve"> </w:t>
      </w:r>
      <w:r>
        <w:t>Introdúzcase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siguientes</w:t>
      </w:r>
      <w:r>
        <w:rPr>
          <w:spacing w:val="30"/>
        </w:rPr>
        <w:t xml:space="preserve"> </w:t>
      </w:r>
      <w:r>
        <w:t>modificaciones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30"/>
        </w:rPr>
        <w:t xml:space="preserve"> </w:t>
      </w:r>
      <w:r>
        <w:t>N°19.175,</w:t>
      </w:r>
      <w:r>
        <w:rPr>
          <w:spacing w:val="30"/>
        </w:rPr>
        <w:t xml:space="preserve"> </w:t>
      </w:r>
      <w:r>
        <w:t>Orgánica Constitucional sobre Gobierno y Administración Regional:</w:t>
      </w:r>
    </w:p>
    <w:p w:rsidR="002A1810" w:rsidRDefault="002A1810">
      <w:pPr>
        <w:pStyle w:val="Textoindependiente"/>
        <w:spacing w:before="1"/>
      </w:pPr>
    </w:p>
    <w:p w:rsidR="002A1810" w:rsidRDefault="004B6EA2">
      <w:pPr>
        <w:pStyle w:val="Prrafodelista"/>
        <w:numPr>
          <w:ilvl w:val="0"/>
          <w:numId w:val="1"/>
        </w:numPr>
        <w:tabs>
          <w:tab w:val="left" w:pos="426"/>
        </w:tabs>
        <w:ind w:right="0" w:hanging="227"/>
        <w:rPr>
          <w:sz w:val="24"/>
        </w:rPr>
      </w:pPr>
      <w:r>
        <w:rPr>
          <w:sz w:val="24"/>
        </w:rPr>
        <w:t>Sustitúyase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literal</w:t>
      </w:r>
      <w:r>
        <w:rPr>
          <w:spacing w:val="-14"/>
          <w:sz w:val="24"/>
        </w:rPr>
        <w:t xml:space="preserve"> </w:t>
      </w:r>
      <w:r>
        <w:rPr>
          <w:sz w:val="24"/>
        </w:rPr>
        <w:t>e),</w:t>
      </w:r>
      <w:r>
        <w:rPr>
          <w:spacing w:val="-14"/>
          <w:sz w:val="24"/>
        </w:rPr>
        <w:t xml:space="preserve"> </w:t>
      </w:r>
      <w:r>
        <w:rPr>
          <w:sz w:val="24"/>
        </w:rPr>
        <w:t>inciso</w:t>
      </w:r>
      <w:r>
        <w:rPr>
          <w:spacing w:val="-14"/>
          <w:sz w:val="24"/>
        </w:rPr>
        <w:t xml:space="preserve"> </w:t>
      </w:r>
      <w:r>
        <w:rPr>
          <w:sz w:val="24"/>
        </w:rPr>
        <w:t>segundo,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36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guarismo</w:t>
      </w:r>
      <w:r>
        <w:rPr>
          <w:spacing w:val="-14"/>
          <w:sz w:val="24"/>
        </w:rPr>
        <w:t xml:space="preserve"> </w:t>
      </w:r>
      <w:r>
        <w:rPr>
          <w:sz w:val="24"/>
        </w:rPr>
        <w:t>“7.000”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“1.000”.</w:t>
      </w:r>
    </w:p>
    <w:p w:rsidR="002A1810" w:rsidRDefault="002A1810">
      <w:pPr>
        <w:pStyle w:val="Textoindependiente"/>
      </w:pPr>
    </w:p>
    <w:p w:rsidR="002A1810" w:rsidRDefault="004B6EA2">
      <w:pPr>
        <w:pStyle w:val="Prrafodelista"/>
        <w:numPr>
          <w:ilvl w:val="0"/>
          <w:numId w:val="1"/>
        </w:numPr>
        <w:tabs>
          <w:tab w:val="left" w:pos="439"/>
        </w:tabs>
        <w:ind w:left="439" w:right="0" w:hanging="240"/>
        <w:rPr>
          <w:sz w:val="24"/>
        </w:rPr>
      </w:pPr>
      <w:r>
        <w:rPr>
          <w:sz w:val="24"/>
        </w:rPr>
        <w:t>Sustitúyase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cuarto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guarismo</w:t>
      </w:r>
      <w:r>
        <w:rPr>
          <w:spacing w:val="-1"/>
          <w:sz w:val="24"/>
        </w:rPr>
        <w:t xml:space="preserve"> </w:t>
      </w:r>
      <w:r>
        <w:rPr>
          <w:sz w:val="24"/>
        </w:rPr>
        <w:t>“7.000”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“1.000”.</w:t>
      </w:r>
    </w:p>
    <w:sectPr w:rsidR="002A1810">
      <w:pgSz w:w="12240" w:h="15840"/>
      <w:pgMar w:top="1340" w:right="1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95166"/>
    <w:multiLevelType w:val="hybridMultilevel"/>
    <w:tmpl w:val="F698A7F6"/>
    <w:lvl w:ilvl="0" w:tplc="347ABE0C">
      <w:start w:val="1"/>
      <w:numFmt w:val="decimal"/>
      <w:lvlText w:val="%1."/>
      <w:lvlJc w:val="left"/>
      <w:pPr>
        <w:ind w:left="426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01A2538">
      <w:numFmt w:val="bullet"/>
      <w:lvlText w:val="•"/>
      <w:lvlJc w:val="left"/>
      <w:pPr>
        <w:ind w:left="1292" w:hanging="228"/>
      </w:pPr>
      <w:rPr>
        <w:rFonts w:hint="default"/>
        <w:lang w:val="es-ES" w:eastAsia="en-US" w:bidi="ar-SA"/>
      </w:rPr>
    </w:lvl>
    <w:lvl w:ilvl="2" w:tplc="551692D2">
      <w:numFmt w:val="bullet"/>
      <w:lvlText w:val="•"/>
      <w:lvlJc w:val="left"/>
      <w:pPr>
        <w:ind w:left="2164" w:hanging="228"/>
      </w:pPr>
      <w:rPr>
        <w:rFonts w:hint="default"/>
        <w:lang w:val="es-ES" w:eastAsia="en-US" w:bidi="ar-SA"/>
      </w:rPr>
    </w:lvl>
    <w:lvl w:ilvl="3" w:tplc="2FDC7656">
      <w:numFmt w:val="bullet"/>
      <w:lvlText w:val="•"/>
      <w:lvlJc w:val="left"/>
      <w:pPr>
        <w:ind w:left="3036" w:hanging="228"/>
      </w:pPr>
      <w:rPr>
        <w:rFonts w:hint="default"/>
        <w:lang w:val="es-ES" w:eastAsia="en-US" w:bidi="ar-SA"/>
      </w:rPr>
    </w:lvl>
    <w:lvl w:ilvl="4" w:tplc="1D2EB2BE">
      <w:numFmt w:val="bullet"/>
      <w:lvlText w:val="•"/>
      <w:lvlJc w:val="left"/>
      <w:pPr>
        <w:ind w:left="3908" w:hanging="228"/>
      </w:pPr>
      <w:rPr>
        <w:rFonts w:hint="default"/>
        <w:lang w:val="es-ES" w:eastAsia="en-US" w:bidi="ar-SA"/>
      </w:rPr>
    </w:lvl>
    <w:lvl w:ilvl="5" w:tplc="A844AE82">
      <w:numFmt w:val="bullet"/>
      <w:lvlText w:val="•"/>
      <w:lvlJc w:val="left"/>
      <w:pPr>
        <w:ind w:left="4780" w:hanging="228"/>
      </w:pPr>
      <w:rPr>
        <w:rFonts w:hint="default"/>
        <w:lang w:val="es-ES" w:eastAsia="en-US" w:bidi="ar-SA"/>
      </w:rPr>
    </w:lvl>
    <w:lvl w:ilvl="6" w:tplc="4EAED0F2">
      <w:numFmt w:val="bullet"/>
      <w:lvlText w:val="•"/>
      <w:lvlJc w:val="left"/>
      <w:pPr>
        <w:ind w:left="5652" w:hanging="228"/>
      </w:pPr>
      <w:rPr>
        <w:rFonts w:hint="default"/>
        <w:lang w:val="es-ES" w:eastAsia="en-US" w:bidi="ar-SA"/>
      </w:rPr>
    </w:lvl>
    <w:lvl w:ilvl="7" w:tplc="8140D51A">
      <w:numFmt w:val="bullet"/>
      <w:lvlText w:val="•"/>
      <w:lvlJc w:val="left"/>
      <w:pPr>
        <w:ind w:left="6524" w:hanging="228"/>
      </w:pPr>
      <w:rPr>
        <w:rFonts w:hint="default"/>
        <w:lang w:val="es-ES" w:eastAsia="en-US" w:bidi="ar-SA"/>
      </w:rPr>
    </w:lvl>
    <w:lvl w:ilvl="8" w:tplc="F06E2D98">
      <w:numFmt w:val="bullet"/>
      <w:lvlText w:val="•"/>
      <w:lvlJc w:val="left"/>
      <w:pPr>
        <w:ind w:left="7396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50907462"/>
    <w:multiLevelType w:val="hybridMultilevel"/>
    <w:tmpl w:val="42BED120"/>
    <w:lvl w:ilvl="0" w:tplc="6C8C8E70">
      <w:start w:val="1"/>
      <w:numFmt w:val="decimal"/>
      <w:lvlText w:val="%1."/>
      <w:lvlJc w:val="left"/>
      <w:pPr>
        <w:ind w:left="913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7A669A8">
      <w:numFmt w:val="bullet"/>
      <w:lvlText w:val="•"/>
      <w:lvlJc w:val="left"/>
      <w:pPr>
        <w:ind w:left="1742" w:hanging="357"/>
      </w:pPr>
      <w:rPr>
        <w:rFonts w:hint="default"/>
        <w:lang w:val="es-ES" w:eastAsia="en-US" w:bidi="ar-SA"/>
      </w:rPr>
    </w:lvl>
    <w:lvl w:ilvl="2" w:tplc="AD703EC6">
      <w:numFmt w:val="bullet"/>
      <w:lvlText w:val="•"/>
      <w:lvlJc w:val="left"/>
      <w:pPr>
        <w:ind w:left="2564" w:hanging="357"/>
      </w:pPr>
      <w:rPr>
        <w:rFonts w:hint="default"/>
        <w:lang w:val="es-ES" w:eastAsia="en-US" w:bidi="ar-SA"/>
      </w:rPr>
    </w:lvl>
    <w:lvl w:ilvl="3" w:tplc="88221228">
      <w:numFmt w:val="bullet"/>
      <w:lvlText w:val="•"/>
      <w:lvlJc w:val="left"/>
      <w:pPr>
        <w:ind w:left="3386" w:hanging="357"/>
      </w:pPr>
      <w:rPr>
        <w:rFonts w:hint="default"/>
        <w:lang w:val="es-ES" w:eastAsia="en-US" w:bidi="ar-SA"/>
      </w:rPr>
    </w:lvl>
    <w:lvl w:ilvl="4" w:tplc="0660E4F6">
      <w:numFmt w:val="bullet"/>
      <w:lvlText w:val="•"/>
      <w:lvlJc w:val="left"/>
      <w:pPr>
        <w:ind w:left="4208" w:hanging="357"/>
      </w:pPr>
      <w:rPr>
        <w:rFonts w:hint="default"/>
        <w:lang w:val="es-ES" w:eastAsia="en-US" w:bidi="ar-SA"/>
      </w:rPr>
    </w:lvl>
    <w:lvl w:ilvl="5" w:tplc="50D2F7C2">
      <w:numFmt w:val="bullet"/>
      <w:lvlText w:val="•"/>
      <w:lvlJc w:val="left"/>
      <w:pPr>
        <w:ind w:left="5030" w:hanging="357"/>
      </w:pPr>
      <w:rPr>
        <w:rFonts w:hint="default"/>
        <w:lang w:val="es-ES" w:eastAsia="en-US" w:bidi="ar-SA"/>
      </w:rPr>
    </w:lvl>
    <w:lvl w:ilvl="6" w:tplc="6C52E402">
      <w:numFmt w:val="bullet"/>
      <w:lvlText w:val="•"/>
      <w:lvlJc w:val="left"/>
      <w:pPr>
        <w:ind w:left="5852" w:hanging="357"/>
      </w:pPr>
      <w:rPr>
        <w:rFonts w:hint="default"/>
        <w:lang w:val="es-ES" w:eastAsia="en-US" w:bidi="ar-SA"/>
      </w:rPr>
    </w:lvl>
    <w:lvl w:ilvl="7" w:tplc="B0486C1E">
      <w:numFmt w:val="bullet"/>
      <w:lvlText w:val="•"/>
      <w:lvlJc w:val="left"/>
      <w:pPr>
        <w:ind w:left="6674" w:hanging="357"/>
      </w:pPr>
      <w:rPr>
        <w:rFonts w:hint="default"/>
        <w:lang w:val="es-ES" w:eastAsia="en-US" w:bidi="ar-SA"/>
      </w:rPr>
    </w:lvl>
    <w:lvl w:ilvl="8" w:tplc="2ED05476">
      <w:numFmt w:val="bullet"/>
      <w:lvlText w:val="•"/>
      <w:lvlJc w:val="left"/>
      <w:pPr>
        <w:ind w:left="7496" w:hanging="35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810"/>
    <w:rsid w:val="002A1810"/>
    <w:rsid w:val="004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9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19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-ante.cl/urbanismo-social-gobernacion-encabezada-por-cristin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13.cl/noticia/politica/ex-ante/caso-antofagasta-las-platas-fundacion-vinculada-rd-salpican-ahora-al-maule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6377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2023-08-04T18:43:00Z</dcterms:created>
  <dcterms:modified xsi:type="dcterms:W3CDTF">2023-08-09T15:01:00Z</dcterms:modified>
</cp:coreProperties>
</file>