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B4B" w:rsidRDefault="007D2613">
      <w:pPr>
        <w:pStyle w:val="Textoindependiente"/>
        <w:ind w:left="3615"/>
        <w:rPr>
          <w:rFonts w:ascii="Times New Roman"/>
          <w:sz w:val="20"/>
        </w:rPr>
      </w:pPr>
      <w:r>
        <w:rPr>
          <w:rFonts w:ascii="Times New Roman"/>
          <w:noProof/>
          <w:sz w:val="20"/>
        </w:rPr>
        <w:drawing>
          <wp:inline distT="0" distB="0" distL="0" distR="0">
            <wp:extent cx="1161325" cy="11064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1325" cy="1106424"/>
                    </a:xfrm>
                    <a:prstGeom prst="rect">
                      <a:avLst/>
                    </a:prstGeom>
                  </pic:spPr>
                </pic:pic>
              </a:graphicData>
            </a:graphic>
          </wp:inline>
        </w:drawing>
      </w:r>
    </w:p>
    <w:p w:rsidR="00520B4B" w:rsidRDefault="00520B4B">
      <w:pPr>
        <w:pStyle w:val="Textoindependiente"/>
        <w:rPr>
          <w:rFonts w:ascii="Times New Roman"/>
          <w:sz w:val="20"/>
        </w:rPr>
      </w:pPr>
    </w:p>
    <w:p w:rsidR="00520B4B" w:rsidRDefault="00520B4B">
      <w:pPr>
        <w:pStyle w:val="Textoindependiente"/>
        <w:rPr>
          <w:rFonts w:ascii="Times New Roman"/>
          <w:sz w:val="20"/>
        </w:rPr>
      </w:pPr>
    </w:p>
    <w:p w:rsidR="00520B4B" w:rsidRDefault="00520B4B">
      <w:pPr>
        <w:pStyle w:val="Textoindependiente"/>
        <w:rPr>
          <w:rFonts w:ascii="Times New Roman"/>
          <w:sz w:val="20"/>
        </w:rPr>
      </w:pPr>
    </w:p>
    <w:p w:rsidR="00520B4B" w:rsidRDefault="00520B4B">
      <w:pPr>
        <w:pStyle w:val="Textoindependiente"/>
        <w:rPr>
          <w:rFonts w:ascii="Times New Roman"/>
          <w:sz w:val="20"/>
        </w:rPr>
      </w:pPr>
    </w:p>
    <w:p w:rsidR="00520B4B" w:rsidRDefault="00520B4B">
      <w:pPr>
        <w:pStyle w:val="Textoindependiente"/>
        <w:spacing w:before="1"/>
        <w:rPr>
          <w:rFonts w:ascii="Times New Roman"/>
          <w:sz w:val="18"/>
        </w:rPr>
      </w:pPr>
    </w:p>
    <w:p w:rsidR="00520B4B" w:rsidRDefault="007D2613">
      <w:pPr>
        <w:spacing w:before="55" w:line="400" w:lineRule="auto"/>
        <w:ind w:left="101" w:right="118"/>
        <w:jc w:val="both"/>
        <w:rPr>
          <w:b/>
        </w:rPr>
      </w:pPr>
      <w:r>
        <w:rPr>
          <w:b/>
        </w:rPr>
        <w:t>PROYECTO DE LEY QUE MODIFICA EL CÓDIGO PROCESAL PENAL Y LA LEY ORGÁNICA CONSTITUCIONAL DEL MINISTERIO PÚBLICO PERMITIENDO A LOS ASISTENTES DE FISCAL COMPARECER A AUDIENCIAS DE JUICIO ORAL</w:t>
      </w:r>
    </w:p>
    <w:p w:rsidR="00520B4B" w:rsidRDefault="00520B4B">
      <w:pPr>
        <w:pStyle w:val="Textoindependiente"/>
        <w:spacing w:before="8"/>
        <w:rPr>
          <w:b/>
          <w:sz w:val="31"/>
        </w:rPr>
      </w:pPr>
    </w:p>
    <w:p w:rsidR="00520B4B" w:rsidRDefault="007D2613">
      <w:pPr>
        <w:pStyle w:val="Prrafodelista"/>
        <w:numPr>
          <w:ilvl w:val="0"/>
          <w:numId w:val="1"/>
        </w:numPr>
        <w:tabs>
          <w:tab w:val="left" w:pos="1182"/>
        </w:tabs>
        <w:rPr>
          <w:b/>
        </w:rPr>
      </w:pPr>
      <w:r>
        <w:rPr>
          <w:b/>
        </w:rPr>
        <w:t>Ideas</w:t>
      </w:r>
      <w:r>
        <w:rPr>
          <w:b/>
          <w:spacing w:val="-7"/>
        </w:rPr>
        <w:t xml:space="preserve"> </w:t>
      </w:r>
      <w:r>
        <w:rPr>
          <w:b/>
          <w:spacing w:val="-2"/>
        </w:rPr>
        <w:t>Generales</w:t>
      </w:r>
    </w:p>
    <w:p w:rsidR="00520B4B" w:rsidRDefault="00520B4B">
      <w:pPr>
        <w:pStyle w:val="Textoindependiente"/>
        <w:rPr>
          <w:b/>
        </w:rPr>
      </w:pPr>
    </w:p>
    <w:p w:rsidR="00520B4B" w:rsidRDefault="00520B4B">
      <w:pPr>
        <w:pStyle w:val="Textoindependiente"/>
        <w:rPr>
          <w:b/>
        </w:rPr>
      </w:pPr>
    </w:p>
    <w:p w:rsidR="00520B4B" w:rsidRDefault="007D2613">
      <w:pPr>
        <w:pStyle w:val="Prrafodelista"/>
        <w:numPr>
          <w:ilvl w:val="1"/>
          <w:numId w:val="1"/>
        </w:numPr>
        <w:tabs>
          <w:tab w:val="left" w:pos="820"/>
        </w:tabs>
        <w:spacing w:before="165"/>
        <w:ind w:left="820" w:hanging="359"/>
        <w:rPr>
          <w:b/>
        </w:rPr>
      </w:pPr>
      <w:r>
        <w:rPr>
          <w:b/>
        </w:rPr>
        <w:t>Antecedentes</w:t>
      </w:r>
      <w:r>
        <w:rPr>
          <w:b/>
          <w:spacing w:val="-13"/>
        </w:rPr>
        <w:t xml:space="preserve"> </w:t>
      </w:r>
      <w:r>
        <w:rPr>
          <w:b/>
          <w:spacing w:val="-2"/>
        </w:rPr>
        <w:t>generales</w:t>
      </w:r>
    </w:p>
    <w:p w:rsidR="00520B4B" w:rsidRDefault="00520B4B">
      <w:pPr>
        <w:pStyle w:val="Textoindependiente"/>
        <w:rPr>
          <w:b/>
        </w:rPr>
      </w:pPr>
    </w:p>
    <w:p w:rsidR="00520B4B" w:rsidRDefault="00520B4B">
      <w:pPr>
        <w:pStyle w:val="Textoindependiente"/>
        <w:spacing w:before="1"/>
        <w:rPr>
          <w:b/>
        </w:rPr>
      </w:pPr>
    </w:p>
    <w:p w:rsidR="00520B4B" w:rsidRDefault="007D2613">
      <w:pPr>
        <w:pStyle w:val="Textoindependiente"/>
        <w:spacing w:line="280" w:lineRule="auto"/>
        <w:ind w:left="101" w:right="117"/>
        <w:jc w:val="both"/>
      </w:pPr>
      <w:r>
        <w:t xml:space="preserve">Desde su implementación </w:t>
      </w:r>
      <w:r>
        <w:t>con la reforma procesal penal, se ha vuelto vital para el éxito de la persecución penal el rol que ha tomado el Ministerio Público como organismo que</w:t>
      </w:r>
      <w:r>
        <w:rPr>
          <w:spacing w:val="40"/>
        </w:rPr>
        <w:t xml:space="preserve"> </w:t>
      </w:r>
      <w:r>
        <w:t>dirige de forma exclusiva la investigación. Así, habiendo reemplazado las funciones de investigar y acusar</w:t>
      </w:r>
      <w:r>
        <w:t xml:space="preserve"> que antiguamente se encontraban radicadas en los Juzgados del Crimen, esta institución se elevó en nuestro sistema como el único organismo capacitado para dirigir la investigación de los delitos, y de ejercer la acción penal pública, tal como consta en el</w:t>
      </w:r>
      <w:r>
        <w:t xml:space="preserve"> artículo 1° de su Ley Orgánica Constitucional.</w:t>
      </w:r>
    </w:p>
    <w:p w:rsidR="00520B4B" w:rsidRDefault="007D2613">
      <w:pPr>
        <w:pStyle w:val="Textoindependiente"/>
        <w:spacing w:before="164" w:line="280" w:lineRule="auto"/>
        <w:ind w:left="101" w:right="116"/>
        <w:jc w:val="both"/>
      </w:pPr>
      <w:r>
        <w:t>Ahora bien, no es desconocido que la gran cantidad de denuncias por crímenes, simples delitos y faltas que ingresan diariamente a las Fiscalías de nuestro país han llevado a una verdadera saturación del siste</w:t>
      </w:r>
      <w:r>
        <w:t>ma, el que no está dando a basto para resolver con eficacia las causas.</w:t>
      </w:r>
    </w:p>
    <w:p w:rsidR="00520B4B" w:rsidRDefault="007D2613">
      <w:pPr>
        <w:spacing w:before="160" w:line="288" w:lineRule="auto"/>
        <w:ind w:left="101" w:right="116"/>
        <w:jc w:val="both"/>
        <w:rPr>
          <w:i/>
        </w:rPr>
      </w:pPr>
      <w:r>
        <w:t>Tal</w:t>
      </w:r>
      <w:r>
        <w:rPr>
          <w:spacing w:val="-2"/>
        </w:rPr>
        <w:t xml:space="preserve"> </w:t>
      </w:r>
      <w:r>
        <w:t>como</w:t>
      </w:r>
      <w:r>
        <w:rPr>
          <w:spacing w:val="-4"/>
        </w:rPr>
        <w:t xml:space="preserve"> </w:t>
      </w:r>
      <w:r>
        <w:t>lo</w:t>
      </w:r>
      <w:r>
        <w:rPr>
          <w:spacing w:val="-1"/>
        </w:rPr>
        <w:t xml:space="preserve"> </w:t>
      </w:r>
      <w:r>
        <w:t>ha</w:t>
      </w:r>
      <w:r>
        <w:rPr>
          <w:spacing w:val="-4"/>
        </w:rPr>
        <w:t xml:space="preserve"> </w:t>
      </w:r>
      <w:r>
        <w:t>señalado</w:t>
      </w:r>
      <w:r>
        <w:rPr>
          <w:spacing w:val="-4"/>
        </w:rPr>
        <w:t xml:space="preserve"> </w:t>
      </w:r>
      <w:r>
        <w:t>Francisco</w:t>
      </w:r>
      <w:r>
        <w:rPr>
          <w:spacing w:val="-1"/>
        </w:rPr>
        <w:t xml:space="preserve"> </w:t>
      </w:r>
      <w:r>
        <w:t>Bravo,</w:t>
      </w:r>
      <w:r>
        <w:rPr>
          <w:spacing w:val="-2"/>
        </w:rPr>
        <w:t xml:space="preserve"> </w:t>
      </w:r>
      <w:r>
        <w:t>Presidente</w:t>
      </w:r>
      <w:r>
        <w:rPr>
          <w:spacing w:val="-2"/>
        </w:rPr>
        <w:t xml:space="preserve"> </w:t>
      </w:r>
      <w:r>
        <w:t>de</w:t>
      </w:r>
      <w:r>
        <w:rPr>
          <w:spacing w:val="-2"/>
        </w:rPr>
        <w:t xml:space="preserve"> </w:t>
      </w:r>
      <w:r>
        <w:t>la</w:t>
      </w:r>
      <w:r>
        <w:rPr>
          <w:spacing w:val="-4"/>
        </w:rPr>
        <w:t xml:space="preserve"> </w:t>
      </w:r>
      <w:r>
        <w:t>Asociación Nacional</w:t>
      </w:r>
      <w:r>
        <w:rPr>
          <w:spacing w:val="-5"/>
        </w:rPr>
        <w:t xml:space="preserve"> </w:t>
      </w:r>
      <w:r>
        <w:t>de Fiscales, “</w:t>
      </w:r>
      <w:r>
        <w:rPr>
          <w:i/>
        </w:rPr>
        <w:t>los persecutores no están en condiciones de hacer un trabajo óptimo debido a la gran cantidad de causas que deben atender, lo que merma "la calidad del servicio de justicia", en un contexto en que "los delitos se duplicaron en la última década". […] De acu</w:t>
      </w:r>
      <w:r>
        <w:rPr>
          <w:i/>
        </w:rPr>
        <w:t>erdo a la medición, los persecutores que se desempeñan en O'Higgins, Arica y Parinacota y Los Lagos son los más afectados. Así, por ejemplo,</w:t>
      </w:r>
      <w:r>
        <w:rPr>
          <w:i/>
          <w:spacing w:val="62"/>
        </w:rPr>
        <w:t xml:space="preserve"> </w:t>
      </w:r>
      <w:r>
        <w:rPr>
          <w:i/>
        </w:rPr>
        <w:t>los</w:t>
      </w:r>
      <w:r>
        <w:rPr>
          <w:i/>
          <w:spacing w:val="61"/>
        </w:rPr>
        <w:t xml:space="preserve"> </w:t>
      </w:r>
      <w:r>
        <w:rPr>
          <w:i/>
        </w:rPr>
        <w:t>19</w:t>
      </w:r>
      <w:r>
        <w:rPr>
          <w:i/>
          <w:spacing w:val="63"/>
        </w:rPr>
        <w:t xml:space="preserve"> </w:t>
      </w:r>
      <w:r>
        <w:rPr>
          <w:i/>
        </w:rPr>
        <w:t>profesionales</w:t>
      </w:r>
      <w:r>
        <w:rPr>
          <w:i/>
          <w:spacing w:val="65"/>
        </w:rPr>
        <w:t xml:space="preserve"> </w:t>
      </w:r>
      <w:r>
        <w:rPr>
          <w:i/>
        </w:rPr>
        <w:t>de</w:t>
      </w:r>
      <w:r>
        <w:rPr>
          <w:i/>
          <w:spacing w:val="61"/>
        </w:rPr>
        <w:t xml:space="preserve"> </w:t>
      </w:r>
      <w:r>
        <w:rPr>
          <w:i/>
        </w:rPr>
        <w:t>Arica</w:t>
      </w:r>
      <w:r>
        <w:rPr>
          <w:i/>
          <w:spacing w:val="61"/>
        </w:rPr>
        <w:t xml:space="preserve"> </w:t>
      </w:r>
      <w:r>
        <w:rPr>
          <w:i/>
        </w:rPr>
        <w:t>tienen</w:t>
      </w:r>
      <w:r>
        <w:rPr>
          <w:i/>
          <w:spacing w:val="62"/>
        </w:rPr>
        <w:t xml:space="preserve"> </w:t>
      </w:r>
      <w:r>
        <w:rPr>
          <w:i/>
        </w:rPr>
        <w:t>en</w:t>
      </w:r>
      <w:r>
        <w:rPr>
          <w:i/>
          <w:spacing w:val="62"/>
        </w:rPr>
        <w:t xml:space="preserve"> </w:t>
      </w:r>
      <w:r>
        <w:rPr>
          <w:i/>
        </w:rPr>
        <w:t>promedio</w:t>
      </w:r>
      <w:r>
        <w:rPr>
          <w:i/>
          <w:spacing w:val="64"/>
        </w:rPr>
        <w:t xml:space="preserve"> </w:t>
      </w:r>
      <w:r>
        <w:rPr>
          <w:i/>
        </w:rPr>
        <w:t>1.485</w:t>
      </w:r>
      <w:r>
        <w:rPr>
          <w:i/>
          <w:spacing w:val="64"/>
        </w:rPr>
        <w:t xml:space="preserve"> </w:t>
      </w:r>
      <w:r>
        <w:rPr>
          <w:i/>
        </w:rPr>
        <w:t>procesos</w:t>
      </w:r>
      <w:r>
        <w:rPr>
          <w:i/>
          <w:spacing w:val="61"/>
        </w:rPr>
        <w:t xml:space="preserve"> </w:t>
      </w:r>
      <w:r>
        <w:rPr>
          <w:i/>
        </w:rPr>
        <w:t>al</w:t>
      </w:r>
      <w:r>
        <w:rPr>
          <w:i/>
          <w:spacing w:val="64"/>
        </w:rPr>
        <w:t xml:space="preserve"> </w:t>
      </w:r>
      <w:r>
        <w:rPr>
          <w:i/>
        </w:rPr>
        <w:t>año,</w:t>
      </w:r>
      <w:r>
        <w:rPr>
          <w:i/>
          <w:spacing w:val="61"/>
        </w:rPr>
        <w:t xml:space="preserve"> </w:t>
      </w:r>
      <w:r>
        <w:rPr>
          <w:i/>
        </w:rPr>
        <w:t>los</w:t>
      </w:r>
      <w:r>
        <w:rPr>
          <w:i/>
          <w:spacing w:val="59"/>
        </w:rPr>
        <w:t xml:space="preserve"> </w:t>
      </w:r>
      <w:r>
        <w:rPr>
          <w:i/>
        </w:rPr>
        <w:t>31</w:t>
      </w:r>
      <w:r>
        <w:rPr>
          <w:i/>
          <w:spacing w:val="65"/>
        </w:rPr>
        <w:t xml:space="preserve"> </w:t>
      </w:r>
      <w:r>
        <w:rPr>
          <w:i/>
          <w:spacing w:val="-5"/>
        </w:rPr>
        <w:t>de</w:t>
      </w:r>
    </w:p>
    <w:p w:rsidR="00520B4B" w:rsidRDefault="00520B4B">
      <w:pPr>
        <w:spacing w:line="288" w:lineRule="auto"/>
        <w:jc w:val="both"/>
        <w:sectPr w:rsidR="00520B4B">
          <w:type w:val="continuous"/>
          <w:pgSz w:w="12240" w:h="15840"/>
          <w:pgMar w:top="1660" w:right="1580" w:bottom="280" w:left="1600" w:header="720" w:footer="720" w:gutter="0"/>
          <w:cols w:space="720"/>
        </w:sectPr>
      </w:pPr>
    </w:p>
    <w:p w:rsidR="00520B4B" w:rsidRDefault="007D2613">
      <w:pPr>
        <w:spacing w:before="42" w:line="283" w:lineRule="auto"/>
        <w:ind w:left="101" w:right="119"/>
        <w:jc w:val="both"/>
      </w:pPr>
      <w:r>
        <w:rPr>
          <w:i/>
        </w:rPr>
        <w:lastRenderedPageBreak/>
        <w:t>O'Higgins 1.926 y los 32 de Los Lagos 1.723, mientras que en</w:t>
      </w:r>
      <w:r>
        <w:rPr>
          <w:i/>
          <w:spacing w:val="-1"/>
        </w:rPr>
        <w:t xml:space="preserve"> </w:t>
      </w:r>
      <w:r>
        <w:rPr>
          <w:i/>
        </w:rPr>
        <w:t>Magallanes 10 persecutores tienen a su cargo 612 causas cada uno</w:t>
      </w:r>
      <w:r>
        <w:t>”</w:t>
      </w:r>
      <w:r>
        <w:rPr>
          <w:vertAlign w:val="superscript"/>
        </w:rPr>
        <w:t>1</w:t>
      </w:r>
      <w:r>
        <w:t xml:space="preserve"> .</w:t>
      </w:r>
    </w:p>
    <w:p w:rsidR="00520B4B" w:rsidRDefault="007D2613">
      <w:pPr>
        <w:pStyle w:val="Textoindependiente"/>
        <w:spacing w:before="159" w:line="280" w:lineRule="auto"/>
        <w:ind w:left="101" w:right="117"/>
        <w:jc w:val="both"/>
      </w:pPr>
      <w:r>
        <w:t>Esta realidad se repite a lo largo del país, e implica que, ante la gran cantidad de causas que efectivamente se investigan, y</w:t>
      </w:r>
      <w:r>
        <w:t xml:space="preserve"> la falta de Fiscales, la calidad de las investigaciones pudiese no estar siendo la óptima.</w:t>
      </w:r>
    </w:p>
    <w:p w:rsidR="00520B4B" w:rsidRDefault="007D2613">
      <w:pPr>
        <w:spacing w:before="161" w:line="285" w:lineRule="auto"/>
        <w:ind w:left="101" w:right="117"/>
        <w:jc w:val="both"/>
        <w:rPr>
          <w:i/>
        </w:rPr>
      </w:pPr>
      <w:r>
        <w:t>Debemos recordar que actualmente atravesamos la peor crisis en materia de seguridad de los últimos 30 años. En tal sentido, los delitos violentos como los homicidio</w:t>
      </w:r>
      <w:r>
        <w:t>s han aumentado más de un 30%</w:t>
      </w:r>
      <w:r>
        <w:rPr>
          <w:vertAlign w:val="superscript"/>
        </w:rPr>
        <w:t>2</w:t>
      </w:r>
      <w:r>
        <w:t>, mientras que las denuncias por robos se incrementaron un 41%.</w:t>
      </w:r>
      <w:r>
        <w:rPr>
          <w:spacing w:val="-2"/>
        </w:rPr>
        <w:t xml:space="preserve"> </w:t>
      </w:r>
      <w:r>
        <w:t xml:space="preserve">Así, </w:t>
      </w:r>
      <w:r>
        <w:rPr>
          <w:i/>
        </w:rPr>
        <w:t>“según</w:t>
      </w:r>
      <w:r>
        <w:rPr>
          <w:i/>
          <w:spacing w:val="-1"/>
        </w:rPr>
        <w:t xml:space="preserve"> </w:t>
      </w:r>
      <w:r>
        <w:rPr>
          <w:i/>
        </w:rPr>
        <w:t>las</w:t>
      </w:r>
      <w:r>
        <w:rPr>
          <w:i/>
          <w:spacing w:val="-2"/>
        </w:rPr>
        <w:t xml:space="preserve"> </w:t>
      </w:r>
      <w:r>
        <w:rPr>
          <w:i/>
        </w:rPr>
        <w:t>cifras de</w:t>
      </w:r>
      <w:r>
        <w:rPr>
          <w:i/>
          <w:spacing w:val="-2"/>
        </w:rPr>
        <w:t xml:space="preserve"> </w:t>
      </w:r>
      <w:r>
        <w:rPr>
          <w:i/>
        </w:rPr>
        <w:t>Centro de</w:t>
      </w:r>
      <w:r>
        <w:rPr>
          <w:i/>
          <w:spacing w:val="-2"/>
        </w:rPr>
        <w:t xml:space="preserve"> </w:t>
      </w:r>
      <w:r>
        <w:rPr>
          <w:i/>
        </w:rPr>
        <w:t>Estudios y</w:t>
      </w:r>
      <w:r>
        <w:rPr>
          <w:i/>
          <w:spacing w:val="-4"/>
        </w:rPr>
        <w:t xml:space="preserve"> </w:t>
      </w:r>
      <w:r>
        <w:rPr>
          <w:i/>
        </w:rPr>
        <w:t>Análisis</w:t>
      </w:r>
      <w:r>
        <w:rPr>
          <w:i/>
          <w:spacing w:val="-4"/>
        </w:rPr>
        <w:t xml:space="preserve"> </w:t>
      </w:r>
      <w:r>
        <w:rPr>
          <w:i/>
        </w:rPr>
        <w:t>del</w:t>
      </w:r>
      <w:r>
        <w:rPr>
          <w:i/>
          <w:spacing w:val="-2"/>
        </w:rPr>
        <w:t xml:space="preserve"> </w:t>
      </w:r>
      <w:r>
        <w:rPr>
          <w:i/>
        </w:rPr>
        <w:t>Delito</w:t>
      </w:r>
      <w:r>
        <w:rPr>
          <w:i/>
          <w:spacing w:val="-1"/>
        </w:rPr>
        <w:t xml:space="preserve"> </w:t>
      </w:r>
      <w:r>
        <w:rPr>
          <w:i/>
        </w:rPr>
        <w:t>(CEAD) de</w:t>
      </w:r>
      <w:r>
        <w:rPr>
          <w:i/>
          <w:spacing w:val="-2"/>
        </w:rPr>
        <w:t xml:space="preserve"> </w:t>
      </w:r>
      <w:r>
        <w:rPr>
          <w:i/>
        </w:rPr>
        <w:t>la</w:t>
      </w:r>
      <w:r>
        <w:rPr>
          <w:i/>
          <w:spacing w:val="-1"/>
        </w:rPr>
        <w:t xml:space="preserve"> </w:t>
      </w:r>
      <w:r>
        <w:rPr>
          <w:i/>
        </w:rPr>
        <w:t>Subsecretaría de Prevención del Delito, los delitos de mayor connotación social, c</w:t>
      </w:r>
      <w:r>
        <w:rPr>
          <w:i/>
        </w:rPr>
        <w:t>onocidos como DMCS (homicidio, lesiones, violación, robo con fuerza y robo con violencia) aumentan de 234.064 casos en 2021 a 354.683 en 2022”</w:t>
      </w:r>
      <w:r>
        <w:rPr>
          <w:i/>
          <w:vertAlign w:val="superscript"/>
        </w:rPr>
        <w:t>3</w:t>
      </w:r>
      <w:r>
        <w:rPr>
          <w:i/>
        </w:rPr>
        <w:t>.</w:t>
      </w:r>
    </w:p>
    <w:p w:rsidR="00520B4B" w:rsidRDefault="007D2613">
      <w:pPr>
        <w:pStyle w:val="Textoindependiente"/>
        <w:spacing w:before="152" w:line="283" w:lineRule="auto"/>
        <w:ind w:left="101" w:right="116"/>
        <w:jc w:val="both"/>
      </w:pPr>
      <w:r>
        <w:t>Ante tal situación, es necesario efectuar todos los esfuerzos posibles por apoyar la difícil función que tiene el ente persecutor en nuestro país, la que se vincula directamente con la anhelada disminución en la delincuencia.</w:t>
      </w:r>
    </w:p>
    <w:p w:rsidR="00520B4B" w:rsidRDefault="007D2613">
      <w:pPr>
        <w:pStyle w:val="Textoindependiente"/>
        <w:spacing w:before="155" w:line="280" w:lineRule="auto"/>
        <w:ind w:left="101" w:right="116"/>
        <w:jc w:val="both"/>
      </w:pPr>
      <w:r>
        <w:t>Ahora bien, a pesar de las div</w:t>
      </w:r>
      <w:r>
        <w:t>ersas solicitudes que se han hecho por parte de diversos sectores en vías a cooperar con la desaturación de causas en el Ministerio Público, ya sea aumentando</w:t>
      </w:r>
      <w:r>
        <w:rPr>
          <w:spacing w:val="-4"/>
        </w:rPr>
        <w:t xml:space="preserve"> </w:t>
      </w:r>
      <w:r>
        <w:t>el</w:t>
      </w:r>
      <w:r>
        <w:rPr>
          <w:spacing w:val="-2"/>
        </w:rPr>
        <w:t xml:space="preserve"> </w:t>
      </w:r>
      <w:r>
        <w:t>números</w:t>
      </w:r>
      <w:r>
        <w:rPr>
          <w:spacing w:val="-3"/>
        </w:rPr>
        <w:t xml:space="preserve"> </w:t>
      </w:r>
      <w:r>
        <w:t>de Fiscales</w:t>
      </w:r>
      <w:r>
        <w:rPr>
          <w:spacing w:val="-3"/>
        </w:rPr>
        <w:t xml:space="preserve"> </w:t>
      </w:r>
      <w:r>
        <w:t>o</w:t>
      </w:r>
      <w:r>
        <w:rPr>
          <w:spacing w:val="-1"/>
        </w:rPr>
        <w:t xml:space="preserve"> </w:t>
      </w:r>
      <w:r>
        <w:t>cambiando la</w:t>
      </w:r>
      <w:r>
        <w:rPr>
          <w:spacing w:val="-2"/>
        </w:rPr>
        <w:t xml:space="preserve"> </w:t>
      </w:r>
      <w:r>
        <w:t>competencia</w:t>
      </w:r>
      <w:r>
        <w:rPr>
          <w:spacing w:val="-2"/>
        </w:rPr>
        <w:t xml:space="preserve"> </w:t>
      </w:r>
      <w:r>
        <w:t>de</w:t>
      </w:r>
      <w:r>
        <w:rPr>
          <w:spacing w:val="-2"/>
        </w:rPr>
        <w:t xml:space="preserve"> </w:t>
      </w:r>
      <w:r>
        <w:t>ciertas</w:t>
      </w:r>
      <w:r>
        <w:rPr>
          <w:spacing w:val="-3"/>
        </w:rPr>
        <w:t xml:space="preserve"> </w:t>
      </w:r>
      <w:r>
        <w:t>faltas,</w:t>
      </w:r>
      <w:r>
        <w:rPr>
          <w:spacing w:val="-2"/>
        </w:rPr>
        <w:t xml:space="preserve"> </w:t>
      </w:r>
      <w:r>
        <w:t>para</w:t>
      </w:r>
      <w:r>
        <w:rPr>
          <w:spacing w:val="-2"/>
        </w:rPr>
        <w:t xml:space="preserve"> </w:t>
      </w:r>
      <w:r>
        <w:t xml:space="preserve">que sean conocidas por </w:t>
      </w:r>
      <w:r>
        <w:t>los Juzgados de Policía local, lo cierto es que no han existido avances por parte del ejecutivo que tiene, de acuerdo con la Constitución, la iniciativa exclusiva para llevar adelante estas modificaciones.</w:t>
      </w:r>
    </w:p>
    <w:p w:rsidR="00520B4B" w:rsidRDefault="007D2613">
      <w:pPr>
        <w:pStyle w:val="Textoindependiente"/>
        <w:spacing w:before="162" w:line="280" w:lineRule="auto"/>
        <w:ind w:left="101" w:right="116"/>
        <w:jc w:val="both"/>
      </w:pPr>
      <w:r>
        <w:t>Buscando cooperar con la delicada situación, es qu</w:t>
      </w:r>
      <w:r>
        <w:t>e surge la posibilidad de hacer una modificación al Código Procesal Penal, específicamente en torno a los intervinientes en el Código Procesal Penal. En particular, nuestro código ha determinado que uno de los intervinientes será “el fiscal” y no “el Minis</w:t>
      </w:r>
      <w:r>
        <w:t>terio Público”, que es el sujeto procesal contemplado en la ley. Asimismo, se propone modificar la ley orgánica constitucional del Ministerio Público,</w:t>
      </w:r>
      <w:r>
        <w:rPr>
          <w:spacing w:val="40"/>
        </w:rPr>
        <w:t xml:space="preserve"> </w:t>
      </w:r>
      <w:r>
        <w:t>con el objetivo de permitir que los asistentes puedan realizar actuaciones judiciales, como concurrir a a</w:t>
      </w:r>
      <w:r>
        <w:t>udiencias de juicio oral, lo que en la actualidad no pueden realizar, y que ayudaría a descomprimir la carga de los fiscales que son los únicos que tienen esta atribución.</w:t>
      </w:r>
    </w:p>
    <w:p w:rsidR="00520B4B" w:rsidRDefault="007D2613">
      <w:pPr>
        <w:pStyle w:val="Textoindependiente"/>
        <w:spacing w:before="164" w:line="280" w:lineRule="auto"/>
        <w:ind w:left="101" w:right="118"/>
        <w:jc w:val="both"/>
      </w:pPr>
      <w:r>
        <w:t>En</w:t>
      </w:r>
      <w:r>
        <w:rPr>
          <w:spacing w:val="-5"/>
        </w:rPr>
        <w:t xml:space="preserve"> </w:t>
      </w:r>
      <w:r>
        <w:t>este</w:t>
      </w:r>
      <w:r>
        <w:rPr>
          <w:spacing w:val="-2"/>
        </w:rPr>
        <w:t xml:space="preserve"> </w:t>
      </w:r>
      <w:r>
        <w:t>sentido,</w:t>
      </w:r>
      <w:r>
        <w:rPr>
          <w:spacing w:val="-4"/>
        </w:rPr>
        <w:t xml:space="preserve"> </w:t>
      </w:r>
      <w:r>
        <w:t>el presente</w:t>
      </w:r>
      <w:r>
        <w:rPr>
          <w:spacing w:val="-2"/>
        </w:rPr>
        <w:t xml:space="preserve"> </w:t>
      </w:r>
      <w:r>
        <w:t>proyecto</w:t>
      </w:r>
      <w:r>
        <w:rPr>
          <w:spacing w:val="-4"/>
        </w:rPr>
        <w:t xml:space="preserve"> </w:t>
      </w:r>
      <w:r>
        <w:t>de ley</w:t>
      </w:r>
      <w:r>
        <w:rPr>
          <w:spacing w:val="-6"/>
        </w:rPr>
        <w:t xml:space="preserve"> </w:t>
      </w:r>
      <w:r>
        <w:t>busca</w:t>
      </w:r>
      <w:r>
        <w:rPr>
          <w:spacing w:val="-2"/>
        </w:rPr>
        <w:t xml:space="preserve"> </w:t>
      </w:r>
      <w:r>
        <w:t>ayudar a</w:t>
      </w:r>
      <w:r>
        <w:rPr>
          <w:spacing w:val="-4"/>
        </w:rPr>
        <w:t xml:space="preserve"> </w:t>
      </w:r>
      <w:r>
        <w:t>desaturar</w:t>
      </w:r>
      <w:r>
        <w:rPr>
          <w:spacing w:val="-1"/>
        </w:rPr>
        <w:t xml:space="preserve"> </w:t>
      </w:r>
      <w:r>
        <w:t>al</w:t>
      </w:r>
      <w:r>
        <w:rPr>
          <w:spacing w:val="-5"/>
        </w:rPr>
        <w:t xml:space="preserve"> </w:t>
      </w:r>
      <w:r>
        <w:t>Ministerio</w:t>
      </w:r>
      <w:r>
        <w:rPr>
          <w:spacing w:val="-1"/>
        </w:rPr>
        <w:t xml:space="preserve"> </w:t>
      </w:r>
      <w:r>
        <w:t>Público, para que el sistema procesal penal funcione de modo eficiente, lo que se traduce en que el ente</w:t>
      </w:r>
      <w:r>
        <w:rPr>
          <w:spacing w:val="58"/>
        </w:rPr>
        <w:t xml:space="preserve"> </w:t>
      </w:r>
      <w:r>
        <w:t>persecutor</w:t>
      </w:r>
      <w:r>
        <w:rPr>
          <w:spacing w:val="65"/>
        </w:rPr>
        <w:t xml:space="preserve"> </w:t>
      </w:r>
      <w:r>
        <w:t>podrá</w:t>
      </w:r>
      <w:r>
        <w:rPr>
          <w:spacing w:val="63"/>
        </w:rPr>
        <w:t xml:space="preserve"> </w:t>
      </w:r>
      <w:r>
        <w:t>efectuar</w:t>
      </w:r>
      <w:r>
        <w:rPr>
          <w:spacing w:val="65"/>
        </w:rPr>
        <w:t xml:space="preserve"> </w:t>
      </w:r>
      <w:r>
        <w:t>las</w:t>
      </w:r>
      <w:r>
        <w:rPr>
          <w:spacing w:val="62"/>
        </w:rPr>
        <w:t xml:space="preserve"> </w:t>
      </w:r>
      <w:r>
        <w:t>investigaciones</w:t>
      </w:r>
      <w:r>
        <w:rPr>
          <w:spacing w:val="61"/>
        </w:rPr>
        <w:t xml:space="preserve"> </w:t>
      </w:r>
      <w:r>
        <w:t>de</w:t>
      </w:r>
      <w:r>
        <w:rPr>
          <w:spacing w:val="65"/>
        </w:rPr>
        <w:t xml:space="preserve"> </w:t>
      </w:r>
      <w:r>
        <w:t>forma</w:t>
      </w:r>
      <w:r>
        <w:rPr>
          <w:spacing w:val="64"/>
        </w:rPr>
        <w:t xml:space="preserve"> </w:t>
      </w:r>
      <w:r>
        <w:t>oportuna,</w:t>
      </w:r>
      <w:r>
        <w:rPr>
          <w:spacing w:val="66"/>
        </w:rPr>
        <w:t xml:space="preserve"> </w:t>
      </w:r>
      <w:r>
        <w:t>y</w:t>
      </w:r>
      <w:r>
        <w:rPr>
          <w:spacing w:val="62"/>
        </w:rPr>
        <w:t xml:space="preserve"> </w:t>
      </w:r>
      <w:r>
        <w:t>con</w:t>
      </w:r>
      <w:r>
        <w:rPr>
          <w:spacing w:val="66"/>
        </w:rPr>
        <w:t xml:space="preserve"> </w:t>
      </w:r>
      <w:r>
        <w:t>ello</w:t>
      </w:r>
      <w:r>
        <w:rPr>
          <w:spacing w:val="62"/>
        </w:rPr>
        <w:t xml:space="preserve"> </w:t>
      </w:r>
      <w:r>
        <w:rPr>
          <w:spacing w:val="-5"/>
        </w:rPr>
        <w:t>la</w:t>
      </w:r>
    </w:p>
    <w:p w:rsidR="00520B4B" w:rsidRDefault="007D2613">
      <w:pPr>
        <w:pStyle w:val="Textoindependiente"/>
        <w:spacing w:before="1"/>
        <w:rPr>
          <w:sz w:val="21"/>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182053</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64F957" id="Graphic 2" o:spid="_x0000_s1026" style="position:absolute;margin-left:85.1pt;margin-top:14.3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" path="m,l1828799,e" filled="f" strokeweight=".1323mm">
                <v:path arrowok="t"/>
                <w10:wrap type="topAndBottom" anchorx="page"/>
              </v:shape>
            </w:pict>
          </mc:Fallback>
        </mc:AlternateContent>
      </w:r>
    </w:p>
    <w:p w:rsidR="00520B4B" w:rsidRDefault="007D2613">
      <w:pPr>
        <w:spacing w:before="134" w:line="244" w:lineRule="auto"/>
        <w:ind w:left="101" w:right="137" w:hanging="1"/>
        <w:rPr>
          <w:rFonts w:ascii="Calibri"/>
          <w:sz w:val="20"/>
        </w:rPr>
      </w:pPr>
      <w:r>
        <w:rPr>
          <w:rFonts w:ascii="Calibri"/>
          <w:sz w:val="20"/>
          <w:vertAlign w:val="superscript"/>
        </w:rPr>
        <w:t>1</w:t>
      </w:r>
      <w:r>
        <w:rPr>
          <w:rFonts w:ascii="Calibri"/>
          <w:spacing w:val="-12"/>
          <w:sz w:val="20"/>
        </w:rPr>
        <w:t xml:space="preserve"> </w:t>
      </w:r>
      <w:r>
        <w:rPr>
          <w:rFonts w:ascii="Calibri"/>
          <w:color w:val="0562C1"/>
          <w:sz w:val="20"/>
          <w:u w:val="single" w:color="0562C1"/>
        </w:rPr>
        <w:t>https://cooperativa.cl/noticias/pais/judicial/ministerio-publico/en-chile-faltan-300-fiscales-y-en-escenario-</w:t>
      </w:r>
      <w:r>
        <w:rPr>
          <w:rFonts w:ascii="Calibri"/>
          <w:color w:val="0562C1"/>
          <w:sz w:val="20"/>
        </w:rPr>
        <w:t xml:space="preserve"> </w:t>
      </w:r>
      <w:r>
        <w:rPr>
          <w:rFonts w:ascii="Calibri"/>
          <w:color w:val="0562C1"/>
          <w:spacing w:val="-2"/>
          <w:sz w:val="20"/>
          <w:u w:val="single" w:color="0562C1"/>
        </w:rPr>
        <w:t>de-colapso-no-se-puede/2022-08-02/085414.html</w:t>
      </w:r>
    </w:p>
    <w:p w:rsidR="00520B4B" w:rsidRDefault="007D2613">
      <w:pPr>
        <w:spacing w:before="16"/>
        <w:ind w:left="101"/>
        <w:rPr>
          <w:rFonts w:ascii="Calibri"/>
          <w:sz w:val="20"/>
        </w:rPr>
      </w:pPr>
      <w:r>
        <w:rPr>
          <w:rFonts w:ascii="Calibri"/>
          <w:spacing w:val="-2"/>
          <w:sz w:val="20"/>
          <w:vertAlign w:val="superscript"/>
        </w:rPr>
        <w:t>2</w:t>
      </w:r>
      <w:r>
        <w:rPr>
          <w:rFonts w:ascii="Calibri"/>
          <w:spacing w:val="32"/>
          <w:sz w:val="20"/>
        </w:rPr>
        <w:t xml:space="preserve">  </w:t>
      </w:r>
      <w:r>
        <w:rPr>
          <w:rFonts w:ascii="Calibri"/>
          <w:color w:val="0562C1"/>
          <w:spacing w:val="-2"/>
          <w:sz w:val="20"/>
          <w:u w:val="single" w:color="0562C1"/>
        </w:rPr>
        <w:t>https://</w:t>
      </w:r>
      <w:hyperlink r:id="rId6">
        <w:r>
          <w:rPr>
            <w:rFonts w:ascii="Calibri"/>
            <w:color w:val="0562C1"/>
            <w:spacing w:val="-2"/>
            <w:sz w:val="20"/>
            <w:u w:val="single" w:color="0562C1"/>
          </w:rPr>
          <w:t>www.pauta.cl/nacional/paz-ciudadana-delitos-violentos-aumento-en-chile-pauta-fina</w:t>
        </w:r>
        <w:r>
          <w:rPr>
            <w:rFonts w:ascii="Calibri"/>
            <w:color w:val="0562C1"/>
            <w:spacing w:val="-2"/>
            <w:sz w:val="20"/>
          </w:rPr>
          <w:t>l</w:t>
        </w:r>
      </w:hyperlink>
    </w:p>
    <w:p w:rsidR="00520B4B" w:rsidRDefault="007D2613">
      <w:pPr>
        <w:spacing w:before="25"/>
        <w:ind w:left="101"/>
        <w:rPr>
          <w:rFonts w:ascii="Calibri"/>
          <w:sz w:val="20"/>
        </w:rPr>
      </w:pPr>
      <w:r>
        <w:rPr>
          <w:rFonts w:ascii="Calibri"/>
          <w:spacing w:val="-2"/>
          <w:sz w:val="20"/>
          <w:vertAlign w:val="superscript"/>
        </w:rPr>
        <w:t>3</w:t>
      </w:r>
      <w:r>
        <w:rPr>
          <w:rFonts w:ascii="Calibri"/>
          <w:spacing w:val="30"/>
          <w:sz w:val="20"/>
        </w:rPr>
        <w:t xml:space="preserve">  </w:t>
      </w:r>
      <w:r>
        <w:rPr>
          <w:rFonts w:ascii="Calibri"/>
          <w:color w:val="0562C1"/>
          <w:spacing w:val="-2"/>
          <w:sz w:val="20"/>
          <w:u w:val="single" w:color="0562C1"/>
        </w:rPr>
        <w:t>https://</w:t>
      </w:r>
      <w:hyperlink r:id="rId7">
        <w:r>
          <w:rPr>
            <w:rFonts w:ascii="Calibri"/>
            <w:color w:val="0562C1"/>
            <w:spacing w:val="-2"/>
            <w:sz w:val="20"/>
            <w:u w:val="single" w:color="0562C1"/>
          </w:rPr>
          <w:t>www.t13.cl/noticia/ex-ante/politic</w:t>
        </w:r>
        <w:r>
          <w:rPr>
            <w:rFonts w:ascii="Calibri"/>
            <w:color w:val="0562C1"/>
            <w:spacing w:val="-2"/>
            <w:sz w:val="20"/>
            <w:u w:val="single" w:color="0562C1"/>
          </w:rPr>
          <w:t>a/alza-delincuencia-2022-mirada-expertos-causas</w:t>
        </w:r>
      </w:hyperlink>
    </w:p>
    <w:p w:rsidR="00520B4B" w:rsidRDefault="00520B4B">
      <w:pPr>
        <w:rPr>
          <w:rFonts w:ascii="Calibri"/>
          <w:sz w:val="20"/>
        </w:rPr>
        <w:sectPr w:rsidR="00520B4B">
          <w:pgSz w:w="12240" w:h="15840"/>
          <w:pgMar w:top="1400" w:right="1580" w:bottom="280" w:left="1600" w:header="720" w:footer="720" w:gutter="0"/>
          <w:cols w:space="720"/>
        </w:sectPr>
      </w:pPr>
    </w:p>
    <w:p w:rsidR="00520B4B" w:rsidRDefault="007D2613">
      <w:pPr>
        <w:pStyle w:val="Textoindependiente"/>
        <w:spacing w:before="35" w:line="280" w:lineRule="auto"/>
        <w:ind w:left="101" w:right="116"/>
        <w:jc w:val="both"/>
      </w:pPr>
      <w:r>
        <w:lastRenderedPageBreak/>
        <w:t>sociedad estará más segura. Con este objetivo, se modifica el artículo 12 del Código Procesal Penal, para reemplazar la expresión “fiscal” por la de “Ministerio Público” y se</w:t>
      </w:r>
      <w:r>
        <w:rPr>
          <w:spacing w:val="40"/>
        </w:rPr>
        <w:t xml:space="preserve"> </w:t>
      </w:r>
      <w:r>
        <w:t>les entregan las atribu</w:t>
      </w:r>
      <w:r>
        <w:t>ciones pertinentes a los asistentes de fiscal en la ley orgánica constitucional del Ministerio Público.</w:t>
      </w:r>
    </w:p>
    <w:p w:rsidR="00520B4B" w:rsidRDefault="00520B4B">
      <w:pPr>
        <w:pStyle w:val="Textoindependiente"/>
      </w:pPr>
    </w:p>
    <w:p w:rsidR="00520B4B" w:rsidRDefault="00520B4B">
      <w:pPr>
        <w:pStyle w:val="Textoindependiente"/>
      </w:pPr>
    </w:p>
    <w:p w:rsidR="00520B4B" w:rsidRDefault="00520B4B">
      <w:pPr>
        <w:pStyle w:val="Textoindependiente"/>
      </w:pPr>
    </w:p>
    <w:p w:rsidR="00520B4B" w:rsidRDefault="00520B4B">
      <w:pPr>
        <w:pStyle w:val="Textoindependiente"/>
      </w:pPr>
    </w:p>
    <w:p w:rsidR="00520B4B" w:rsidRDefault="00520B4B">
      <w:pPr>
        <w:pStyle w:val="Textoindependiente"/>
      </w:pPr>
    </w:p>
    <w:p w:rsidR="00520B4B" w:rsidRDefault="00520B4B">
      <w:pPr>
        <w:pStyle w:val="Textoindependiente"/>
      </w:pPr>
    </w:p>
    <w:p w:rsidR="00520B4B" w:rsidRDefault="00520B4B">
      <w:pPr>
        <w:pStyle w:val="Textoindependiente"/>
        <w:spacing w:before="1"/>
        <w:rPr>
          <w:sz w:val="32"/>
        </w:rPr>
      </w:pPr>
    </w:p>
    <w:p w:rsidR="00520B4B" w:rsidRDefault="007D2613">
      <w:pPr>
        <w:ind w:left="1181"/>
        <w:rPr>
          <w:b/>
        </w:rPr>
      </w:pPr>
      <w:r>
        <w:rPr>
          <w:b/>
        </w:rPr>
        <w:t>PROYECTO</w:t>
      </w:r>
      <w:r>
        <w:rPr>
          <w:b/>
          <w:spacing w:val="-8"/>
        </w:rPr>
        <w:t xml:space="preserve"> </w:t>
      </w:r>
      <w:r>
        <w:rPr>
          <w:b/>
        </w:rPr>
        <w:t>DE</w:t>
      </w:r>
      <w:r>
        <w:rPr>
          <w:b/>
          <w:spacing w:val="-11"/>
        </w:rPr>
        <w:t xml:space="preserve"> </w:t>
      </w:r>
      <w:r>
        <w:rPr>
          <w:b/>
          <w:spacing w:val="-5"/>
        </w:rPr>
        <w:t>LEY</w:t>
      </w:r>
    </w:p>
    <w:p w:rsidR="00520B4B" w:rsidRDefault="00520B4B">
      <w:pPr>
        <w:pStyle w:val="Textoindependiente"/>
        <w:rPr>
          <w:b/>
        </w:rPr>
      </w:pPr>
    </w:p>
    <w:p w:rsidR="00520B4B" w:rsidRDefault="00520B4B">
      <w:pPr>
        <w:pStyle w:val="Textoindependiente"/>
        <w:rPr>
          <w:b/>
        </w:rPr>
      </w:pPr>
    </w:p>
    <w:p w:rsidR="00520B4B" w:rsidRDefault="007D2613">
      <w:pPr>
        <w:pStyle w:val="Textoindependiente"/>
        <w:spacing w:before="163" w:line="422" w:lineRule="auto"/>
        <w:ind w:left="101" w:right="514"/>
      </w:pPr>
      <w:r>
        <w:t>“</w:t>
      </w:r>
      <w:r>
        <w:rPr>
          <w:b/>
        </w:rPr>
        <w:t>Artículo</w:t>
      </w:r>
      <w:r>
        <w:rPr>
          <w:b/>
          <w:spacing w:val="-5"/>
        </w:rPr>
        <w:t xml:space="preserve"> </w:t>
      </w:r>
      <w:r>
        <w:rPr>
          <w:b/>
        </w:rPr>
        <w:t>1.-</w:t>
      </w:r>
      <w:r>
        <w:rPr>
          <w:b/>
          <w:spacing w:val="-3"/>
        </w:rPr>
        <w:t xml:space="preserve"> </w:t>
      </w:r>
      <w:r>
        <w:t>Introdúcense</w:t>
      </w:r>
      <w:r>
        <w:rPr>
          <w:spacing w:val="-3"/>
        </w:rPr>
        <w:t xml:space="preserve"> </w:t>
      </w:r>
      <w:r>
        <w:t>las</w:t>
      </w:r>
      <w:r>
        <w:rPr>
          <w:spacing w:val="-6"/>
        </w:rPr>
        <w:t xml:space="preserve"> </w:t>
      </w:r>
      <w:r>
        <w:t>siguientes</w:t>
      </w:r>
      <w:r>
        <w:rPr>
          <w:spacing w:val="-4"/>
        </w:rPr>
        <w:t xml:space="preserve"> </w:t>
      </w:r>
      <w:r>
        <w:t>modificaciones</w:t>
      </w:r>
      <w:r>
        <w:rPr>
          <w:spacing w:val="-6"/>
        </w:rPr>
        <w:t xml:space="preserve"> </w:t>
      </w:r>
      <w:r>
        <w:t>en</w:t>
      </w:r>
      <w:r>
        <w:rPr>
          <w:spacing w:val="-6"/>
        </w:rPr>
        <w:t xml:space="preserve"> </w:t>
      </w:r>
      <w:r>
        <w:t>el</w:t>
      </w:r>
      <w:r>
        <w:rPr>
          <w:spacing w:val="-3"/>
        </w:rPr>
        <w:t xml:space="preserve"> </w:t>
      </w:r>
      <w:r>
        <w:t>Código</w:t>
      </w:r>
      <w:r>
        <w:rPr>
          <w:spacing w:val="-5"/>
        </w:rPr>
        <w:t xml:space="preserve"> </w:t>
      </w:r>
      <w:r>
        <w:t>Procesal</w:t>
      </w:r>
      <w:r>
        <w:rPr>
          <w:spacing w:val="-3"/>
        </w:rPr>
        <w:t xml:space="preserve"> </w:t>
      </w:r>
      <w:r>
        <w:t>Penal: En el artículo 12:</w:t>
      </w:r>
    </w:p>
    <w:p w:rsidR="00520B4B" w:rsidRDefault="007D2613">
      <w:pPr>
        <w:pStyle w:val="Textoindependiente"/>
        <w:spacing w:line="271" w:lineRule="exact"/>
        <w:ind w:left="101"/>
      </w:pPr>
      <w:r>
        <w:t>Para</w:t>
      </w:r>
      <w:r>
        <w:rPr>
          <w:spacing w:val="-8"/>
        </w:rPr>
        <w:t xml:space="preserve"> </w:t>
      </w:r>
      <w:r>
        <w:t>sustituir</w:t>
      </w:r>
      <w:r>
        <w:rPr>
          <w:spacing w:val="-5"/>
        </w:rPr>
        <w:t xml:space="preserve"> </w:t>
      </w:r>
      <w:r>
        <w:t>la</w:t>
      </w:r>
      <w:r>
        <w:rPr>
          <w:spacing w:val="-4"/>
        </w:rPr>
        <w:t xml:space="preserve"> </w:t>
      </w:r>
      <w:r>
        <w:t>expresión</w:t>
      </w:r>
      <w:r>
        <w:rPr>
          <w:spacing w:val="-2"/>
        </w:rPr>
        <w:t xml:space="preserve"> </w:t>
      </w:r>
      <w:r>
        <w:t>“al</w:t>
      </w:r>
      <w:r>
        <w:rPr>
          <w:spacing w:val="-7"/>
        </w:rPr>
        <w:t xml:space="preserve"> </w:t>
      </w:r>
      <w:r>
        <w:t>fiscal”</w:t>
      </w:r>
      <w:r>
        <w:rPr>
          <w:spacing w:val="-6"/>
        </w:rPr>
        <w:t xml:space="preserve"> </w:t>
      </w:r>
      <w:r>
        <w:t>por</w:t>
      </w:r>
      <w:r>
        <w:rPr>
          <w:spacing w:val="-4"/>
        </w:rPr>
        <w:t xml:space="preserve"> </w:t>
      </w:r>
      <w:r>
        <w:t>la</w:t>
      </w:r>
      <w:r>
        <w:rPr>
          <w:spacing w:val="-4"/>
        </w:rPr>
        <w:t xml:space="preserve"> </w:t>
      </w:r>
      <w:r>
        <w:t>expresión</w:t>
      </w:r>
      <w:r>
        <w:rPr>
          <w:spacing w:val="-7"/>
        </w:rPr>
        <w:t xml:space="preserve"> </w:t>
      </w:r>
      <w:r>
        <w:t>“al</w:t>
      </w:r>
      <w:r>
        <w:rPr>
          <w:spacing w:val="-7"/>
        </w:rPr>
        <w:t xml:space="preserve"> </w:t>
      </w:r>
      <w:r>
        <w:t>Ministerio</w:t>
      </w:r>
      <w:r>
        <w:rPr>
          <w:spacing w:val="-5"/>
        </w:rPr>
        <w:t xml:space="preserve"> </w:t>
      </w:r>
      <w:r>
        <w:rPr>
          <w:spacing w:val="-2"/>
        </w:rPr>
        <w:t>Público”.</w:t>
      </w:r>
    </w:p>
    <w:p w:rsidR="00520B4B" w:rsidRDefault="00520B4B">
      <w:pPr>
        <w:pStyle w:val="Textoindependiente"/>
      </w:pPr>
    </w:p>
    <w:p w:rsidR="00520B4B" w:rsidRDefault="00520B4B">
      <w:pPr>
        <w:pStyle w:val="Textoindependiente"/>
      </w:pPr>
    </w:p>
    <w:p w:rsidR="00520B4B" w:rsidRDefault="007D2613">
      <w:pPr>
        <w:pStyle w:val="Textoindependiente"/>
        <w:spacing w:before="139" w:line="283" w:lineRule="auto"/>
        <w:ind w:left="101" w:right="210"/>
        <w:jc w:val="both"/>
      </w:pPr>
      <w:r>
        <w:t>“</w:t>
      </w:r>
      <w:r>
        <w:rPr>
          <w:b/>
        </w:rPr>
        <w:t>Artículo</w:t>
      </w:r>
      <w:r>
        <w:rPr>
          <w:b/>
          <w:spacing w:val="-4"/>
        </w:rPr>
        <w:t xml:space="preserve"> </w:t>
      </w:r>
      <w:r>
        <w:rPr>
          <w:b/>
        </w:rPr>
        <w:t>2.-</w:t>
      </w:r>
      <w:r>
        <w:rPr>
          <w:b/>
          <w:spacing w:val="-2"/>
        </w:rPr>
        <w:t xml:space="preserve"> </w:t>
      </w:r>
      <w:r>
        <w:t>Introdúcense</w:t>
      </w:r>
      <w:r>
        <w:rPr>
          <w:spacing w:val="-2"/>
        </w:rPr>
        <w:t xml:space="preserve"> </w:t>
      </w:r>
      <w:r>
        <w:t>las</w:t>
      </w:r>
      <w:r>
        <w:rPr>
          <w:spacing w:val="-5"/>
        </w:rPr>
        <w:t xml:space="preserve"> </w:t>
      </w:r>
      <w:r>
        <w:t>siguientes</w:t>
      </w:r>
      <w:r>
        <w:rPr>
          <w:spacing w:val="-3"/>
        </w:rPr>
        <w:t xml:space="preserve"> </w:t>
      </w:r>
      <w:r>
        <w:t>modificaciones</w:t>
      </w:r>
      <w:r>
        <w:rPr>
          <w:spacing w:val="-5"/>
        </w:rPr>
        <w:t xml:space="preserve"> </w:t>
      </w:r>
      <w:r>
        <w:t>a</w:t>
      </w:r>
      <w:r>
        <w:rPr>
          <w:spacing w:val="-2"/>
        </w:rPr>
        <w:t xml:space="preserve"> </w:t>
      </w:r>
      <w:r>
        <w:t>la</w:t>
      </w:r>
      <w:r>
        <w:rPr>
          <w:spacing w:val="-2"/>
        </w:rPr>
        <w:t xml:space="preserve"> </w:t>
      </w:r>
      <w:r>
        <w:t>ley</w:t>
      </w:r>
      <w:r>
        <w:rPr>
          <w:spacing w:val="-6"/>
        </w:rPr>
        <w:t xml:space="preserve"> </w:t>
      </w:r>
      <w:r>
        <w:t>N°</w:t>
      </w:r>
      <w:r>
        <w:rPr>
          <w:spacing w:val="-2"/>
        </w:rPr>
        <w:t xml:space="preserve"> </w:t>
      </w:r>
      <w:r>
        <w:t>19.640</w:t>
      </w:r>
      <w:r>
        <w:rPr>
          <w:spacing w:val="-1"/>
        </w:rPr>
        <w:t xml:space="preserve"> </w:t>
      </w:r>
      <w:r>
        <w:t>que</w:t>
      </w:r>
      <w:r>
        <w:rPr>
          <w:spacing w:val="-2"/>
        </w:rPr>
        <w:t xml:space="preserve"> </w:t>
      </w:r>
      <w:r>
        <w:t>establece</w:t>
      </w:r>
      <w:r>
        <w:rPr>
          <w:spacing w:val="-4"/>
        </w:rPr>
        <w:t xml:space="preserve"> </w:t>
      </w:r>
      <w:r>
        <w:t>la Ley Orgánica Constitucional del Ministerio Público.</w:t>
      </w:r>
    </w:p>
    <w:p w:rsidR="00520B4B" w:rsidRDefault="007D2613">
      <w:pPr>
        <w:pStyle w:val="Textoindependiente"/>
        <w:spacing w:before="157"/>
        <w:ind w:left="101"/>
      </w:pPr>
      <w:r>
        <w:t>En</w:t>
      </w:r>
      <w:r>
        <w:rPr>
          <w:spacing w:val="-6"/>
        </w:rPr>
        <w:t xml:space="preserve"> </w:t>
      </w:r>
      <w:r>
        <w:t>el</w:t>
      </w:r>
      <w:r>
        <w:rPr>
          <w:spacing w:val="-6"/>
        </w:rPr>
        <w:t xml:space="preserve"> </w:t>
      </w:r>
      <w:r>
        <w:t>inciso</w:t>
      </w:r>
      <w:r>
        <w:rPr>
          <w:spacing w:val="-6"/>
        </w:rPr>
        <w:t xml:space="preserve"> </w:t>
      </w:r>
      <w:r>
        <w:t>tercero</w:t>
      </w:r>
      <w:r>
        <w:rPr>
          <w:spacing w:val="-2"/>
        </w:rPr>
        <w:t xml:space="preserve"> </w:t>
      </w:r>
      <w:r>
        <w:t>del</w:t>
      </w:r>
      <w:r>
        <w:rPr>
          <w:spacing w:val="-1"/>
        </w:rPr>
        <w:t xml:space="preserve"> </w:t>
      </w:r>
      <w:r>
        <w:t>artículo</w:t>
      </w:r>
      <w:r>
        <w:rPr>
          <w:spacing w:val="-5"/>
        </w:rPr>
        <w:t xml:space="preserve"> </w:t>
      </w:r>
      <w:r>
        <w:t>segundo</w:t>
      </w:r>
      <w:r>
        <w:rPr>
          <w:spacing w:val="-6"/>
        </w:rPr>
        <w:t xml:space="preserve"> </w:t>
      </w:r>
      <w:r>
        <w:t>de</w:t>
      </w:r>
      <w:r>
        <w:rPr>
          <w:spacing w:val="-3"/>
        </w:rPr>
        <w:t xml:space="preserve"> </w:t>
      </w:r>
      <w:r>
        <w:t>la</w:t>
      </w:r>
      <w:r>
        <w:rPr>
          <w:spacing w:val="-5"/>
        </w:rPr>
        <w:t xml:space="preserve"> </w:t>
      </w:r>
      <w:r>
        <w:rPr>
          <w:spacing w:val="-4"/>
        </w:rPr>
        <w:t>ley:</w:t>
      </w:r>
    </w:p>
    <w:p w:rsidR="00520B4B" w:rsidRDefault="00520B4B">
      <w:pPr>
        <w:pStyle w:val="Textoindependiente"/>
        <w:rPr>
          <w:sz w:val="23"/>
        </w:rPr>
      </w:pPr>
    </w:p>
    <w:p w:rsidR="00520B4B" w:rsidRDefault="007D2613">
      <w:pPr>
        <w:pStyle w:val="Textoindependiente"/>
        <w:spacing w:line="300" w:lineRule="auto"/>
        <w:ind w:left="101" w:right="117"/>
        <w:jc w:val="both"/>
      </w:pPr>
      <w:r>
        <w:t>Para sustituir por un punto (.) la expresión “con excepción de la comparecencia a las audiencias de juicio oral.”</w:t>
      </w:r>
    </w:p>
    <w:p w:rsidR="00520B4B" w:rsidRDefault="00520B4B">
      <w:pPr>
        <w:pStyle w:val="Textoindependiente"/>
        <w:rPr>
          <w:sz w:val="20"/>
        </w:rPr>
      </w:pPr>
    </w:p>
    <w:p w:rsidR="00520B4B" w:rsidRDefault="00520B4B">
      <w:pPr>
        <w:pStyle w:val="Textoindependiente"/>
        <w:rPr>
          <w:sz w:val="20"/>
        </w:rPr>
      </w:pPr>
    </w:p>
    <w:p w:rsidR="00520B4B" w:rsidRDefault="007D2613">
      <w:pPr>
        <w:pStyle w:val="Textoindependiente"/>
        <w:spacing w:before="7"/>
      </w:pPr>
      <w:r>
        <w:rPr>
          <w:noProof/>
        </w:rPr>
        <w:drawing>
          <wp:anchor distT="0" distB="0" distL="0" distR="0" simplePos="0" relativeHeight="487588352" behindDoc="1" locked="0" layoutInCell="1" allowOverlap="1">
            <wp:simplePos x="0" y="0"/>
            <wp:positionH relativeFrom="page">
              <wp:posOffset>3247919</wp:posOffset>
            </wp:positionH>
            <wp:positionV relativeFrom="paragraph">
              <wp:posOffset>193779</wp:posOffset>
            </wp:positionV>
            <wp:extent cx="1009196" cy="98450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09196" cy="984503"/>
                    </a:xfrm>
                    <a:prstGeom prst="rect">
                      <a:avLst/>
                    </a:prstGeom>
                  </pic:spPr>
                </pic:pic>
              </a:graphicData>
            </a:graphic>
          </wp:anchor>
        </w:drawing>
      </w:r>
    </w:p>
    <w:p w:rsidR="00520B4B" w:rsidRDefault="00520B4B">
      <w:pPr>
        <w:pStyle w:val="Textoindependiente"/>
        <w:spacing w:before="7"/>
        <w:rPr>
          <w:sz w:val="6"/>
        </w:rPr>
      </w:pPr>
    </w:p>
    <w:p w:rsidR="00520B4B" w:rsidRDefault="007D2613">
      <w:pPr>
        <w:spacing w:before="55"/>
        <w:ind w:left="2742" w:right="2578"/>
        <w:jc w:val="center"/>
        <w:rPr>
          <w:b/>
        </w:rPr>
      </w:pPr>
      <w:r>
        <w:rPr>
          <w:b/>
        </w:rPr>
        <w:t>LUIS</w:t>
      </w:r>
      <w:r>
        <w:rPr>
          <w:b/>
          <w:spacing w:val="-12"/>
        </w:rPr>
        <w:t xml:space="preserve"> </w:t>
      </w:r>
      <w:r>
        <w:rPr>
          <w:b/>
        </w:rPr>
        <w:t>FERNANDO</w:t>
      </w:r>
      <w:r>
        <w:rPr>
          <w:b/>
          <w:spacing w:val="-8"/>
        </w:rPr>
        <w:t xml:space="preserve"> </w:t>
      </w:r>
      <w:r>
        <w:rPr>
          <w:b/>
        </w:rPr>
        <w:t>SÁNCHEZ</w:t>
      </w:r>
      <w:r>
        <w:rPr>
          <w:b/>
          <w:spacing w:val="-11"/>
        </w:rPr>
        <w:t xml:space="preserve"> </w:t>
      </w:r>
      <w:r>
        <w:rPr>
          <w:b/>
          <w:spacing w:val="-4"/>
        </w:rPr>
        <w:t>OSSA</w:t>
      </w:r>
    </w:p>
    <w:p w:rsidR="00520B4B" w:rsidRDefault="00520B4B">
      <w:pPr>
        <w:pStyle w:val="Textoindependiente"/>
        <w:rPr>
          <w:b/>
          <w:sz w:val="18"/>
        </w:rPr>
      </w:pPr>
    </w:p>
    <w:p w:rsidR="00520B4B" w:rsidRDefault="007D2613">
      <w:pPr>
        <w:ind w:left="2686"/>
        <w:rPr>
          <w:b/>
        </w:rPr>
      </w:pPr>
      <w:r>
        <w:rPr>
          <w:b/>
        </w:rPr>
        <w:t>H.</w:t>
      </w:r>
      <w:r>
        <w:rPr>
          <w:b/>
          <w:spacing w:val="-9"/>
        </w:rPr>
        <w:t xml:space="preserve"> </w:t>
      </w:r>
      <w:r>
        <w:rPr>
          <w:b/>
        </w:rPr>
        <w:t>DIPUTADO</w:t>
      </w:r>
      <w:r>
        <w:rPr>
          <w:b/>
          <w:spacing w:val="-2"/>
        </w:rPr>
        <w:t xml:space="preserve"> </w:t>
      </w:r>
      <w:r>
        <w:rPr>
          <w:b/>
        </w:rPr>
        <w:t>DE</w:t>
      </w:r>
      <w:r>
        <w:rPr>
          <w:b/>
          <w:spacing w:val="-6"/>
        </w:rPr>
        <w:t xml:space="preserve"> </w:t>
      </w:r>
      <w:r>
        <w:rPr>
          <w:b/>
        </w:rPr>
        <w:t>LA</w:t>
      </w:r>
      <w:r>
        <w:rPr>
          <w:b/>
          <w:spacing w:val="-5"/>
        </w:rPr>
        <w:t xml:space="preserve"> </w:t>
      </w:r>
      <w:r>
        <w:rPr>
          <w:b/>
          <w:spacing w:val="-2"/>
        </w:rPr>
        <w:t>REPÚBLICA</w:t>
      </w:r>
    </w:p>
    <w:sectPr w:rsidR="00520B4B">
      <w:pgSz w:w="12240" w:h="15840"/>
      <w:pgMar w:top="14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3BB1"/>
    <w:multiLevelType w:val="hybridMultilevel"/>
    <w:tmpl w:val="8006CF06"/>
    <w:lvl w:ilvl="0" w:tplc="90AECD40">
      <w:start w:val="1"/>
      <w:numFmt w:val="upperRoman"/>
      <w:lvlText w:val="%1."/>
      <w:lvlJc w:val="left"/>
      <w:pPr>
        <w:ind w:left="1182" w:hanging="721"/>
        <w:jc w:val="left"/>
      </w:pPr>
      <w:rPr>
        <w:rFonts w:ascii="Book Antiqua" w:eastAsia="Book Antiqua" w:hAnsi="Book Antiqua" w:cs="Book Antiqua" w:hint="default"/>
        <w:b/>
        <w:bCs/>
        <w:i w:val="0"/>
        <w:iCs w:val="0"/>
        <w:spacing w:val="0"/>
        <w:w w:val="100"/>
        <w:sz w:val="22"/>
        <w:szCs w:val="22"/>
        <w:lang w:val="es-ES" w:eastAsia="en-US" w:bidi="ar-SA"/>
      </w:rPr>
    </w:lvl>
    <w:lvl w:ilvl="1" w:tplc="9DA07B06">
      <w:start w:val="1"/>
      <w:numFmt w:val="decimal"/>
      <w:lvlText w:val="%2."/>
      <w:lvlJc w:val="left"/>
      <w:pPr>
        <w:ind w:left="821" w:hanging="361"/>
        <w:jc w:val="left"/>
      </w:pPr>
      <w:rPr>
        <w:rFonts w:ascii="Book Antiqua" w:eastAsia="Book Antiqua" w:hAnsi="Book Antiqua" w:cs="Book Antiqua" w:hint="default"/>
        <w:b/>
        <w:bCs/>
        <w:i w:val="0"/>
        <w:iCs w:val="0"/>
        <w:spacing w:val="0"/>
        <w:w w:val="100"/>
        <w:sz w:val="22"/>
        <w:szCs w:val="22"/>
        <w:lang w:val="es-ES" w:eastAsia="en-US" w:bidi="ar-SA"/>
      </w:rPr>
    </w:lvl>
    <w:lvl w:ilvl="2" w:tplc="07D00330">
      <w:numFmt w:val="bullet"/>
      <w:lvlText w:val="•"/>
      <w:lvlJc w:val="left"/>
      <w:pPr>
        <w:ind w:left="2055" w:hanging="361"/>
      </w:pPr>
      <w:rPr>
        <w:rFonts w:hint="default"/>
        <w:lang w:val="es-ES" w:eastAsia="en-US" w:bidi="ar-SA"/>
      </w:rPr>
    </w:lvl>
    <w:lvl w:ilvl="3" w:tplc="AC224A62">
      <w:numFmt w:val="bullet"/>
      <w:lvlText w:val="•"/>
      <w:lvlJc w:val="left"/>
      <w:pPr>
        <w:ind w:left="2931" w:hanging="361"/>
      </w:pPr>
      <w:rPr>
        <w:rFonts w:hint="default"/>
        <w:lang w:val="es-ES" w:eastAsia="en-US" w:bidi="ar-SA"/>
      </w:rPr>
    </w:lvl>
    <w:lvl w:ilvl="4" w:tplc="1A464C08">
      <w:numFmt w:val="bullet"/>
      <w:lvlText w:val="•"/>
      <w:lvlJc w:val="left"/>
      <w:pPr>
        <w:ind w:left="3806" w:hanging="361"/>
      </w:pPr>
      <w:rPr>
        <w:rFonts w:hint="default"/>
        <w:lang w:val="es-ES" w:eastAsia="en-US" w:bidi="ar-SA"/>
      </w:rPr>
    </w:lvl>
    <w:lvl w:ilvl="5" w:tplc="314A5FEE">
      <w:numFmt w:val="bullet"/>
      <w:lvlText w:val="•"/>
      <w:lvlJc w:val="left"/>
      <w:pPr>
        <w:ind w:left="4682" w:hanging="361"/>
      </w:pPr>
      <w:rPr>
        <w:rFonts w:hint="default"/>
        <w:lang w:val="es-ES" w:eastAsia="en-US" w:bidi="ar-SA"/>
      </w:rPr>
    </w:lvl>
    <w:lvl w:ilvl="6" w:tplc="9B0480B2">
      <w:numFmt w:val="bullet"/>
      <w:lvlText w:val="•"/>
      <w:lvlJc w:val="left"/>
      <w:pPr>
        <w:ind w:left="5557" w:hanging="361"/>
      </w:pPr>
      <w:rPr>
        <w:rFonts w:hint="default"/>
        <w:lang w:val="es-ES" w:eastAsia="en-US" w:bidi="ar-SA"/>
      </w:rPr>
    </w:lvl>
    <w:lvl w:ilvl="7" w:tplc="95CE8388">
      <w:numFmt w:val="bullet"/>
      <w:lvlText w:val="•"/>
      <w:lvlJc w:val="left"/>
      <w:pPr>
        <w:ind w:left="6433" w:hanging="361"/>
      </w:pPr>
      <w:rPr>
        <w:rFonts w:hint="default"/>
        <w:lang w:val="es-ES" w:eastAsia="en-US" w:bidi="ar-SA"/>
      </w:rPr>
    </w:lvl>
    <w:lvl w:ilvl="8" w:tplc="8032A2B6">
      <w:numFmt w:val="bullet"/>
      <w:lvlText w:val="•"/>
      <w:lvlJc w:val="left"/>
      <w:pPr>
        <w:ind w:left="7308"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20B4B"/>
    <w:rsid w:val="00520B4B"/>
    <w:rsid w:val="007D26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13.cl/noticia/ex-ante/politica/alza-delincuencia-2022-mirada-expertos-cau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uta.cl/nacional/paz-ciudadana-delitos-violentos-aumento-en-chile-pauta-fina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4877</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 art.12 CPP.docx</dc:title>
  <dc:creator>luis.sanchez</dc:creator>
  <cp:lastModifiedBy>Guillermo Diaz Vallejos</cp:lastModifiedBy>
  <cp:revision>1</cp:revision>
  <dcterms:created xsi:type="dcterms:W3CDTF">2023-08-29T19:06:00Z</dcterms:created>
  <dcterms:modified xsi:type="dcterms:W3CDTF">2023-09-06T15:21:00Z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Producer">
    <vt:lpwstr>Microsoft: Print To PDF</vt:lpwstr>
  </property>
</Properties>
</file>