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04FF" w:rsidRDefault="006F3DA0">
      <w:pPr>
        <w:pStyle w:val="Textoindependiente"/>
        <w:ind w:left="364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161325" cy="110642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325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4FF" w:rsidRDefault="002604FF">
      <w:pPr>
        <w:pStyle w:val="Textoindependiente"/>
        <w:rPr>
          <w:rFonts w:ascii="Times New Roman"/>
          <w:sz w:val="20"/>
        </w:rPr>
      </w:pPr>
    </w:p>
    <w:p w:rsidR="002604FF" w:rsidRDefault="002604FF">
      <w:pPr>
        <w:pStyle w:val="Textoindependiente"/>
        <w:rPr>
          <w:rFonts w:ascii="Times New Roman"/>
          <w:sz w:val="20"/>
        </w:rPr>
      </w:pPr>
    </w:p>
    <w:p w:rsidR="002604FF" w:rsidRDefault="002604FF">
      <w:pPr>
        <w:pStyle w:val="Textoindependiente"/>
        <w:rPr>
          <w:rFonts w:ascii="Times New Roman"/>
          <w:sz w:val="20"/>
        </w:rPr>
      </w:pPr>
    </w:p>
    <w:p w:rsidR="002604FF" w:rsidRDefault="002604FF">
      <w:pPr>
        <w:pStyle w:val="Textoindependiente"/>
        <w:rPr>
          <w:rFonts w:ascii="Times New Roman"/>
          <w:sz w:val="20"/>
        </w:rPr>
      </w:pPr>
    </w:p>
    <w:p w:rsidR="002604FF" w:rsidRDefault="002604FF">
      <w:pPr>
        <w:pStyle w:val="Textoindependiente"/>
        <w:spacing w:before="8"/>
        <w:rPr>
          <w:rFonts w:ascii="Times New Roman"/>
          <w:sz w:val="18"/>
        </w:rPr>
      </w:pPr>
    </w:p>
    <w:p w:rsidR="002604FF" w:rsidRDefault="006F3DA0">
      <w:pPr>
        <w:spacing w:before="55" w:line="400" w:lineRule="auto"/>
        <w:ind w:left="101" w:right="117"/>
        <w:jc w:val="both"/>
        <w:rPr>
          <w:b/>
        </w:rPr>
      </w:pPr>
      <w:r>
        <w:rPr>
          <w:b/>
        </w:rPr>
        <w:t xml:space="preserve">PROYECTO DE LEY QUE AUMENTA LA SANCIÓN DEL DELITO DE VIOLACIÓN </w:t>
      </w:r>
      <w:r>
        <w:rPr>
          <w:b/>
          <w:spacing w:val="-2"/>
        </w:rPr>
        <w:t>PROPIA.</w:t>
      </w:r>
    </w:p>
    <w:p w:rsidR="002604FF" w:rsidRDefault="002604FF">
      <w:pPr>
        <w:pStyle w:val="Textoindependiente"/>
        <w:rPr>
          <w:b/>
        </w:rPr>
      </w:pPr>
    </w:p>
    <w:p w:rsidR="002604FF" w:rsidRDefault="002604FF">
      <w:pPr>
        <w:pStyle w:val="Textoindependiente"/>
        <w:rPr>
          <w:b/>
        </w:rPr>
      </w:pPr>
    </w:p>
    <w:p w:rsidR="002604FF" w:rsidRDefault="002604FF">
      <w:pPr>
        <w:pStyle w:val="Textoindependiente"/>
        <w:rPr>
          <w:b/>
        </w:rPr>
      </w:pPr>
    </w:p>
    <w:p w:rsidR="002604FF" w:rsidRDefault="006F3DA0">
      <w:pPr>
        <w:pStyle w:val="Prrafodelista"/>
        <w:numPr>
          <w:ilvl w:val="0"/>
          <w:numId w:val="1"/>
        </w:numPr>
        <w:tabs>
          <w:tab w:val="left" w:pos="1182"/>
        </w:tabs>
        <w:spacing w:before="190"/>
        <w:rPr>
          <w:b/>
        </w:rPr>
      </w:pPr>
      <w:r>
        <w:rPr>
          <w:b/>
        </w:rPr>
        <w:t>Ideas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Generales</w:t>
      </w:r>
    </w:p>
    <w:p w:rsidR="002604FF" w:rsidRDefault="002604FF">
      <w:pPr>
        <w:pStyle w:val="Textoindependiente"/>
        <w:rPr>
          <w:b/>
        </w:rPr>
      </w:pPr>
    </w:p>
    <w:p w:rsidR="002604FF" w:rsidRDefault="002604FF">
      <w:pPr>
        <w:pStyle w:val="Textoindependiente"/>
        <w:rPr>
          <w:b/>
        </w:rPr>
      </w:pPr>
    </w:p>
    <w:p w:rsidR="002604FF" w:rsidRDefault="006F3DA0">
      <w:pPr>
        <w:pStyle w:val="Prrafodelista"/>
        <w:numPr>
          <w:ilvl w:val="1"/>
          <w:numId w:val="1"/>
        </w:numPr>
        <w:tabs>
          <w:tab w:val="left" w:pos="820"/>
        </w:tabs>
        <w:ind w:left="820" w:hanging="359"/>
        <w:rPr>
          <w:b/>
        </w:rPr>
      </w:pPr>
      <w:r>
        <w:rPr>
          <w:b/>
        </w:rPr>
        <w:t>Antecedentes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generales</w:t>
      </w:r>
    </w:p>
    <w:p w:rsidR="002604FF" w:rsidRDefault="002604FF">
      <w:pPr>
        <w:pStyle w:val="Textoindependiente"/>
        <w:rPr>
          <w:b/>
        </w:rPr>
      </w:pPr>
    </w:p>
    <w:p w:rsidR="002604FF" w:rsidRDefault="002604FF">
      <w:pPr>
        <w:pStyle w:val="Textoindependiente"/>
        <w:spacing w:before="1"/>
        <w:rPr>
          <w:b/>
        </w:rPr>
      </w:pPr>
    </w:p>
    <w:p w:rsidR="002604FF" w:rsidRDefault="006F3DA0">
      <w:pPr>
        <w:spacing w:line="285" w:lineRule="auto"/>
        <w:ind w:left="101" w:right="119"/>
        <w:jc w:val="both"/>
        <w:rPr>
          <w:i/>
        </w:rPr>
      </w:pPr>
      <w:r>
        <w:t xml:space="preserve">La violación es uno de los delitos con mayor ocurrencia en nuestro país. De hecho, el año pasado nuestro país alcanzó la mayor tasa de la época, con </w:t>
      </w:r>
      <w:r>
        <w:rPr>
          <w:i/>
        </w:rPr>
        <w:t>“un aumento de 30,8% en la tasa de este ilícito respecto del 2012, año en el que se registraron 3.275 casos</w:t>
      </w:r>
      <w:r>
        <w:rPr>
          <w:i/>
        </w:rPr>
        <w:t>”</w:t>
      </w:r>
      <w:r>
        <w:rPr>
          <w:i/>
          <w:vertAlign w:val="superscript"/>
        </w:rPr>
        <w:t>1</w:t>
      </w:r>
      <w:r>
        <w:rPr>
          <w:i/>
        </w:rPr>
        <w:t>.</w:t>
      </w:r>
    </w:p>
    <w:p w:rsidR="002604FF" w:rsidRDefault="006F3DA0">
      <w:pPr>
        <w:pStyle w:val="Textoindependiente"/>
        <w:spacing w:before="155" w:line="280" w:lineRule="auto"/>
        <w:ind w:left="101" w:right="117"/>
        <w:jc w:val="both"/>
      </w:pPr>
      <w:r>
        <w:t>De este modo, los delitos sexuales son una lamentable realidad en Chile. Los datos entregados por el Centro de Estudios y Análisis del Delito demuestran que existe un aumento sostenido en el número de denuncias por abusos sexuales y otros hechos ilícit</w:t>
      </w:r>
      <w:r>
        <w:t>os de esta naturaleza. Así, si bien el 2017 hubo 9.056 denuncias, el año pasado estas aumentaron a 17.084</w:t>
      </w:r>
      <w:r>
        <w:rPr>
          <w:vertAlign w:val="superscript"/>
        </w:rPr>
        <w:t>2</w:t>
      </w:r>
      <w:r>
        <w:t>.</w:t>
      </w:r>
    </w:p>
    <w:p w:rsidR="002604FF" w:rsidRDefault="006F3DA0">
      <w:pPr>
        <w:pStyle w:val="Textoindependiente"/>
        <w:spacing w:before="162" w:line="280" w:lineRule="auto"/>
        <w:ind w:left="101" w:right="116"/>
        <w:jc w:val="both"/>
      </w:pPr>
      <w:r>
        <w:t>Asimismo, las estadísticas son claras en demostrar que si bien hay un gran número de menores de 14 años que son víctimas de delitos como la violación impropia o el abuso sexual impropio, el número de víctimas mayores de 14 años lo supera con creces. En est</w:t>
      </w:r>
      <w:r>
        <w:t xml:space="preserve">e sentido, mientras el año 2020, 5552 víctimas eran mayores de 14 años, esta cifra aumentó a </w:t>
      </w:r>
      <w:r>
        <w:rPr>
          <w:spacing w:val="-2"/>
        </w:rPr>
        <w:t>7.764</w:t>
      </w:r>
      <w:r>
        <w:rPr>
          <w:spacing w:val="-2"/>
          <w:vertAlign w:val="superscript"/>
        </w:rPr>
        <w:t>3</w:t>
      </w:r>
      <w:r>
        <w:rPr>
          <w:spacing w:val="-2"/>
        </w:rPr>
        <w:t>.</w:t>
      </w:r>
    </w:p>
    <w:p w:rsidR="002604FF" w:rsidRDefault="002604FF">
      <w:pPr>
        <w:pStyle w:val="Textoindependiente"/>
        <w:rPr>
          <w:sz w:val="20"/>
        </w:rPr>
      </w:pPr>
    </w:p>
    <w:p w:rsidR="002604FF" w:rsidRDefault="006F3DA0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189330</wp:posOffset>
                </wp:positionV>
                <wp:extent cx="1828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799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C20BD" id="Graphic 2" o:spid="_x0000_s1026" style="position:absolute;margin-left:85.1pt;margin-top:14.9pt;width:2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" path="m,l1828799,e" filled="f" strokeweight=".1323mm">
                <v:path arrowok="t"/>
                <w10:wrap type="topAndBottom" anchorx="page"/>
              </v:shape>
            </w:pict>
          </mc:Fallback>
        </mc:AlternateContent>
      </w:r>
    </w:p>
    <w:p w:rsidR="002604FF" w:rsidRDefault="006F3DA0">
      <w:pPr>
        <w:spacing w:before="134" w:line="244" w:lineRule="auto"/>
        <w:ind w:left="101" w:right="139" w:hanging="1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color w:val="0562C1"/>
          <w:sz w:val="20"/>
          <w:u w:val="single" w:color="0562C1"/>
        </w:rPr>
        <w:t>https://</w:t>
      </w:r>
      <w:hyperlink r:id="rId6">
        <w:r>
          <w:rPr>
            <w:rFonts w:ascii="Calibri"/>
            <w:color w:val="0562C1"/>
            <w:sz w:val="20"/>
            <w:u w:val="single" w:color="0562C1"/>
          </w:rPr>
          <w:t>www.latercera.com/la-tercera-sabado/noticia/en-2022-chile-alcanzo-la-mayor-tasa-de-homicidios-</w:t>
        </w:r>
      </w:hyperlink>
      <w:r>
        <w:rPr>
          <w:rFonts w:ascii="Calibri"/>
          <w:color w:val="0562C1"/>
          <w:sz w:val="20"/>
        </w:rPr>
        <w:t xml:space="preserve"> </w:t>
      </w:r>
      <w:r>
        <w:rPr>
          <w:rFonts w:ascii="Calibri"/>
          <w:color w:val="0562C1"/>
          <w:spacing w:val="-2"/>
          <w:sz w:val="20"/>
          <w:u w:val="single" w:color="0562C1"/>
        </w:rPr>
        <w:t>violaciones-y-porte-ilegal-de-armas-de-la-decada/J4KE7YZWWVGR7P3XZFCOAKIAAM/</w:t>
      </w:r>
    </w:p>
    <w:p w:rsidR="002604FF" w:rsidRDefault="006F3DA0">
      <w:pPr>
        <w:spacing w:before="16"/>
        <w:ind w:left="101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2</w:t>
      </w:r>
      <w:r>
        <w:rPr>
          <w:rFonts w:ascii="Calibri"/>
          <w:spacing w:val="50"/>
          <w:sz w:val="20"/>
        </w:rPr>
        <w:t xml:space="preserve"> </w:t>
      </w:r>
      <w:r>
        <w:rPr>
          <w:rFonts w:ascii="Calibri"/>
          <w:color w:val="0562C1"/>
          <w:spacing w:val="-2"/>
          <w:sz w:val="20"/>
          <w:u w:val="single" w:color="0562C1"/>
        </w:rPr>
        <w:t>https://cead.spd.gov.cl/estadisticas-delictuales/</w:t>
      </w:r>
    </w:p>
    <w:p w:rsidR="002604FF" w:rsidRDefault="006F3DA0">
      <w:pPr>
        <w:spacing w:before="25"/>
        <w:ind w:left="101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3</w:t>
      </w:r>
      <w:r>
        <w:rPr>
          <w:rFonts w:ascii="Calibri"/>
          <w:spacing w:val="50"/>
          <w:sz w:val="20"/>
        </w:rPr>
        <w:t xml:space="preserve"> </w:t>
      </w:r>
      <w:r>
        <w:rPr>
          <w:rFonts w:ascii="Calibri"/>
          <w:color w:val="0562C1"/>
          <w:spacing w:val="-2"/>
          <w:sz w:val="20"/>
          <w:u w:val="single" w:color="0562C1"/>
        </w:rPr>
        <w:t>https://cead.spd.gov.cl/estadi</w:t>
      </w:r>
      <w:r>
        <w:rPr>
          <w:rFonts w:ascii="Calibri"/>
          <w:color w:val="0562C1"/>
          <w:spacing w:val="-2"/>
          <w:sz w:val="20"/>
          <w:u w:val="single" w:color="0562C1"/>
        </w:rPr>
        <w:t>sticas-delictuales/</w:t>
      </w:r>
    </w:p>
    <w:p w:rsidR="002604FF" w:rsidRDefault="002604FF">
      <w:pPr>
        <w:rPr>
          <w:rFonts w:ascii="Calibri"/>
          <w:sz w:val="20"/>
        </w:rPr>
        <w:sectPr w:rsidR="002604FF">
          <w:type w:val="continuous"/>
          <w:pgSz w:w="12240" w:h="15840"/>
          <w:pgMar w:top="1660" w:right="1580" w:bottom="280" w:left="1600" w:header="720" w:footer="720" w:gutter="0"/>
          <w:cols w:space="720"/>
        </w:sectPr>
      </w:pPr>
    </w:p>
    <w:p w:rsidR="002604FF" w:rsidRDefault="006F3DA0">
      <w:pPr>
        <w:pStyle w:val="Textoindependiente"/>
        <w:spacing w:before="35" w:line="280" w:lineRule="auto"/>
        <w:ind w:left="101" w:right="117"/>
        <w:jc w:val="both"/>
      </w:pPr>
      <w:r>
        <w:lastRenderedPageBreak/>
        <w:t>Casos como el de Antonia Barra o del violador serial del Parque Los Reyes han puesto el foco en estos crímenes que afectando la indemnidad o libertad sexual de sus víctimas siguen teniendo devastadoras consecuencias en su sa</w:t>
      </w:r>
      <w:r>
        <w:t>lud física y mental, aún muchos años después de ocurrida la vulneración.</w:t>
      </w:r>
    </w:p>
    <w:p w:rsidR="002604FF" w:rsidRDefault="006F3DA0">
      <w:pPr>
        <w:spacing w:before="163" w:line="285" w:lineRule="auto"/>
        <w:ind w:left="101" w:right="116"/>
        <w:jc w:val="both"/>
        <w:rPr>
          <w:i/>
        </w:rPr>
      </w:pPr>
      <w:r>
        <w:t xml:space="preserve">La gravedad de este delito es indiscutible, ya que el daño que causa puede alcanzar todos los ámbitos de quién lo sufre, y consterna a toda la población. </w:t>
      </w:r>
      <w:r>
        <w:rPr>
          <w:i/>
        </w:rPr>
        <w:t>“El</w:t>
      </w:r>
      <w:r>
        <w:rPr>
          <w:i/>
          <w:spacing w:val="-1"/>
        </w:rPr>
        <w:t xml:space="preserve"> </w:t>
      </w:r>
      <w:r>
        <w:rPr>
          <w:i/>
        </w:rPr>
        <w:t>rechazo de toda comunidad</w:t>
      </w:r>
      <w:r>
        <w:rPr>
          <w:i/>
        </w:rPr>
        <w:t xml:space="preserve"> civilizada frente a sus formas de manifestación debiera ser aún más drástico si se considera que afecta fundamentalmente a los más débiles de la sociedad”</w:t>
      </w:r>
      <w:r>
        <w:rPr>
          <w:i/>
          <w:vertAlign w:val="superscript"/>
        </w:rPr>
        <w:t>4</w:t>
      </w:r>
      <w:r>
        <w:rPr>
          <w:i/>
        </w:rPr>
        <w:t>.</w:t>
      </w:r>
    </w:p>
    <w:p w:rsidR="002604FF" w:rsidRDefault="006F3DA0">
      <w:pPr>
        <w:pStyle w:val="Textoindependiente"/>
        <w:spacing w:before="158" w:line="280" w:lineRule="auto"/>
        <w:ind w:left="101" w:right="119"/>
        <w:jc w:val="both"/>
      </w:pPr>
      <w:r>
        <w:t>A pesar de los avances que se ha tenido en la materia, sobre todo en relación con el establecimien</w:t>
      </w:r>
      <w:r>
        <w:t>to de derechos para las víctimas y los cambios en la forma de efectuar diligencias evitando la revictimización, aún hay mucho por hacer.</w:t>
      </w:r>
    </w:p>
    <w:p w:rsidR="002604FF" w:rsidRDefault="006F3DA0">
      <w:pPr>
        <w:pStyle w:val="Textoindependiente"/>
        <w:spacing w:before="161" w:line="280" w:lineRule="auto"/>
        <w:ind w:left="101" w:right="116"/>
        <w:jc w:val="both"/>
      </w:pPr>
      <w:r>
        <w:t>En particular, considerando la gravedad del delito llama la atención que la sanción de la violación propia, esta es, la</w:t>
      </w:r>
      <w:r>
        <w:t xml:space="preserve"> que afecta a los mayores de 14 años, se encuentre incluso por debajo de otros hechos ilícitos como lo son algunos delitos en contra de la propiedad.</w:t>
      </w:r>
    </w:p>
    <w:p w:rsidR="002604FF" w:rsidRDefault="006F3DA0">
      <w:pPr>
        <w:pStyle w:val="Textoindependiente"/>
        <w:spacing w:before="161" w:line="280" w:lineRule="auto"/>
        <w:ind w:left="101" w:right="118"/>
        <w:jc w:val="both"/>
      </w:pPr>
      <w:r>
        <w:t>Esto resulta incomprensible, ya que, de acuerdo con los bienes jurídicos protegidos, el delito de violació</w:t>
      </w:r>
      <w:r>
        <w:t xml:space="preserve">n debería contener una sanción superior a la del robo. ¿Qué justifica que la violación propia sea sancionada con una pena inferior que la asignada al robo con </w:t>
      </w:r>
      <w:r>
        <w:rPr>
          <w:spacing w:val="-2"/>
        </w:rPr>
        <w:t>intimidación?</w:t>
      </w:r>
    </w:p>
    <w:p w:rsidR="002604FF" w:rsidRDefault="006F3DA0">
      <w:pPr>
        <w:pStyle w:val="Textoindependiente"/>
        <w:spacing w:before="163" w:line="280" w:lineRule="auto"/>
        <w:ind w:left="101" w:right="118"/>
        <w:jc w:val="both"/>
      </w:pPr>
      <w:r>
        <w:t>Sin una respuesta razonable que le dé sentido a lo anterior, es imprescindible que la desarmonía entre las normas sea corregida a la brevedad.</w:t>
      </w:r>
    </w:p>
    <w:p w:rsidR="002604FF" w:rsidRDefault="006F3DA0">
      <w:pPr>
        <w:pStyle w:val="Textoindependiente"/>
        <w:spacing w:before="160" w:line="280" w:lineRule="auto"/>
        <w:ind w:left="101" w:right="117"/>
        <w:jc w:val="both"/>
      </w:pPr>
      <w:r>
        <w:t>En este sentido, el presente proyecto de ley busca modificar la sanción del delito de violación propia, la que ac</w:t>
      </w:r>
      <w:r>
        <w:t>tualmente consiste en la pena de presidio mayor en su grado mínimo a medio, esto es una sanción que parte en los 5 años y 1 día y que puede llegar hasta los 15 años, por la pena única de presidio mayor en su grado medio. De este modo,</w:t>
      </w:r>
      <w:r>
        <w:rPr>
          <w:spacing w:val="40"/>
        </w:rPr>
        <w:t xml:space="preserve"> </w:t>
      </w:r>
      <w:r>
        <w:t>la sanción partiría e</w:t>
      </w:r>
      <w:r>
        <w:t>n los 10 años y podría alcanzar hasta los 15.</w:t>
      </w:r>
    </w:p>
    <w:p w:rsidR="002604FF" w:rsidRDefault="006F3DA0">
      <w:pPr>
        <w:pStyle w:val="Textoindependiente"/>
        <w:spacing w:before="162" w:line="280" w:lineRule="auto"/>
        <w:ind w:left="101" w:right="117"/>
        <w:jc w:val="both"/>
      </w:pPr>
      <w:r>
        <w:t>Asimismo,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incorpora</w:t>
      </w:r>
      <w:r>
        <w:rPr>
          <w:spacing w:val="-2"/>
        </w:rPr>
        <w:t xml:space="preserve"> </w:t>
      </w:r>
      <w:r>
        <w:t>un marco rígido</w:t>
      </w:r>
      <w:r>
        <w:rPr>
          <w:spacing w:val="-4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t>tanto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 delito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violación</w:t>
      </w:r>
      <w:r>
        <w:rPr>
          <w:spacing w:val="-3"/>
        </w:rPr>
        <w:t xml:space="preserve"> </w:t>
      </w:r>
      <w:r>
        <w:t>propia</w:t>
      </w:r>
      <w:r>
        <w:rPr>
          <w:spacing w:val="-7"/>
        </w:rPr>
        <w:t xml:space="preserve"> </w:t>
      </w:r>
      <w:r>
        <w:t>como impropia, impedirá que, utilizando diferentes reglas de determinación de la pena, las sanciones aplicables sean rebajadas de sus tramos mínimos.</w:t>
      </w:r>
    </w:p>
    <w:p w:rsidR="002604FF" w:rsidRDefault="006F3DA0">
      <w:pPr>
        <w:pStyle w:val="Textoindependiente"/>
        <w:spacing w:before="161" w:line="283" w:lineRule="auto"/>
        <w:ind w:left="101" w:right="119"/>
        <w:jc w:val="both"/>
      </w:pPr>
      <w:r>
        <w:t xml:space="preserve">Como sociedad debemos ser enfáticos en que conductas tan violentas como la sexual no deben ser toleradas, </w:t>
      </w:r>
      <w:r>
        <w:t>y que serán sancionadas con todo el rigor de la ley.</w:t>
      </w:r>
    </w:p>
    <w:p w:rsidR="002604FF" w:rsidRDefault="002604FF">
      <w:pPr>
        <w:pStyle w:val="Textoindependiente"/>
        <w:rPr>
          <w:sz w:val="20"/>
        </w:rPr>
      </w:pPr>
    </w:p>
    <w:p w:rsidR="002604FF" w:rsidRDefault="002604FF">
      <w:pPr>
        <w:pStyle w:val="Textoindependiente"/>
        <w:rPr>
          <w:sz w:val="20"/>
        </w:rPr>
      </w:pPr>
    </w:p>
    <w:p w:rsidR="002604FF" w:rsidRDefault="002604FF">
      <w:pPr>
        <w:pStyle w:val="Textoindependiente"/>
        <w:rPr>
          <w:sz w:val="20"/>
        </w:rPr>
      </w:pPr>
    </w:p>
    <w:p w:rsidR="002604FF" w:rsidRDefault="002604FF">
      <w:pPr>
        <w:pStyle w:val="Textoindependiente"/>
        <w:rPr>
          <w:sz w:val="20"/>
        </w:rPr>
      </w:pPr>
    </w:p>
    <w:p w:rsidR="002604FF" w:rsidRDefault="002604FF">
      <w:pPr>
        <w:pStyle w:val="Textoindependiente"/>
        <w:rPr>
          <w:sz w:val="20"/>
        </w:rPr>
      </w:pPr>
    </w:p>
    <w:p w:rsidR="002604FF" w:rsidRDefault="002604FF">
      <w:pPr>
        <w:pStyle w:val="Textoindependiente"/>
        <w:rPr>
          <w:sz w:val="20"/>
        </w:rPr>
      </w:pPr>
    </w:p>
    <w:p w:rsidR="002604FF" w:rsidRDefault="006F3DA0">
      <w:pPr>
        <w:pStyle w:val="Textoindependiente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135723</wp:posOffset>
                </wp:positionV>
                <wp:extent cx="1828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799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DC737" id="Graphic 3" o:spid="_x0000_s1026" style="position:absolute;margin-left:85.1pt;margin-top:10.7pt;width:2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" path="m,l1828799,e" filled="f" strokeweight=".1323mm">
                <v:path arrowok="t"/>
                <w10:wrap type="topAndBottom" anchorx="page"/>
              </v:shape>
            </w:pict>
          </mc:Fallback>
        </mc:AlternateContent>
      </w:r>
    </w:p>
    <w:p w:rsidR="002604FF" w:rsidRDefault="006F3DA0">
      <w:pPr>
        <w:spacing w:before="134"/>
        <w:ind w:left="101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Juan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Carlos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Tobar.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(Agosto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2023).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Violencia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sexual.</w:t>
      </w:r>
      <w:r>
        <w:rPr>
          <w:rFonts w:ascii="Calibri" w:hAnsi="Calibri"/>
          <w:spacing w:val="-2"/>
          <w:sz w:val="20"/>
        </w:rPr>
        <w:t xml:space="preserve"> Pág.13</w:t>
      </w:r>
    </w:p>
    <w:p w:rsidR="002604FF" w:rsidRDefault="002604FF">
      <w:pPr>
        <w:rPr>
          <w:rFonts w:ascii="Calibri" w:hAnsi="Calibri"/>
          <w:sz w:val="20"/>
        </w:rPr>
        <w:sectPr w:rsidR="002604FF">
          <w:pgSz w:w="12240" w:h="15840"/>
          <w:pgMar w:top="1400" w:right="1580" w:bottom="280" w:left="1600" w:header="720" w:footer="720" w:gutter="0"/>
          <w:cols w:space="720"/>
        </w:sectPr>
      </w:pPr>
    </w:p>
    <w:p w:rsidR="002604FF" w:rsidRDefault="006F3DA0">
      <w:pPr>
        <w:spacing w:before="39"/>
        <w:ind w:left="101"/>
        <w:jc w:val="both"/>
        <w:rPr>
          <w:b/>
        </w:rPr>
      </w:pPr>
      <w:r>
        <w:rPr>
          <w:b/>
        </w:rPr>
        <w:lastRenderedPageBreak/>
        <w:t>PROYECTO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  <w:spacing w:val="-5"/>
        </w:rPr>
        <w:t>LEY</w:t>
      </w:r>
    </w:p>
    <w:p w:rsidR="002604FF" w:rsidRDefault="002604FF">
      <w:pPr>
        <w:pStyle w:val="Textoindependiente"/>
        <w:rPr>
          <w:b/>
        </w:rPr>
      </w:pPr>
    </w:p>
    <w:p w:rsidR="002604FF" w:rsidRDefault="002604FF">
      <w:pPr>
        <w:pStyle w:val="Textoindependiente"/>
        <w:rPr>
          <w:b/>
        </w:rPr>
      </w:pPr>
    </w:p>
    <w:p w:rsidR="002604FF" w:rsidRDefault="006F3DA0">
      <w:pPr>
        <w:pStyle w:val="Textoindependiente"/>
        <w:spacing w:before="160"/>
        <w:ind w:left="101"/>
        <w:jc w:val="both"/>
      </w:pPr>
      <w:r>
        <w:t>“</w:t>
      </w:r>
      <w:r>
        <w:rPr>
          <w:b/>
        </w:rPr>
        <w:t>Artículo</w:t>
      </w:r>
      <w:r>
        <w:rPr>
          <w:b/>
          <w:spacing w:val="-9"/>
        </w:rPr>
        <w:t xml:space="preserve"> </w:t>
      </w:r>
      <w:r>
        <w:rPr>
          <w:b/>
        </w:rPr>
        <w:t>1.-</w:t>
      </w:r>
      <w:r>
        <w:rPr>
          <w:b/>
          <w:spacing w:val="-5"/>
        </w:rPr>
        <w:t xml:space="preserve"> </w:t>
      </w:r>
      <w:r>
        <w:t>Introdúcense</w:t>
      </w:r>
      <w:r>
        <w:rPr>
          <w:spacing w:val="-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siguientes</w:t>
      </w:r>
      <w:r>
        <w:rPr>
          <w:spacing w:val="-6"/>
        </w:rPr>
        <w:t xml:space="preserve"> </w:t>
      </w:r>
      <w:r>
        <w:t>modificaciones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Código</w:t>
      </w:r>
      <w:r>
        <w:rPr>
          <w:spacing w:val="-6"/>
        </w:rPr>
        <w:t xml:space="preserve"> </w:t>
      </w:r>
      <w:r>
        <w:rPr>
          <w:spacing w:val="-2"/>
        </w:rPr>
        <w:t>Penal:</w:t>
      </w:r>
    </w:p>
    <w:p w:rsidR="002604FF" w:rsidRDefault="002604FF">
      <w:pPr>
        <w:pStyle w:val="Textoindependiente"/>
      </w:pPr>
    </w:p>
    <w:p w:rsidR="002604FF" w:rsidRDefault="002604FF">
      <w:pPr>
        <w:pStyle w:val="Textoindependiente"/>
      </w:pPr>
    </w:p>
    <w:p w:rsidR="002604FF" w:rsidRDefault="006F3DA0">
      <w:pPr>
        <w:pStyle w:val="Textoindependiente"/>
        <w:spacing w:before="142" w:line="280" w:lineRule="auto"/>
        <w:ind w:left="101" w:right="117"/>
        <w:jc w:val="both"/>
      </w:pPr>
      <w:r>
        <w:t>1.- Sustitúyase en el inciso primero del artículo 361 la expresión “presidio mayor en su grado mínimo a medio” por la expresión “presidio mayor en su grado medio”.</w:t>
      </w:r>
    </w:p>
    <w:p w:rsidR="002604FF" w:rsidRDefault="002604FF">
      <w:pPr>
        <w:pStyle w:val="Textoindependiente"/>
      </w:pPr>
    </w:p>
    <w:p w:rsidR="002604FF" w:rsidRDefault="002604FF">
      <w:pPr>
        <w:pStyle w:val="Textoindependiente"/>
        <w:spacing w:before="6"/>
        <w:rPr>
          <w:sz w:val="29"/>
        </w:rPr>
      </w:pPr>
    </w:p>
    <w:p w:rsidR="002604FF" w:rsidRDefault="006F3DA0">
      <w:pPr>
        <w:pStyle w:val="Textoindependiente"/>
        <w:ind w:left="101"/>
        <w:jc w:val="both"/>
      </w:pPr>
      <w:r>
        <w:t>2.-</w:t>
      </w:r>
      <w:r>
        <w:rPr>
          <w:spacing w:val="46"/>
        </w:rPr>
        <w:t xml:space="preserve"> </w:t>
      </w:r>
      <w:r>
        <w:t>Incorpórese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362</w:t>
      </w:r>
      <w:r>
        <w:rPr>
          <w:spacing w:val="-5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Código</w:t>
      </w:r>
      <w:r>
        <w:rPr>
          <w:spacing w:val="-5"/>
        </w:rPr>
        <w:t xml:space="preserve"> </w:t>
      </w:r>
      <w:r>
        <w:rPr>
          <w:spacing w:val="-2"/>
        </w:rPr>
        <w:t>Penal:</w:t>
      </w:r>
    </w:p>
    <w:p w:rsidR="002604FF" w:rsidRDefault="002604FF">
      <w:pPr>
        <w:pStyle w:val="Textoindependiente"/>
      </w:pPr>
    </w:p>
    <w:p w:rsidR="002604FF" w:rsidRDefault="002604FF">
      <w:pPr>
        <w:pStyle w:val="Textoindependiente"/>
      </w:pPr>
    </w:p>
    <w:p w:rsidR="002604FF" w:rsidRDefault="006F3DA0">
      <w:pPr>
        <w:pStyle w:val="Textoindependiente"/>
        <w:spacing w:before="140" w:line="280" w:lineRule="auto"/>
        <w:ind w:left="101" w:right="118"/>
        <w:jc w:val="both"/>
      </w:pPr>
      <w:r>
        <w:t>“Artículo 362 bis.- Pa</w:t>
      </w:r>
      <w:r>
        <w:t>ra determinar la pena de los</w:t>
      </w:r>
      <w:r>
        <w:rPr>
          <w:spacing w:val="-1"/>
        </w:rPr>
        <w:t xml:space="preserve"> </w:t>
      </w:r>
      <w:r>
        <w:t>delitos comprendidos en los artículo 361 y 362</w:t>
      </w:r>
      <w:r>
        <w:rPr>
          <w:spacing w:val="80"/>
        </w:rPr>
        <w:t xml:space="preserve"> </w:t>
      </w:r>
      <w:r>
        <w:t>precedentes, no se considerará lo establecido en los artículos 65 a 69 y se aplicarán las reglas que a continuación se señalan:</w:t>
      </w:r>
    </w:p>
    <w:p w:rsidR="002604FF" w:rsidRDefault="006F3DA0">
      <w:pPr>
        <w:pStyle w:val="Textoindependiente"/>
        <w:spacing w:before="161" w:line="280" w:lineRule="auto"/>
        <w:ind w:left="101" w:right="117"/>
        <w:jc w:val="both"/>
      </w:pPr>
      <w:r>
        <w:t>1ª. Dentro del límite del grado o grados señalados p</w:t>
      </w:r>
      <w:r>
        <w:t>or la ley como pena al delito, el tribunal determinará la cuantía de la pena en atención al número y entidad de las circunstancias atenuantes y agravantes concurrentes, así como a la mayor o menor extensión del mal causado, fundamentándolo en su sentencia.</w:t>
      </w:r>
    </w:p>
    <w:p w:rsidR="002604FF" w:rsidRDefault="006F3DA0">
      <w:pPr>
        <w:pStyle w:val="Textoindependiente"/>
        <w:spacing w:before="163" w:line="280" w:lineRule="auto"/>
        <w:ind w:left="101" w:right="118"/>
        <w:jc w:val="both"/>
      </w:pPr>
      <w:r>
        <w:t>2ª. Tratándose de condenados reincidentes en los términos de las circunstancias</w:t>
      </w:r>
      <w:r>
        <w:rPr>
          <w:spacing w:val="40"/>
        </w:rPr>
        <w:t xml:space="preserve"> </w:t>
      </w:r>
      <w:r>
        <w:t>agravantes de los numerales 15 y 16 del artículo 12, el tribunal deberá, para los efectos de lo señalado en la regla anterior, excluir el grado mínimo de la pena si ésta es co</w:t>
      </w:r>
      <w:r>
        <w:t>mpuesta, o el mínimum si consta de un solo grado.”.</w:t>
      </w:r>
    </w:p>
    <w:p w:rsidR="002604FF" w:rsidRDefault="002604FF">
      <w:pPr>
        <w:pStyle w:val="Textoindependiente"/>
        <w:rPr>
          <w:sz w:val="20"/>
        </w:rPr>
      </w:pPr>
    </w:p>
    <w:p w:rsidR="002604FF" w:rsidRDefault="006F3DA0">
      <w:pPr>
        <w:pStyle w:val="Textoindependiente"/>
        <w:spacing w:before="5"/>
        <w:rPr>
          <w:sz w:val="24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3322320</wp:posOffset>
            </wp:positionH>
            <wp:positionV relativeFrom="paragraph">
              <wp:posOffset>208059</wp:posOffset>
            </wp:positionV>
            <wp:extent cx="963168" cy="908303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168" cy="908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04FF" w:rsidRDefault="002604FF">
      <w:pPr>
        <w:pStyle w:val="Textoindependiente"/>
        <w:spacing w:before="1"/>
        <w:rPr>
          <w:sz w:val="15"/>
        </w:rPr>
      </w:pPr>
    </w:p>
    <w:p w:rsidR="002604FF" w:rsidRDefault="006F3DA0">
      <w:pPr>
        <w:spacing w:before="92"/>
        <w:ind w:left="2689" w:right="28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LUIS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</w:rPr>
        <w:t>FERNANDO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SÁNCHEZ</w:t>
      </w:r>
      <w:r>
        <w:rPr>
          <w:rFonts w:ascii="Times New Roman" w:hAnsi="Times New Roman"/>
          <w:b/>
          <w:spacing w:val="-9"/>
        </w:rPr>
        <w:t xml:space="preserve"> </w:t>
      </w:r>
      <w:r>
        <w:rPr>
          <w:rFonts w:ascii="Times New Roman" w:hAnsi="Times New Roman"/>
          <w:b/>
          <w:spacing w:val="-4"/>
        </w:rPr>
        <w:t>OSSA</w:t>
      </w:r>
    </w:p>
    <w:p w:rsidR="002604FF" w:rsidRDefault="006F3DA0">
      <w:pPr>
        <w:spacing w:before="179"/>
        <w:ind w:left="268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H.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DIPUTADO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LA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  <w:spacing w:val="-2"/>
        </w:rPr>
        <w:t>REPÚBLICA</w:t>
      </w:r>
    </w:p>
    <w:sectPr w:rsidR="002604FF">
      <w:pgSz w:w="12240" w:h="15840"/>
      <w:pgMar w:top="14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58F4"/>
    <w:multiLevelType w:val="hybridMultilevel"/>
    <w:tmpl w:val="7EB8DF7A"/>
    <w:lvl w:ilvl="0" w:tplc="D3FE52B0">
      <w:start w:val="1"/>
      <w:numFmt w:val="upperRoman"/>
      <w:lvlText w:val="%1."/>
      <w:lvlJc w:val="left"/>
      <w:pPr>
        <w:ind w:left="1182" w:hanging="721"/>
        <w:jc w:val="left"/>
      </w:pPr>
      <w:rPr>
        <w:rFonts w:ascii="Book Antiqua" w:eastAsia="Book Antiqua" w:hAnsi="Book Antiqua" w:cs="Book Antiqua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896EAEA2">
      <w:start w:val="1"/>
      <w:numFmt w:val="decimal"/>
      <w:lvlText w:val="%2."/>
      <w:lvlJc w:val="left"/>
      <w:pPr>
        <w:ind w:left="821" w:hanging="361"/>
        <w:jc w:val="left"/>
      </w:pPr>
      <w:rPr>
        <w:rFonts w:ascii="Book Antiqua" w:eastAsia="Book Antiqua" w:hAnsi="Book Antiqua" w:cs="Book Antiqua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1F78A7DC">
      <w:numFmt w:val="bullet"/>
      <w:lvlText w:val="•"/>
      <w:lvlJc w:val="left"/>
      <w:pPr>
        <w:ind w:left="2055" w:hanging="361"/>
      </w:pPr>
      <w:rPr>
        <w:rFonts w:hint="default"/>
        <w:lang w:val="es-ES" w:eastAsia="en-US" w:bidi="ar-SA"/>
      </w:rPr>
    </w:lvl>
    <w:lvl w:ilvl="3" w:tplc="4D02B252">
      <w:numFmt w:val="bullet"/>
      <w:lvlText w:val="•"/>
      <w:lvlJc w:val="left"/>
      <w:pPr>
        <w:ind w:left="2931" w:hanging="361"/>
      </w:pPr>
      <w:rPr>
        <w:rFonts w:hint="default"/>
        <w:lang w:val="es-ES" w:eastAsia="en-US" w:bidi="ar-SA"/>
      </w:rPr>
    </w:lvl>
    <w:lvl w:ilvl="4" w:tplc="8100533A">
      <w:numFmt w:val="bullet"/>
      <w:lvlText w:val="•"/>
      <w:lvlJc w:val="left"/>
      <w:pPr>
        <w:ind w:left="3806" w:hanging="361"/>
      </w:pPr>
      <w:rPr>
        <w:rFonts w:hint="default"/>
        <w:lang w:val="es-ES" w:eastAsia="en-US" w:bidi="ar-SA"/>
      </w:rPr>
    </w:lvl>
    <w:lvl w:ilvl="5" w:tplc="56DCA62E">
      <w:numFmt w:val="bullet"/>
      <w:lvlText w:val="•"/>
      <w:lvlJc w:val="left"/>
      <w:pPr>
        <w:ind w:left="4682" w:hanging="361"/>
      </w:pPr>
      <w:rPr>
        <w:rFonts w:hint="default"/>
        <w:lang w:val="es-ES" w:eastAsia="en-US" w:bidi="ar-SA"/>
      </w:rPr>
    </w:lvl>
    <w:lvl w:ilvl="6" w:tplc="B6FEB48A">
      <w:numFmt w:val="bullet"/>
      <w:lvlText w:val="•"/>
      <w:lvlJc w:val="left"/>
      <w:pPr>
        <w:ind w:left="5557" w:hanging="361"/>
      </w:pPr>
      <w:rPr>
        <w:rFonts w:hint="default"/>
        <w:lang w:val="es-ES" w:eastAsia="en-US" w:bidi="ar-SA"/>
      </w:rPr>
    </w:lvl>
    <w:lvl w:ilvl="7" w:tplc="8D3A6322">
      <w:numFmt w:val="bullet"/>
      <w:lvlText w:val="•"/>
      <w:lvlJc w:val="left"/>
      <w:pPr>
        <w:ind w:left="6433" w:hanging="361"/>
      </w:pPr>
      <w:rPr>
        <w:rFonts w:hint="default"/>
        <w:lang w:val="es-ES" w:eastAsia="en-US" w:bidi="ar-SA"/>
      </w:rPr>
    </w:lvl>
    <w:lvl w:ilvl="8" w:tplc="7C729A3E">
      <w:numFmt w:val="bullet"/>
      <w:lvlText w:val="•"/>
      <w:lvlJc w:val="left"/>
      <w:pPr>
        <w:ind w:left="7308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04FF"/>
    <w:rsid w:val="002604FF"/>
    <w:rsid w:val="006F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1C397-5388-44C5-A42D-459C1196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65"/>
      <w:ind w:left="820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tercera.com/la-tercera-sabado/noticia/en-2022-chile-alcanzo-la-mayor-tasa-de-homicidios-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VIOLACIÓN PROPIA.docx</dc:title>
  <dc:creator>luis.sanchez</dc:creator>
  <cp:lastModifiedBy>Guillermo Diaz Vallejos</cp:lastModifiedBy>
  <cp:revision>1</cp:revision>
  <dcterms:created xsi:type="dcterms:W3CDTF">2023-08-29T19:05:00Z</dcterms:created>
  <dcterms:modified xsi:type="dcterms:W3CDTF">2023-09-06T15:21:00Z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LastSaved">
    <vt:filetime>2023-08-29T00:00:00Z</vt:filetime>
  </property>
  <property fmtid="{D5CDD505-2E9C-101B-9397-08002B2CF9AE}" pid="4" name="Producer">
    <vt:lpwstr>Microsoft: Print To PDF</vt:lpwstr>
  </property>
</Properties>
</file>