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789" w:rsidRDefault="00E7721B">
      <w:pPr>
        <w:pStyle w:val="Textoindependiente"/>
        <w:ind w:left="37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38609" cy="9262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609" cy="92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789" w:rsidRDefault="003F5789">
      <w:pPr>
        <w:pStyle w:val="Textoindependiente"/>
        <w:rPr>
          <w:rFonts w:ascii="Times New Roman"/>
          <w:sz w:val="20"/>
        </w:rPr>
      </w:pPr>
    </w:p>
    <w:p w:rsidR="003F5789" w:rsidRDefault="003F5789">
      <w:pPr>
        <w:pStyle w:val="Textoindependiente"/>
        <w:spacing w:before="7"/>
        <w:rPr>
          <w:rFonts w:ascii="Times New Roman"/>
          <w:sz w:val="18"/>
        </w:rPr>
      </w:pPr>
    </w:p>
    <w:p w:rsidR="003F5789" w:rsidRDefault="00E7721B">
      <w:pPr>
        <w:spacing w:before="92" w:line="360" w:lineRule="auto"/>
        <w:ind w:left="240" w:firstLine="226"/>
        <w:rPr>
          <w:b/>
          <w:sz w:val="24"/>
        </w:rPr>
      </w:pPr>
      <w:r>
        <w:rPr>
          <w:b/>
          <w:sz w:val="24"/>
        </w:rPr>
        <w:t>Modifica la ley N° 18.695, orgánica constitucional de Municipalidades, en materia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convocatoria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plebiscitos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comunales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facilitar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realización</w:t>
      </w:r>
    </w:p>
    <w:p w:rsidR="003F5789" w:rsidRDefault="003F5789">
      <w:pPr>
        <w:pStyle w:val="Textoindependiente"/>
        <w:rPr>
          <w:b/>
          <w:sz w:val="26"/>
        </w:rPr>
      </w:pPr>
    </w:p>
    <w:p w:rsidR="003F5789" w:rsidRDefault="003F5789">
      <w:pPr>
        <w:pStyle w:val="Textoindependiente"/>
        <w:rPr>
          <w:b/>
          <w:sz w:val="26"/>
        </w:rPr>
      </w:pPr>
    </w:p>
    <w:p w:rsidR="003F5789" w:rsidRDefault="00E7721B">
      <w:pPr>
        <w:spacing w:before="230"/>
        <w:ind w:left="101"/>
        <w:rPr>
          <w:b/>
          <w:sz w:val="24"/>
        </w:rPr>
      </w:pPr>
      <w:r>
        <w:rPr>
          <w:b/>
          <w:spacing w:val="-2"/>
          <w:sz w:val="24"/>
        </w:rPr>
        <w:t>ANTECEDENTES:</w:t>
      </w:r>
    </w:p>
    <w:p w:rsidR="003F5789" w:rsidRDefault="003F5789">
      <w:pPr>
        <w:pStyle w:val="Textoindependiente"/>
        <w:rPr>
          <w:b/>
          <w:sz w:val="26"/>
        </w:rPr>
      </w:pPr>
    </w:p>
    <w:p w:rsidR="003F5789" w:rsidRDefault="003F5789">
      <w:pPr>
        <w:pStyle w:val="Textoindependiente"/>
        <w:rPr>
          <w:b/>
          <w:sz w:val="22"/>
        </w:rPr>
      </w:pPr>
    </w:p>
    <w:p w:rsidR="003F5789" w:rsidRDefault="00E7721B">
      <w:pPr>
        <w:pStyle w:val="Textoindependiente"/>
        <w:spacing w:line="360" w:lineRule="auto"/>
        <w:ind w:left="101" w:right="129"/>
        <w:jc w:val="both"/>
      </w:pPr>
      <w:r>
        <w:t>Las democracias modernas avanzan hacia una relación cada vez más colaborativa</w:t>
      </w:r>
      <w:r>
        <w:rPr>
          <w:spacing w:val="40"/>
        </w:rPr>
        <w:t xml:space="preserve"> </w:t>
      </w:r>
      <w:r>
        <w:t>y estrecha entre el Estado y la ciudadanía. Durante las últimas décadas se han desarrollado diversas iniciativas en América Latina y en el mundo impulsadas por organismos interna</w:t>
      </w:r>
      <w:r>
        <w:t>cionales y acuerdos multilaterales que fortalecen esta relación a través de la participación ciudadana y mecanismos de democracia directa.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Textoindependiente"/>
        <w:spacing w:line="360" w:lineRule="auto"/>
        <w:ind w:left="101" w:right="131"/>
        <w:jc w:val="both"/>
      </w:pPr>
      <w:r>
        <w:t>La Carta Iberoamericana de Participación Ciudadana en la Gestión Pública fue suscrita por Chile en el año 2009. Este</w:t>
      </w:r>
      <w:r>
        <w:t xml:space="preserve"> documento sostiene que las sociedades contemporáneas demandan la ampliación y profundización de la democracia. En 2016 Chile suscribe la Carta Iberoamericana de Gobierno Abierto, reforzando los compromisos en esta materia y vinculándolos a los Objetivos d</w:t>
      </w:r>
      <w:r>
        <w:t xml:space="preserve">e Desarrollo Sostenible (ODS) adoptados en el marco de la 70° Asamblea General de las Naciones Unidas, llevada a cabo en la ciudad de Nueva York en septiembre de </w:t>
      </w:r>
      <w:r>
        <w:rPr>
          <w:spacing w:val="-2"/>
        </w:rPr>
        <w:t>2015.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Textoindependiente"/>
        <w:spacing w:before="1" w:line="360" w:lineRule="auto"/>
        <w:ind w:left="101" w:right="130"/>
        <w:jc w:val="both"/>
      </w:pPr>
      <w:r>
        <w:t>El ODS número 16 tiene como uno de sus mayores desafíos la creación de nuevas formas de</w:t>
      </w:r>
      <w:r>
        <w:t xml:space="preserve"> gobernanza pública y una estructura estatal renovada que asegure el fomento de sociedades pacíficas e inclusivas para el desarrollo sostenible. Esto implica una mayor interacción entre el Estado y la sociedad, basada en la confianza y a través de gobierno</w:t>
      </w:r>
      <w:r>
        <w:t xml:space="preserve">s que promuevan espacios de participación ciudadana </w:t>
      </w:r>
      <w:r>
        <w:rPr>
          <w:spacing w:val="-2"/>
        </w:rPr>
        <w:t>efectiva.</w:t>
      </w:r>
    </w:p>
    <w:p w:rsidR="003F5789" w:rsidRDefault="003F5789">
      <w:pPr>
        <w:spacing w:line="360" w:lineRule="auto"/>
        <w:jc w:val="both"/>
        <w:sectPr w:rsidR="003F5789">
          <w:type w:val="continuous"/>
          <w:pgSz w:w="11910" w:h="16840"/>
          <w:pgMar w:top="1480" w:right="1320" w:bottom="280" w:left="1340" w:header="720" w:footer="720" w:gutter="0"/>
          <w:cols w:space="720"/>
        </w:sectPr>
      </w:pPr>
    </w:p>
    <w:p w:rsidR="003F5789" w:rsidRDefault="00E7721B">
      <w:pPr>
        <w:pStyle w:val="Textoindependiente"/>
        <w:spacing w:before="77" w:line="360" w:lineRule="auto"/>
        <w:ind w:left="101" w:right="130"/>
        <w:jc w:val="both"/>
      </w:pPr>
      <w:r>
        <w:lastRenderedPageBreak/>
        <w:t xml:space="preserve">La Constitución Política de la República de Chile en su artículo 5° establece que el plebiscito es una de las formas de ejercicio de la soberanía por el Pueblo. A su vez, la Ley </w:t>
      </w:r>
      <w:r>
        <w:t>Orgánica Constitucional de Municipalidades permite la realización de Plebiscitos Comunales, y establece los procedimientos y requisitos necesarios para llevarlos a cabo. Si la ciudadanía lo solicita, al menos el 10% de las personas que votaron en la última</w:t>
      </w:r>
      <w:r>
        <w:t xml:space="preserve"> elección municipal deben firmar ante un notario público u oficial del Registro Civil. Además, el plebiscito solo será vinculante si vota en él más del 50% de las personas habilitadas para votar en la comuna.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Textoindependiente"/>
        <w:spacing w:line="360" w:lineRule="auto"/>
        <w:ind w:left="101" w:right="132"/>
        <w:jc w:val="both"/>
      </w:pPr>
      <w:r>
        <w:t>No obstante, en la práctica, este espacio de participación se circunscribe</w:t>
      </w:r>
      <w:r>
        <w:rPr>
          <w:spacing w:val="40"/>
        </w:rPr>
        <w:t xml:space="preserve"> </w:t>
      </w:r>
      <w:r>
        <w:t>meramente a</w:t>
      </w:r>
      <w:r>
        <w:rPr>
          <w:spacing w:val="-1"/>
        </w:rPr>
        <w:t xml:space="preserve"> </w:t>
      </w:r>
      <w:r>
        <w:t>lo formal, con evidentes obstáculos que impiden su realización. Desde 1989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fecha,</w:t>
      </w:r>
      <w:r>
        <w:rPr>
          <w:spacing w:val="-1"/>
        </w:rPr>
        <w:t xml:space="preserve"> </w:t>
      </w:r>
      <w:r>
        <w:t>solo ha</w:t>
      </w:r>
      <w:r>
        <w:rPr>
          <w:spacing w:val="-2"/>
        </w:rPr>
        <w:t xml:space="preserve"> </w:t>
      </w:r>
      <w:r>
        <w:t>habido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plebiscito</w:t>
      </w:r>
      <w:r>
        <w:rPr>
          <w:spacing w:val="-2"/>
        </w:rPr>
        <w:t xml:space="preserve"> </w:t>
      </w:r>
      <w:r>
        <w:t>ciudadano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logrado</w:t>
      </w:r>
      <w:r>
        <w:rPr>
          <w:spacing w:val="-2"/>
        </w:rPr>
        <w:t xml:space="preserve"> </w:t>
      </w:r>
      <w:r>
        <w:t>ser vinculante y que, a su vez, se contrapuso a la posición representada por el Municipio, lo que deja de manifiesto las deficiencias en la normativa vigente.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Textoindependiente"/>
        <w:spacing w:line="360" w:lineRule="auto"/>
        <w:ind w:left="101" w:right="129"/>
        <w:jc w:val="both"/>
      </w:pPr>
      <w:r>
        <w:t>Primero, que las y los ciudadanos impulsores del plebiscito tengan como requisito firmar ante no</w:t>
      </w:r>
      <w:r>
        <w:t xml:space="preserve">tario u oficial del Registro Civil constituyen un entorpecimiento innecesario. En el primer caso, asistir ante notario requiere de una contraprestación pecuniaria a cargo de los firmantes, lo que contraviene el derecho a la participación y el principio de </w:t>
      </w:r>
      <w:r>
        <w:t>gratuidad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 xml:space="preserve">que los ciudadanos puedan ejercer efectivamente su derecho de participación en la gestión pública. En el segundo caso, asistir ante oficial de Registro Civil implica asistir a un servicio con alta demanda, lo que constituye un obstáculo que </w:t>
      </w:r>
      <w:r>
        <w:t>debiera soslayarse con la utilización de verificación electrónica, atendiendo que, nuestro Estado ha avanzado en tecnología mediante la autenticidad y verificación digital a través de la clave única.</w:t>
      </w:r>
    </w:p>
    <w:p w:rsidR="003F5789" w:rsidRDefault="003F5789">
      <w:pPr>
        <w:pStyle w:val="Textoindependiente"/>
        <w:spacing w:before="1"/>
        <w:rPr>
          <w:sz w:val="36"/>
        </w:rPr>
      </w:pPr>
    </w:p>
    <w:p w:rsidR="003F5789" w:rsidRDefault="00E7721B">
      <w:pPr>
        <w:pStyle w:val="Textoindependiente"/>
        <w:spacing w:line="360" w:lineRule="auto"/>
        <w:ind w:left="101" w:right="128"/>
        <w:jc w:val="both"/>
      </w:pPr>
      <w:r>
        <w:t>Segundo, de acuerdo con la legislación comparada, el um</w:t>
      </w:r>
      <w:r>
        <w:t>bral del 10% de ciudadanas y ciudadanos firmantes, para dar inicio al plebiscito resulta excesivo. Ya que el propósito es solo permitir la convocatoria, la cantidad no debería exceder el 5% de los votantes que participaron en la última elección.</w:t>
      </w:r>
    </w:p>
    <w:p w:rsidR="003F5789" w:rsidRDefault="003F5789">
      <w:pPr>
        <w:spacing w:line="360" w:lineRule="auto"/>
        <w:jc w:val="both"/>
        <w:sectPr w:rsidR="003F5789">
          <w:pgSz w:w="11910" w:h="16840"/>
          <w:pgMar w:top="1760" w:right="1320" w:bottom="280" w:left="1340" w:header="720" w:footer="720" w:gutter="0"/>
          <w:cols w:space="720"/>
        </w:sectPr>
      </w:pPr>
    </w:p>
    <w:p w:rsidR="003F5789" w:rsidRDefault="00E7721B">
      <w:pPr>
        <w:pStyle w:val="Textoindependiente"/>
        <w:spacing w:before="63" w:line="360" w:lineRule="auto"/>
        <w:ind w:left="101" w:right="125"/>
        <w:jc w:val="both"/>
      </w:pPr>
      <w:r>
        <w:lastRenderedPageBreak/>
        <w:t>En tercer lugar, el umbral de participación exigido de 50% para considerar el resultado del plebiscito como vinculante, no es razonable considerando que, la inscripción en el Registro Electoral es automática, aumentando el padrón considerable</w:t>
      </w:r>
      <w:r>
        <w:t>mente.</w:t>
      </w:r>
      <w:r>
        <w:rPr>
          <w:spacing w:val="-2"/>
        </w:rPr>
        <w:t xml:space="preserve"> </w:t>
      </w:r>
      <w:r>
        <w:t>Además,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relevante</w:t>
      </w:r>
      <w:r>
        <w:rPr>
          <w:spacing w:val="-3"/>
        </w:rPr>
        <w:t xml:space="preserve"> </w:t>
      </w:r>
      <w:r>
        <w:t>destacar,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interponer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 participación es una forma manifiesta de coartar la participación de la ciudadanía y su soberanía en materias que le son relevantes. Por último, hay que señalar que es contradictorio que</w:t>
      </w:r>
      <w:r>
        <w:t xml:space="preserve"> el resto de los procesos electorales que se celebran en el país no exigen un porcentaje de participación del electorado para hacerlos valer.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Textoindependiente"/>
        <w:spacing w:line="360" w:lineRule="auto"/>
        <w:ind w:left="101" w:right="127"/>
        <w:jc w:val="both"/>
      </w:pPr>
      <w:r>
        <w:t xml:space="preserve">Cuarto, es preocupante que, en la práctica, la solicitud de plebiscitos locales a requerimiento de la ciudadanía </w:t>
      </w:r>
      <w:r>
        <w:t>dependa de la voluntad política del alcalde o alcaldesa de turno o de procedimientos administrativos distintos para ingresar la solicitud dependiendo de la casa edilicia en la que se presente. Lo anterior,</w:t>
      </w:r>
      <w:r>
        <w:rPr>
          <w:spacing w:val="40"/>
        </w:rPr>
        <w:t xml:space="preserve"> </w:t>
      </w:r>
      <w:r>
        <w:t>confunde y merma la confianza de la ciudadanía. Po</w:t>
      </w:r>
      <w:r>
        <w:t>r esta razón, tanto el requerimiento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plebiscito como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resolución 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debieran recaer en una institución autónoma y técnica, tal como lo es el Servicio Electoral.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ind w:left="101"/>
        <w:rPr>
          <w:b/>
          <w:sz w:val="24"/>
        </w:rPr>
      </w:pPr>
      <w:r>
        <w:rPr>
          <w:b/>
          <w:spacing w:val="-2"/>
          <w:sz w:val="24"/>
        </w:rPr>
        <w:t>CONSIDERANDO:</w:t>
      </w:r>
    </w:p>
    <w:p w:rsidR="003F5789" w:rsidRDefault="003F5789">
      <w:pPr>
        <w:pStyle w:val="Textoindependiente"/>
        <w:rPr>
          <w:b/>
          <w:sz w:val="26"/>
        </w:rPr>
      </w:pPr>
    </w:p>
    <w:p w:rsidR="003F5789" w:rsidRDefault="003F5789">
      <w:pPr>
        <w:pStyle w:val="Textoindependiente"/>
        <w:rPr>
          <w:b/>
          <w:sz w:val="22"/>
        </w:rPr>
      </w:pPr>
    </w:p>
    <w:p w:rsidR="003F5789" w:rsidRDefault="00E7721B">
      <w:pPr>
        <w:pStyle w:val="Textoindependiente"/>
        <w:spacing w:line="360" w:lineRule="auto"/>
        <w:ind w:left="101" w:right="130"/>
        <w:jc w:val="both"/>
      </w:pPr>
      <w:r>
        <w:t xml:space="preserve">Que los procedimientos y requisitos establecidos en la </w:t>
      </w:r>
      <w:r>
        <w:t>Ley Orgánica Constitucional de Municipalidades respecto de los plebiscitos locales ciudadanos operan como un obstáculo para el ejercicio efectivo de la soberanía popular.</w:t>
      </w:r>
    </w:p>
    <w:p w:rsidR="003F5789" w:rsidRDefault="00E7721B">
      <w:pPr>
        <w:pStyle w:val="Textoindependiente"/>
        <w:spacing w:before="1" w:line="360" w:lineRule="auto"/>
        <w:ind w:left="101" w:right="136"/>
        <w:jc w:val="both"/>
      </w:pPr>
      <w:r>
        <w:t>Que lo anterior, no condice con los acuerdos internacionales reconocidos por el Estado de Chile ni con los enunciados de nuestra Constitución de la República.</w:t>
      </w:r>
    </w:p>
    <w:p w:rsidR="003F5789" w:rsidRDefault="00E7721B">
      <w:pPr>
        <w:pStyle w:val="Textoindependiente"/>
        <w:spacing w:line="360" w:lineRule="auto"/>
        <w:ind w:left="101" w:right="130"/>
        <w:jc w:val="both"/>
      </w:pPr>
      <w:r>
        <w:t>Que los avances tecnológicos logrados por el Estado de Chile deben de tener el fin de incrementar</w:t>
      </w:r>
      <w:r>
        <w:t xml:space="preserve"> la calidad, accesibilidad, y eficacia de la participación ciudadana y</w:t>
      </w:r>
      <w:r>
        <w:rPr>
          <w:spacing w:val="40"/>
        </w:rPr>
        <w:t xml:space="preserve"> </w:t>
      </w:r>
      <w:r>
        <w:t>los mecanismos para al ejercicio de la democracia directa.</w:t>
      </w:r>
    </w:p>
    <w:p w:rsidR="003F5789" w:rsidRDefault="00E7721B">
      <w:pPr>
        <w:pStyle w:val="Textoindependiente"/>
        <w:spacing w:line="360" w:lineRule="auto"/>
        <w:ind w:left="101" w:right="137"/>
        <w:jc w:val="both"/>
      </w:pPr>
      <w:r>
        <w:t>Que los plebiscitos deben constituirse como una forma de democracia real, efectiva y no meramente formal e inerte.</w:t>
      </w:r>
    </w:p>
    <w:p w:rsidR="003F5789" w:rsidRDefault="00E7721B">
      <w:pPr>
        <w:pStyle w:val="Textoindependiente"/>
        <w:spacing w:line="360" w:lineRule="auto"/>
        <w:ind w:left="101" w:right="137"/>
        <w:jc w:val="both"/>
      </w:pPr>
      <w:r>
        <w:t>Consideramo</w:t>
      </w:r>
      <w:r>
        <w:t>s absolutamente necesario democratizar el nivel local de nuestro país, puesto que las Municipalidades son las entidades más cercanas a la ciudadanía.</w:t>
      </w:r>
    </w:p>
    <w:p w:rsidR="003F5789" w:rsidRDefault="003F5789">
      <w:pPr>
        <w:spacing w:line="360" w:lineRule="auto"/>
        <w:jc w:val="both"/>
        <w:sectPr w:rsidR="003F5789">
          <w:pgSz w:w="11910" w:h="16840"/>
          <w:pgMar w:top="1360" w:right="1320" w:bottom="280" w:left="1340" w:header="720" w:footer="720" w:gutter="0"/>
          <w:cols w:space="720"/>
        </w:sectPr>
      </w:pPr>
    </w:p>
    <w:p w:rsidR="003F5789" w:rsidRDefault="00E7721B">
      <w:pPr>
        <w:spacing w:before="63"/>
        <w:ind w:left="101"/>
        <w:jc w:val="both"/>
        <w:rPr>
          <w:b/>
          <w:sz w:val="24"/>
        </w:rPr>
      </w:pPr>
      <w:r>
        <w:rPr>
          <w:b/>
          <w:sz w:val="24"/>
        </w:rPr>
        <w:t>IDEA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MATRIZ:</w:t>
      </w:r>
    </w:p>
    <w:p w:rsidR="003F5789" w:rsidRDefault="00E7721B">
      <w:pPr>
        <w:pStyle w:val="Textoindependiente"/>
        <w:spacing w:before="138"/>
        <w:ind w:left="101"/>
        <w:jc w:val="both"/>
      </w:pP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busca</w:t>
      </w:r>
      <w:r>
        <w:rPr>
          <w:spacing w:val="-4"/>
        </w:rPr>
        <w:t xml:space="preserve"> </w:t>
      </w:r>
      <w:r>
        <w:t>facilitar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plebiscitos</w:t>
      </w:r>
      <w:r>
        <w:rPr>
          <w:spacing w:val="-4"/>
        </w:rPr>
        <w:t xml:space="preserve"> </w:t>
      </w:r>
      <w:r>
        <w:rPr>
          <w:spacing w:val="-2"/>
        </w:rPr>
        <w:t>comunales.</w:t>
      </w:r>
    </w:p>
    <w:p w:rsidR="003F5789" w:rsidRDefault="003F5789">
      <w:pPr>
        <w:pStyle w:val="Textoindependiente"/>
        <w:rPr>
          <w:sz w:val="26"/>
        </w:rPr>
      </w:pPr>
    </w:p>
    <w:p w:rsidR="003F5789" w:rsidRDefault="003F5789">
      <w:pPr>
        <w:pStyle w:val="Textoindependiente"/>
        <w:rPr>
          <w:sz w:val="26"/>
        </w:rPr>
      </w:pPr>
    </w:p>
    <w:p w:rsidR="003F5789" w:rsidRDefault="003F5789">
      <w:pPr>
        <w:pStyle w:val="Textoindependiente"/>
        <w:rPr>
          <w:sz w:val="32"/>
        </w:rPr>
      </w:pPr>
    </w:p>
    <w:p w:rsidR="003F5789" w:rsidRDefault="00E7721B">
      <w:pPr>
        <w:ind w:left="3081" w:right="3094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3F5789" w:rsidRDefault="003F5789">
      <w:pPr>
        <w:pStyle w:val="Textoindependiente"/>
        <w:rPr>
          <w:b/>
          <w:sz w:val="26"/>
        </w:rPr>
      </w:pPr>
    </w:p>
    <w:p w:rsidR="003F5789" w:rsidRDefault="003F5789">
      <w:pPr>
        <w:pStyle w:val="Textoindependiente"/>
        <w:rPr>
          <w:b/>
          <w:sz w:val="22"/>
        </w:rPr>
      </w:pPr>
    </w:p>
    <w:p w:rsidR="003F5789" w:rsidRDefault="00E7721B">
      <w:pPr>
        <w:pStyle w:val="Textoindependiente"/>
        <w:spacing w:line="360" w:lineRule="auto"/>
        <w:ind w:left="101" w:right="135"/>
        <w:jc w:val="both"/>
      </w:pPr>
      <w:r>
        <w:t>Artículo único.- Incorpóranse las siguientes modificaciones en el DFL N°1, de 2006, del Ministerio del Interior, que fija el texto refundido, coordinado y sistematizado de la ley N°18.695, Orgánica Constitucional</w:t>
      </w:r>
      <w:r>
        <w:t xml:space="preserve"> de Municipalidades: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Prrafodelista"/>
        <w:numPr>
          <w:ilvl w:val="0"/>
          <w:numId w:val="1"/>
        </w:numPr>
        <w:tabs>
          <w:tab w:val="left" w:pos="820"/>
        </w:tabs>
        <w:ind w:left="820" w:hanging="359"/>
        <w:rPr>
          <w:sz w:val="24"/>
        </w:rPr>
      </w:pPr>
      <w:r>
        <w:rPr>
          <w:sz w:val="24"/>
        </w:rPr>
        <w:t>Reemplázase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3F5789" w:rsidRDefault="003F5789">
      <w:pPr>
        <w:pStyle w:val="Textoindependiente"/>
        <w:rPr>
          <w:sz w:val="26"/>
        </w:rPr>
      </w:pPr>
    </w:p>
    <w:p w:rsidR="003F5789" w:rsidRDefault="003F5789">
      <w:pPr>
        <w:pStyle w:val="Textoindependiente"/>
        <w:rPr>
          <w:sz w:val="22"/>
        </w:rPr>
      </w:pPr>
    </w:p>
    <w:p w:rsidR="003F5789" w:rsidRDefault="00E7721B">
      <w:pPr>
        <w:pStyle w:val="Textoindependiente"/>
        <w:spacing w:line="360" w:lineRule="auto"/>
        <w:ind w:left="461" w:right="115"/>
        <w:jc w:val="both"/>
      </w:pPr>
      <w:r>
        <w:t>“Artículo 100.- Para la procedencia del plebiscito a requerimiento de la ciudadanía, deberá concurrir con su firma, ante notario público, oficial del Registro Civil, ministro de fe designado por el Director Regional del Servicio Electoral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clave</w:t>
      </w:r>
      <w:r>
        <w:rPr>
          <w:spacing w:val="-3"/>
        </w:rPr>
        <w:t xml:space="preserve"> </w:t>
      </w:r>
      <w:r>
        <w:t>única del Registro Civil, a lo menos el equivalente al 5% de las personas que sufragaron en la última elección municipal al 31 de diciembre del año anterior, debiendo acreditarse dicho porcentaje me</w:t>
      </w:r>
      <w:r>
        <w:t>diante certificación que expedirá el Director Regional del Servicio Electoral. En el requerimiento, ya sea en papel o de manera electrónica, deberá señalarse la o las materias que se solicita</w:t>
      </w:r>
      <w:r>
        <w:rPr>
          <w:spacing w:val="40"/>
        </w:rPr>
        <w:t xml:space="preserve"> </w:t>
      </w:r>
      <w:r>
        <w:t>someter a plebiscito.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Textoindependiente"/>
        <w:spacing w:before="1" w:line="360" w:lineRule="auto"/>
        <w:ind w:left="461" w:right="129"/>
        <w:jc w:val="both"/>
      </w:pPr>
      <w:r>
        <w:t>Una vez reunidas las firmas, un o una rep</w:t>
      </w:r>
      <w:r>
        <w:t>resentante de las personas firmantes presentará el requerimiento de plebiscito ante el Director Regional del Servicio Electoral respectivo, quien dentro de sus competencias, revisará que los antecedentes se ajustan a la ley y comunicará tal circunstancia a</w:t>
      </w:r>
      <w:r>
        <w:t>l alcalde o alcaldesa respectiva.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Textoindependiente"/>
        <w:spacing w:line="360" w:lineRule="auto"/>
        <w:ind w:left="461" w:right="132"/>
        <w:jc w:val="both"/>
      </w:pPr>
      <w:r>
        <w:t>Si los antecedentes presentados no se ajustaren a la ley, el director notificará esta</w:t>
      </w:r>
      <w:r>
        <w:rPr>
          <w:spacing w:val="61"/>
        </w:rPr>
        <w:t xml:space="preserve"> </w:t>
      </w:r>
      <w:r>
        <w:t>circunstancia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las</w:t>
      </w:r>
      <w:r>
        <w:rPr>
          <w:spacing w:val="65"/>
        </w:rPr>
        <w:t xml:space="preserve"> </w:t>
      </w:r>
      <w:r>
        <w:t>personas</w:t>
      </w:r>
      <w:r>
        <w:rPr>
          <w:spacing w:val="66"/>
        </w:rPr>
        <w:t xml:space="preserve"> </w:t>
      </w:r>
      <w:r>
        <w:t>requirentes,</w:t>
      </w:r>
      <w:r>
        <w:rPr>
          <w:spacing w:val="65"/>
        </w:rPr>
        <w:t xml:space="preserve"> </w:t>
      </w:r>
      <w:r>
        <w:t>quienes</w:t>
      </w:r>
      <w:r>
        <w:rPr>
          <w:spacing w:val="65"/>
        </w:rPr>
        <w:t xml:space="preserve"> </w:t>
      </w:r>
      <w:r>
        <w:t>podrán</w:t>
      </w:r>
      <w:r>
        <w:rPr>
          <w:spacing w:val="64"/>
        </w:rPr>
        <w:t xml:space="preserve"> </w:t>
      </w:r>
      <w:r>
        <w:t>subsanar</w:t>
      </w:r>
      <w:r>
        <w:rPr>
          <w:spacing w:val="66"/>
        </w:rPr>
        <w:t xml:space="preserve"> </w:t>
      </w:r>
      <w:r>
        <w:rPr>
          <w:spacing w:val="-5"/>
        </w:rPr>
        <w:t>las</w:t>
      </w:r>
    </w:p>
    <w:p w:rsidR="003F5789" w:rsidRDefault="003F5789">
      <w:pPr>
        <w:spacing w:line="360" w:lineRule="auto"/>
        <w:jc w:val="both"/>
        <w:sectPr w:rsidR="003F5789">
          <w:pgSz w:w="11910" w:h="16840"/>
          <w:pgMar w:top="1360" w:right="1320" w:bottom="280" w:left="1340" w:header="720" w:footer="720" w:gutter="0"/>
          <w:cols w:space="720"/>
        </w:sectPr>
      </w:pPr>
    </w:p>
    <w:p w:rsidR="003F5789" w:rsidRDefault="00E7721B">
      <w:pPr>
        <w:pStyle w:val="Textoindependiente"/>
        <w:spacing w:before="63" w:line="360" w:lineRule="auto"/>
        <w:ind w:left="461" w:right="131"/>
        <w:jc w:val="both"/>
      </w:pPr>
      <w:r>
        <w:t>observaciones formuladas en los casos que sea proce</w:t>
      </w:r>
      <w:r>
        <w:t>dente, dentro del plazo de sesenta días contados desde la notificación.”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Prrafodelista"/>
        <w:numPr>
          <w:ilvl w:val="0"/>
          <w:numId w:val="1"/>
        </w:numPr>
        <w:tabs>
          <w:tab w:val="left" w:pos="820"/>
        </w:tabs>
        <w:ind w:left="820" w:hanging="359"/>
        <w:jc w:val="both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101:</w:t>
      </w:r>
    </w:p>
    <w:p w:rsidR="003F5789" w:rsidRDefault="003F5789">
      <w:pPr>
        <w:pStyle w:val="Textoindependiente"/>
        <w:rPr>
          <w:sz w:val="26"/>
        </w:rPr>
      </w:pPr>
    </w:p>
    <w:p w:rsidR="003F5789" w:rsidRDefault="003F5789">
      <w:pPr>
        <w:pStyle w:val="Textoindependiente"/>
        <w:rPr>
          <w:sz w:val="22"/>
        </w:rPr>
      </w:pPr>
    </w:p>
    <w:p w:rsidR="003F5789" w:rsidRDefault="00E7721B">
      <w:pPr>
        <w:pStyle w:val="Prrafodelista"/>
        <w:numPr>
          <w:ilvl w:val="1"/>
          <w:numId w:val="1"/>
        </w:numPr>
        <w:tabs>
          <w:tab w:val="left" w:pos="820"/>
        </w:tabs>
        <w:ind w:left="820" w:hanging="359"/>
        <w:jc w:val="both"/>
        <w:rPr>
          <w:sz w:val="24"/>
        </w:rPr>
      </w:pPr>
      <w:r>
        <w:rPr>
          <w:sz w:val="24"/>
        </w:rPr>
        <w:t>Reemplázase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primero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3F5789" w:rsidRDefault="00E7721B">
      <w:pPr>
        <w:pStyle w:val="Textoindependiente"/>
        <w:spacing w:before="138" w:line="360" w:lineRule="auto"/>
        <w:ind w:left="461" w:right="131"/>
        <w:jc w:val="both"/>
      </w:pPr>
      <w:r>
        <w:t>“Dentro del décimo día de adoptado el acuerdo del concejo, de recepcionado oficialmente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requerimiento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concejo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comunicación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Regional del Servicio Electoral en los términos del artículo anterior, el alcalde o alcaldesa dictará un dec</w:t>
      </w:r>
      <w:r>
        <w:t>reto para convocar a plebiscito. Dicho decreto se publicará, dentro de los cinco días siguientes a su dictación, en el Diario Oficial y en el sitio electrónico de la municipalidad respectiva y del Servicio Electoral. Asimismo, se difundirá mediante</w:t>
      </w:r>
      <w:r>
        <w:rPr>
          <w:spacing w:val="-1"/>
        </w:rPr>
        <w:t xml:space="preserve"> </w:t>
      </w:r>
      <w:r>
        <w:t>avisos</w:t>
      </w:r>
      <w:r>
        <w:rPr>
          <w:spacing w:val="-1"/>
        </w:rPr>
        <w:t xml:space="preserve"> </w:t>
      </w:r>
      <w:r>
        <w:t>fijados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 comunal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lugares</w:t>
      </w:r>
      <w:r>
        <w:rPr>
          <w:spacing w:val="-1"/>
        </w:rPr>
        <w:t xml:space="preserve"> </w:t>
      </w:r>
      <w:r>
        <w:t>públicos.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Prrafodelista"/>
        <w:numPr>
          <w:ilvl w:val="1"/>
          <w:numId w:val="1"/>
        </w:numPr>
        <w:tabs>
          <w:tab w:val="left" w:pos="821"/>
        </w:tabs>
        <w:spacing w:line="360" w:lineRule="auto"/>
        <w:ind w:left="821" w:right="138"/>
        <w:rPr>
          <w:sz w:val="24"/>
        </w:rPr>
      </w:pPr>
      <w:r>
        <w:rPr>
          <w:sz w:val="24"/>
        </w:rPr>
        <w:t>Agrégase</w:t>
      </w:r>
      <w:r>
        <w:rPr>
          <w:spacing w:val="80"/>
          <w:sz w:val="24"/>
        </w:rPr>
        <w:t xml:space="preserve"> </w:t>
      </w:r>
      <w:r>
        <w:rPr>
          <w:sz w:val="24"/>
        </w:rPr>
        <w:t>en</w:t>
      </w:r>
      <w:r>
        <w:rPr>
          <w:spacing w:val="80"/>
          <w:sz w:val="24"/>
        </w:rPr>
        <w:t xml:space="preserve"> </w:t>
      </w:r>
      <w:r>
        <w:rPr>
          <w:sz w:val="24"/>
        </w:rPr>
        <w:t>el</w:t>
      </w:r>
      <w:r>
        <w:rPr>
          <w:spacing w:val="80"/>
          <w:sz w:val="24"/>
        </w:rPr>
        <w:t xml:space="preserve"> </w:t>
      </w:r>
      <w:r>
        <w:rPr>
          <w:sz w:val="24"/>
        </w:rPr>
        <w:t>inciso</w:t>
      </w:r>
      <w:r>
        <w:rPr>
          <w:spacing w:val="80"/>
          <w:sz w:val="24"/>
        </w:rPr>
        <w:t xml:space="preserve"> </w:t>
      </w:r>
      <w:r>
        <w:rPr>
          <w:sz w:val="24"/>
        </w:rPr>
        <w:t>segundo,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palabra</w:t>
      </w:r>
      <w:r>
        <w:rPr>
          <w:spacing w:val="80"/>
          <w:sz w:val="24"/>
        </w:rPr>
        <w:t xml:space="preserve"> </w:t>
      </w:r>
      <w:r>
        <w:rPr>
          <w:sz w:val="24"/>
        </w:rPr>
        <w:t>“días”</w:t>
      </w:r>
      <w:r>
        <w:rPr>
          <w:spacing w:val="80"/>
          <w:sz w:val="24"/>
        </w:rPr>
        <w:t xml:space="preserve"> </w:t>
      </w:r>
      <w:r>
        <w:rPr>
          <w:sz w:val="24"/>
        </w:rPr>
        <w:t>la expresión “corridos”.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Prrafodelista"/>
        <w:numPr>
          <w:ilvl w:val="1"/>
          <w:numId w:val="1"/>
        </w:numPr>
        <w:tabs>
          <w:tab w:val="left" w:pos="820"/>
        </w:tabs>
        <w:ind w:left="820" w:hanging="359"/>
        <w:jc w:val="both"/>
        <w:rPr>
          <w:sz w:val="24"/>
        </w:rPr>
      </w:pPr>
      <w:r>
        <w:rPr>
          <w:sz w:val="24"/>
        </w:rPr>
        <w:t>Agrégase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tercero</w:t>
      </w:r>
      <w:r>
        <w:rPr>
          <w:spacing w:val="-4"/>
          <w:sz w:val="24"/>
        </w:rPr>
        <w:t xml:space="preserve"> </w:t>
      </w:r>
      <w:r>
        <w:rPr>
          <w:sz w:val="24"/>
        </w:rPr>
        <w:t>nuevo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3F5789" w:rsidRDefault="00E7721B">
      <w:pPr>
        <w:pStyle w:val="Textoindependiente"/>
        <w:spacing w:before="138" w:line="360" w:lineRule="auto"/>
        <w:ind w:left="461" w:right="131"/>
        <w:jc w:val="both"/>
      </w:pPr>
      <w:r>
        <w:t>“Si conforme a lo dispuesto en el inciso anterior, la celebración del plebiscito comunal debiere tener lugar dentro los cuatro meses anteriores a una elección popular, deberá realizarse en conjunto con ella, para lo cual se agregará una cédula y urnas espe</w:t>
      </w:r>
      <w:r>
        <w:t>ciales”.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Prrafodelista"/>
        <w:numPr>
          <w:ilvl w:val="1"/>
          <w:numId w:val="1"/>
        </w:numPr>
        <w:tabs>
          <w:tab w:val="left" w:pos="820"/>
        </w:tabs>
        <w:spacing w:before="1" w:line="360" w:lineRule="auto"/>
        <w:ind w:left="461" w:right="668" w:firstLine="0"/>
        <w:jc w:val="both"/>
        <w:rPr>
          <w:sz w:val="24"/>
        </w:rPr>
      </w:pPr>
      <w:r>
        <w:rPr>
          <w:sz w:val="24"/>
        </w:rPr>
        <w:t>Reemplázase el inciso tercero, que pasa a ser cuarto, por el siguiente: “Los</w:t>
      </w:r>
      <w:r>
        <w:rPr>
          <w:spacing w:val="-5"/>
          <w:sz w:val="24"/>
        </w:rPr>
        <w:t xml:space="preserve"> </w:t>
      </w:r>
      <w:r>
        <w:rPr>
          <w:sz w:val="24"/>
        </w:rPr>
        <w:t>resultados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plebiscito</w:t>
      </w:r>
      <w:r>
        <w:rPr>
          <w:spacing w:val="-5"/>
          <w:sz w:val="24"/>
        </w:rPr>
        <w:t xml:space="preserve"> </w:t>
      </w:r>
      <w:r>
        <w:rPr>
          <w:sz w:val="24"/>
        </w:rPr>
        <w:t>serán</w:t>
      </w:r>
      <w:r>
        <w:rPr>
          <w:spacing w:val="-5"/>
          <w:sz w:val="24"/>
        </w:rPr>
        <w:t xml:space="preserve"> </w:t>
      </w:r>
      <w:r>
        <w:rPr>
          <w:sz w:val="24"/>
        </w:rPr>
        <w:t>vinculantes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autoridad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municipal.”</w:t>
      </w:r>
    </w:p>
    <w:p w:rsidR="003F5789" w:rsidRDefault="003F5789">
      <w:pPr>
        <w:pStyle w:val="Textoindependiente"/>
        <w:spacing w:before="11"/>
        <w:rPr>
          <w:sz w:val="35"/>
        </w:rPr>
      </w:pPr>
    </w:p>
    <w:p w:rsidR="003F5789" w:rsidRDefault="00E7721B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31"/>
        <w:rPr>
          <w:sz w:val="24"/>
        </w:rPr>
      </w:pPr>
      <w:r>
        <w:rPr>
          <w:sz w:val="24"/>
        </w:rPr>
        <w:t>En</w:t>
      </w:r>
      <w:r>
        <w:rPr>
          <w:spacing w:val="77"/>
          <w:sz w:val="24"/>
        </w:rPr>
        <w:t xml:space="preserve"> </w:t>
      </w:r>
      <w:r>
        <w:rPr>
          <w:sz w:val="24"/>
        </w:rPr>
        <w:t>el</w:t>
      </w:r>
      <w:r>
        <w:rPr>
          <w:spacing w:val="79"/>
          <w:sz w:val="24"/>
        </w:rPr>
        <w:t xml:space="preserve"> </w:t>
      </w:r>
      <w:r>
        <w:rPr>
          <w:sz w:val="24"/>
        </w:rPr>
        <w:t>artículo</w:t>
      </w:r>
      <w:r>
        <w:rPr>
          <w:spacing w:val="79"/>
          <w:sz w:val="24"/>
        </w:rPr>
        <w:t xml:space="preserve"> </w:t>
      </w:r>
      <w:r>
        <w:rPr>
          <w:sz w:val="24"/>
        </w:rPr>
        <w:t>102,</w:t>
      </w:r>
      <w:r>
        <w:rPr>
          <w:spacing w:val="78"/>
          <w:sz w:val="24"/>
        </w:rPr>
        <w:t xml:space="preserve"> </w:t>
      </w:r>
      <w:r>
        <w:rPr>
          <w:sz w:val="24"/>
        </w:rPr>
        <w:t>reemplázase</w:t>
      </w:r>
      <w:r>
        <w:rPr>
          <w:spacing w:val="77"/>
          <w:sz w:val="24"/>
        </w:rPr>
        <w:t xml:space="preserve"> </w:t>
      </w:r>
      <w:r>
        <w:rPr>
          <w:sz w:val="24"/>
        </w:rPr>
        <w:t>los</w:t>
      </w:r>
      <w:r>
        <w:rPr>
          <w:spacing w:val="79"/>
          <w:sz w:val="24"/>
        </w:rPr>
        <w:t xml:space="preserve"> </w:t>
      </w:r>
      <w:r>
        <w:rPr>
          <w:sz w:val="24"/>
        </w:rPr>
        <w:t>incisos</w:t>
      </w:r>
      <w:r>
        <w:rPr>
          <w:spacing w:val="77"/>
          <w:sz w:val="24"/>
        </w:rPr>
        <w:t xml:space="preserve"> </w:t>
      </w:r>
      <w:r>
        <w:rPr>
          <w:sz w:val="24"/>
        </w:rPr>
        <w:t>primero</w:t>
      </w:r>
      <w:r>
        <w:rPr>
          <w:spacing w:val="77"/>
          <w:sz w:val="24"/>
        </w:rPr>
        <w:t xml:space="preserve"> </w:t>
      </w:r>
      <w:r>
        <w:rPr>
          <w:sz w:val="24"/>
        </w:rPr>
        <w:t>y</w:t>
      </w:r>
      <w:r>
        <w:rPr>
          <w:spacing w:val="79"/>
          <w:sz w:val="24"/>
        </w:rPr>
        <w:t xml:space="preserve"> </w:t>
      </w:r>
      <w:r>
        <w:rPr>
          <w:sz w:val="24"/>
        </w:rPr>
        <w:t>segundo</w:t>
      </w:r>
      <w:r>
        <w:rPr>
          <w:spacing w:val="77"/>
          <w:sz w:val="24"/>
        </w:rPr>
        <w:t xml:space="preserve"> </w:t>
      </w:r>
      <w:r>
        <w:rPr>
          <w:sz w:val="24"/>
        </w:rPr>
        <w:t>por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siguientes: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Textoindependiente"/>
        <w:spacing w:line="360" w:lineRule="auto"/>
        <w:ind w:left="461" w:right="138"/>
        <w:jc w:val="both"/>
      </w:pPr>
      <w:r>
        <w:t>“No podrá c</w:t>
      </w:r>
      <w:r>
        <w:t>onvocarse a plebiscito comunal cuya fecha de votación se encuentre dentro de los ciento veinte días corridos siguientes a una elección popular.”.</w:t>
      </w:r>
    </w:p>
    <w:p w:rsidR="003F5789" w:rsidRDefault="003F5789">
      <w:pPr>
        <w:spacing w:line="360" w:lineRule="auto"/>
        <w:jc w:val="both"/>
        <w:sectPr w:rsidR="003F5789">
          <w:pgSz w:w="11910" w:h="16840"/>
          <w:pgMar w:top="1360" w:right="1320" w:bottom="280" w:left="1340" w:header="720" w:footer="720" w:gutter="0"/>
          <w:cols w:space="720"/>
        </w:sectPr>
      </w:pPr>
    </w:p>
    <w:p w:rsidR="003F5789" w:rsidRDefault="00E7721B">
      <w:pPr>
        <w:pStyle w:val="Textoindependiente"/>
        <w:spacing w:before="63" w:line="360" w:lineRule="auto"/>
        <w:ind w:left="461"/>
      </w:pPr>
      <w:r>
        <w:t>No</w:t>
      </w:r>
      <w:r>
        <w:rPr>
          <w:spacing w:val="40"/>
        </w:rPr>
        <w:t xml:space="preserve"> </w:t>
      </w:r>
      <w:r>
        <w:t>podrá</w:t>
      </w:r>
      <w:r>
        <w:rPr>
          <w:spacing w:val="40"/>
        </w:rPr>
        <w:t xml:space="preserve"> </w:t>
      </w:r>
      <w:r>
        <w:t>plebiscitarse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mismo</w:t>
      </w:r>
      <w:r>
        <w:rPr>
          <w:spacing w:val="40"/>
        </w:rPr>
        <w:t xml:space="preserve"> </w:t>
      </w:r>
      <w:r>
        <w:t>asunto</w:t>
      </w:r>
      <w:r>
        <w:rPr>
          <w:spacing w:val="40"/>
        </w:rPr>
        <w:t xml:space="preserve"> </w:t>
      </w:r>
      <w:r>
        <w:t>más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vez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respectivo período alcaldicio.”</w:t>
      </w:r>
    </w:p>
    <w:p w:rsidR="003F5789" w:rsidRDefault="003F5789">
      <w:pPr>
        <w:pStyle w:val="Textoindependiente"/>
        <w:rPr>
          <w:sz w:val="36"/>
        </w:rPr>
      </w:pPr>
    </w:p>
    <w:p w:rsidR="003F5789" w:rsidRDefault="00E7721B">
      <w:pPr>
        <w:pStyle w:val="Prrafodelista"/>
        <w:numPr>
          <w:ilvl w:val="0"/>
          <w:numId w:val="1"/>
        </w:numPr>
        <w:tabs>
          <w:tab w:val="left" w:pos="820"/>
        </w:tabs>
        <w:ind w:left="820" w:hanging="359"/>
        <w:rPr>
          <w:sz w:val="24"/>
        </w:rPr>
      </w:pPr>
      <w:r>
        <w:rPr>
          <w:sz w:val="24"/>
        </w:rPr>
        <w:t>Suprímase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103.</w:t>
      </w:r>
    </w:p>
    <w:p w:rsidR="003F5789" w:rsidRDefault="003F5789">
      <w:pPr>
        <w:pStyle w:val="Textoindependiente"/>
        <w:rPr>
          <w:sz w:val="26"/>
        </w:rPr>
      </w:pPr>
    </w:p>
    <w:p w:rsidR="003F5789" w:rsidRDefault="003F5789">
      <w:pPr>
        <w:pStyle w:val="Textoindependiente"/>
        <w:rPr>
          <w:sz w:val="26"/>
        </w:rPr>
      </w:pPr>
    </w:p>
    <w:p w:rsidR="003F5789" w:rsidRDefault="003F5789">
      <w:pPr>
        <w:pStyle w:val="Textoindependiente"/>
        <w:rPr>
          <w:sz w:val="26"/>
        </w:rPr>
      </w:pPr>
    </w:p>
    <w:p w:rsidR="003F5789" w:rsidRDefault="003F5789">
      <w:pPr>
        <w:pStyle w:val="Textoindependiente"/>
        <w:rPr>
          <w:sz w:val="26"/>
        </w:rPr>
      </w:pPr>
    </w:p>
    <w:p w:rsidR="003F5789" w:rsidRDefault="003F5789">
      <w:pPr>
        <w:pStyle w:val="Textoindependiente"/>
        <w:rPr>
          <w:sz w:val="26"/>
        </w:rPr>
      </w:pPr>
    </w:p>
    <w:p w:rsidR="003F5789" w:rsidRDefault="003F5789">
      <w:pPr>
        <w:pStyle w:val="Textoindependiente"/>
        <w:rPr>
          <w:sz w:val="26"/>
        </w:rPr>
      </w:pPr>
    </w:p>
    <w:p w:rsidR="003F5789" w:rsidRDefault="00E7721B">
      <w:pPr>
        <w:ind w:left="3082" w:right="3094"/>
        <w:jc w:val="center"/>
        <w:rPr>
          <w:b/>
          <w:sz w:val="24"/>
        </w:rPr>
      </w:pPr>
      <w:r>
        <w:rPr>
          <w:b/>
          <w:sz w:val="24"/>
        </w:rPr>
        <w:t>FÉLIX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GONZÁLEZ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GATICA</w:t>
      </w:r>
    </w:p>
    <w:p w:rsidR="003F5789" w:rsidRDefault="00E7721B">
      <w:pPr>
        <w:spacing w:before="138"/>
        <w:ind w:left="2710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REPÚBLICA</w:t>
      </w:r>
    </w:p>
    <w:sectPr w:rsidR="003F5789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A5E80"/>
    <w:multiLevelType w:val="hybridMultilevel"/>
    <w:tmpl w:val="3C3E7940"/>
    <w:lvl w:ilvl="0" w:tplc="EBFCD874">
      <w:start w:val="1"/>
      <w:numFmt w:val="decimal"/>
      <w:lvlText w:val="%1)"/>
      <w:lvlJc w:val="left"/>
      <w:pPr>
        <w:ind w:left="8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5F4FD1C">
      <w:start w:val="1"/>
      <w:numFmt w:val="lowerLetter"/>
      <w:lvlText w:val="%2)"/>
      <w:lvlJc w:val="left"/>
      <w:pPr>
        <w:ind w:left="8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A87622B8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3" w:tplc="69A42270">
      <w:numFmt w:val="bullet"/>
      <w:lvlText w:val="•"/>
      <w:lvlJc w:val="left"/>
      <w:pPr>
        <w:ind w:left="3347" w:hanging="360"/>
      </w:pPr>
      <w:rPr>
        <w:rFonts w:hint="default"/>
        <w:lang w:val="es-ES" w:eastAsia="en-US" w:bidi="ar-SA"/>
      </w:rPr>
    </w:lvl>
    <w:lvl w:ilvl="4" w:tplc="A8B6EB78"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5" w:tplc="EF48580C"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 w:tplc="2A7C236E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8928449A">
      <w:numFmt w:val="bullet"/>
      <w:lvlText w:val="•"/>
      <w:lvlJc w:val="left"/>
      <w:pPr>
        <w:ind w:left="6718" w:hanging="360"/>
      </w:pPr>
      <w:rPr>
        <w:rFonts w:hint="default"/>
        <w:lang w:val="es-ES" w:eastAsia="en-US" w:bidi="ar-SA"/>
      </w:rPr>
    </w:lvl>
    <w:lvl w:ilvl="8" w:tplc="141CECBE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789"/>
    <w:rsid w:val="003F578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1405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mjose</dc:creator>
  <cp:lastModifiedBy>Guillermo Diaz Vallejos</cp:lastModifiedBy>
  <cp:revision>1</cp:revision>
  <dcterms:created xsi:type="dcterms:W3CDTF">2023-08-29T13:34:00Z</dcterms:created>
  <dcterms:modified xsi:type="dcterms:W3CDTF">2023-09-25T20:29:00Z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2023-08-28T00:00:00Z</vt:filetime>
  </property>
</Properties>
</file>