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B1C" w:rsidRDefault="00B706EA">
      <w:pPr>
        <w:pStyle w:val="Textoindependiente"/>
        <w:ind w:left="37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76074" cy="11215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74" cy="112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B1C" w:rsidRDefault="00E11B1C">
      <w:pPr>
        <w:pStyle w:val="Textoindependiente"/>
        <w:spacing w:before="10"/>
        <w:rPr>
          <w:rFonts w:ascii="Times New Roman"/>
          <w:sz w:val="16"/>
        </w:rPr>
      </w:pPr>
    </w:p>
    <w:p w:rsidR="00E11B1C" w:rsidRDefault="00B706EA">
      <w:pPr>
        <w:spacing w:before="93" w:line="360" w:lineRule="auto"/>
        <w:ind w:left="100" w:right="115"/>
        <w:jc w:val="both"/>
        <w:rPr>
          <w:b/>
          <w:sz w:val="24"/>
        </w:rPr>
      </w:pPr>
      <w:r>
        <w:rPr>
          <w:b/>
          <w:sz w:val="24"/>
        </w:rPr>
        <w:t>Modifica la ley N° 19.175, Orgánica Constitucional sobre Gobierno y Administración Regional, para fortalecer el control y transparencia sobre la asignación de recursos por parte de los Gobiernos Regionales</w:t>
      </w:r>
    </w:p>
    <w:p w:rsidR="00E11B1C" w:rsidRDefault="00E11B1C">
      <w:pPr>
        <w:pStyle w:val="Textoindependiente"/>
        <w:rPr>
          <w:b/>
          <w:sz w:val="26"/>
        </w:rPr>
      </w:pPr>
    </w:p>
    <w:p w:rsidR="00E11B1C" w:rsidRDefault="00E11B1C">
      <w:pPr>
        <w:pStyle w:val="Textoindependiente"/>
        <w:spacing w:before="9"/>
        <w:rPr>
          <w:b/>
          <w:sz w:val="30"/>
        </w:rPr>
      </w:pPr>
    </w:p>
    <w:p w:rsidR="00E11B1C" w:rsidRDefault="00B706EA">
      <w:pPr>
        <w:spacing w:before="1"/>
        <w:ind w:left="100"/>
        <w:rPr>
          <w:b/>
          <w:sz w:val="24"/>
        </w:rPr>
      </w:pPr>
      <w:r>
        <w:rPr>
          <w:b/>
          <w:spacing w:val="-2"/>
          <w:sz w:val="24"/>
        </w:rPr>
        <w:t>ANTECEDENTES:</w:t>
      </w:r>
    </w:p>
    <w:p w:rsidR="00E11B1C" w:rsidRDefault="00E11B1C">
      <w:pPr>
        <w:pStyle w:val="Textoindependiente"/>
        <w:spacing w:before="9"/>
        <w:rPr>
          <w:b/>
          <w:sz w:val="32"/>
        </w:rPr>
      </w:pPr>
    </w:p>
    <w:p w:rsidR="00E11B1C" w:rsidRDefault="00B706EA">
      <w:pPr>
        <w:pStyle w:val="Textoindependiente"/>
        <w:spacing w:before="1" w:line="432" w:lineRule="auto"/>
        <w:ind w:left="100" w:right="117"/>
        <w:jc w:val="both"/>
      </w:pPr>
      <w:r>
        <w:t xml:space="preserve">Hasta las pasadas elecciones del </w:t>
      </w:r>
      <w:r>
        <w:t>mes de junio del año 2021, Chile era uno de los dos países de la Organización para la Cooperación y el Desarrollo Económico (OCDE), junto con Turquía, que no elegía democráticamente a sus autoridades intermedias, siendo además uno de los últimos en compara</w:t>
      </w:r>
      <w:r>
        <w:t>ción con nuestros vecinos latinoamericanos en esta materia</w:t>
      </w:r>
      <w:r>
        <w:rPr>
          <w:vertAlign w:val="superscript"/>
        </w:rPr>
        <w:t>1</w:t>
      </w:r>
      <w:r>
        <w:t>.</w:t>
      </w:r>
    </w:p>
    <w:p w:rsidR="00E11B1C" w:rsidRDefault="00E11B1C">
      <w:pPr>
        <w:pStyle w:val="Textoindependiente"/>
        <w:spacing w:before="9"/>
        <w:rPr>
          <w:sz w:val="20"/>
        </w:rPr>
      </w:pPr>
    </w:p>
    <w:p w:rsidR="00E11B1C" w:rsidRDefault="00B706EA">
      <w:pPr>
        <w:pStyle w:val="Textoindependiente"/>
        <w:spacing w:before="1" w:line="432" w:lineRule="auto"/>
        <w:ind w:left="100" w:right="116"/>
        <w:jc w:val="both"/>
      </w:pPr>
      <w:r>
        <w:t>La elección de los dieciséis gobernadores a lo largo del territorio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marcó</w:t>
      </w:r>
      <w:r>
        <w:rPr>
          <w:spacing w:val="-3"/>
        </w:rPr>
        <w:t xml:space="preserve"> </w:t>
      </w:r>
      <w:r>
        <w:t>un hito histórico relevante considerando la larga tradición centralista de Chile, avanzando hacia el fortalecim</w:t>
      </w:r>
      <w:r>
        <w:t>iento en la identidad de los territorios y de sus habitantes. No obstante, el proceso descentralizador presenta grandes desafíos.</w:t>
      </w:r>
    </w:p>
    <w:p w:rsidR="00E11B1C" w:rsidRDefault="00E11B1C">
      <w:pPr>
        <w:pStyle w:val="Textoindependiente"/>
        <w:spacing w:before="9"/>
        <w:rPr>
          <w:sz w:val="20"/>
        </w:rPr>
      </w:pPr>
    </w:p>
    <w:p w:rsidR="00E11B1C" w:rsidRDefault="00B706EA">
      <w:pPr>
        <w:pStyle w:val="Textoindependiente"/>
        <w:spacing w:before="1" w:line="432" w:lineRule="auto"/>
        <w:ind w:left="100" w:right="117"/>
        <w:jc w:val="both"/>
      </w:pPr>
      <w:r>
        <w:t>En este sentido, existe una constatación tanto a nivel internacional</w:t>
      </w:r>
      <w:r>
        <w:rPr>
          <w:vertAlign w:val="superscript"/>
        </w:rPr>
        <w:t>2</w:t>
      </w:r>
      <w:r>
        <w:t xml:space="preserve"> como nacional del</w:t>
      </w:r>
      <w:r>
        <w:rPr>
          <w:spacing w:val="44"/>
        </w:rPr>
        <w:t xml:space="preserve"> </w:t>
      </w:r>
      <w:r>
        <w:t>riesgo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presentan</w:t>
      </w:r>
      <w:r>
        <w:rPr>
          <w:spacing w:val="44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gobiernos</w:t>
      </w:r>
      <w:r>
        <w:rPr>
          <w:spacing w:val="44"/>
        </w:rPr>
        <w:t xml:space="preserve"> </w:t>
      </w:r>
      <w:r>
        <w:t>su</w:t>
      </w:r>
      <w:r>
        <w:t>bnacionales</w:t>
      </w:r>
      <w:r>
        <w:rPr>
          <w:spacing w:val="44"/>
        </w:rPr>
        <w:t xml:space="preserve"> </w:t>
      </w:r>
      <w:r>
        <w:t>respecto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faltas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5"/>
        </w:rPr>
        <w:t>la</w:t>
      </w:r>
    </w:p>
    <w:p w:rsidR="00E11B1C" w:rsidRDefault="00E11B1C">
      <w:pPr>
        <w:pStyle w:val="Textoindependiente"/>
        <w:rPr>
          <w:sz w:val="20"/>
        </w:rPr>
      </w:pPr>
    </w:p>
    <w:p w:rsidR="00E11B1C" w:rsidRDefault="00E11B1C">
      <w:pPr>
        <w:pStyle w:val="Textoindependiente"/>
        <w:rPr>
          <w:sz w:val="20"/>
        </w:rPr>
      </w:pPr>
    </w:p>
    <w:p w:rsidR="00E11B1C" w:rsidRDefault="00B706EA">
      <w:pPr>
        <w:pStyle w:val="Textoindependiente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152065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19C01" id="Graphic 2" o:spid="_x0000_s1026" style="position:absolute;margin-left:1in;margin-top:11.9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E11B1C" w:rsidRDefault="00B706EA">
      <w:pPr>
        <w:spacing w:before="105"/>
        <w:ind w:left="100"/>
        <w:jc w:val="both"/>
        <w:rPr>
          <w:sz w:val="20"/>
        </w:rPr>
      </w:pPr>
      <w:r>
        <w:rPr>
          <w:spacing w:val="-2"/>
          <w:sz w:val="20"/>
          <w:vertAlign w:val="superscript"/>
        </w:rPr>
        <w:t>1</w:t>
      </w:r>
      <w:r>
        <w:rPr>
          <w:spacing w:val="73"/>
          <w:w w:val="150"/>
          <w:sz w:val="20"/>
        </w:rPr>
        <w:t xml:space="preserve"> </w:t>
      </w:r>
      <w:r>
        <w:rPr>
          <w:spacing w:val="-2"/>
          <w:sz w:val="20"/>
        </w:rPr>
        <w:t>Ver</w:t>
      </w:r>
      <w:r>
        <w:rPr>
          <w:spacing w:val="22"/>
          <w:sz w:val="20"/>
        </w:rPr>
        <w:t xml:space="preserve"> </w:t>
      </w:r>
      <w:hyperlink r:id="rId6">
        <w:r>
          <w:rPr>
            <w:color w:val="1154CC"/>
            <w:spacing w:val="-2"/>
            <w:sz w:val="20"/>
            <w:u w:val="thick" w:color="1154CC"/>
          </w:rPr>
          <w:t>https://chiledescentralizado.cl/chile-es-hoy-el-pais-mas-centralizado-de-america-latina/</w:t>
        </w:r>
      </w:hyperlink>
    </w:p>
    <w:p w:rsidR="00E11B1C" w:rsidRDefault="00B706EA">
      <w:pPr>
        <w:ind w:left="100" w:right="11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Perú y Colombia han impulsado procesos de descentralización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elección</w:t>
      </w:r>
      <w:r>
        <w:rPr>
          <w:spacing w:val="-4"/>
          <w:sz w:val="20"/>
        </w:rPr>
        <w:t xml:space="preserve"> </w:t>
      </w:r>
      <w:r>
        <w:rPr>
          <w:sz w:val="20"/>
        </w:rPr>
        <w:t>directa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autoridades regionales. En el caso de Perú son seis ex gobernadores que en el año 2016</w:t>
      </w:r>
      <w:r>
        <w:rPr>
          <w:spacing w:val="-2"/>
          <w:sz w:val="20"/>
        </w:rPr>
        <w:t xml:space="preserve"> </w:t>
      </w:r>
      <w:r>
        <w:rPr>
          <w:sz w:val="20"/>
        </w:rPr>
        <w:t>ingresaron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cárcel por causas penales asociadas a corrupción. Actualmente el 84% de los gobernadores regionales electos en el 2018 están sie</w:t>
      </w:r>
      <w:r>
        <w:rPr>
          <w:sz w:val="20"/>
        </w:rPr>
        <w:t>ndo investigados por delitos. Por su parte, en 2017 el Procurador de Colombia señalaba que el 87% de las contrataciones de bienes y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departamentos</w:t>
      </w:r>
      <w:r>
        <w:rPr>
          <w:spacing w:val="-3"/>
          <w:sz w:val="20"/>
        </w:rPr>
        <w:t xml:space="preserve"> </w:t>
      </w:r>
      <w:r>
        <w:rPr>
          <w:sz w:val="20"/>
        </w:rPr>
        <w:t>se realiza mediante trato directo.</w:t>
      </w:r>
    </w:p>
    <w:p w:rsidR="00E11B1C" w:rsidRDefault="00E11B1C">
      <w:pPr>
        <w:jc w:val="both"/>
        <w:rPr>
          <w:sz w:val="20"/>
        </w:rPr>
        <w:sectPr w:rsidR="00E11B1C">
          <w:type w:val="continuous"/>
          <w:pgSz w:w="11920" w:h="16840"/>
          <w:pgMar w:top="1600" w:right="1340" w:bottom="280" w:left="1340" w:header="720" w:footer="720" w:gutter="0"/>
          <w:cols w:space="720"/>
        </w:sectPr>
      </w:pPr>
    </w:p>
    <w:p w:rsidR="00E11B1C" w:rsidRDefault="00B706EA">
      <w:pPr>
        <w:pStyle w:val="Textoindependiente"/>
        <w:spacing w:before="80" w:line="432" w:lineRule="auto"/>
        <w:ind w:left="100" w:right="117"/>
        <w:jc w:val="both"/>
      </w:pPr>
      <w:r>
        <w:lastRenderedPageBreak/>
        <w:t>probidad en el manejo de los recursos públicos si no se adoptan las medidas de control adecuadas.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6"/>
        <w:jc w:val="both"/>
      </w:pPr>
      <w:r>
        <w:t>En 2018, la OCDE señaló que en el sistema subnacional chileno existe escasa rendición de cuentas y fiscalización ciudadana</w:t>
      </w:r>
      <w:r>
        <w:rPr>
          <w:vertAlign w:val="superscript"/>
        </w:rPr>
        <w:t>3</w:t>
      </w:r>
      <w:r>
        <w:t>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3"/>
        <w:jc w:val="both"/>
      </w:pPr>
      <w:r>
        <w:t xml:space="preserve">La mayoría de los recursos con </w:t>
      </w:r>
      <w:r>
        <w:t>los que cuentan los Gobiernos Regionales</w:t>
      </w:r>
      <w:r>
        <w:rPr>
          <w:spacing w:val="40"/>
        </w:rPr>
        <w:t xml:space="preserve"> </w:t>
      </w:r>
      <w:r>
        <w:t>provienen de impuestos generales de la nación, aprobados cada año a través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 Ley General de Presupuesto, con el objetivo de que cada región cuente con una dotación necesaria para realizar distintos proyectos de </w:t>
      </w:r>
      <w:r>
        <w:t>inversión que beneficien a</w:t>
      </w:r>
      <w:r>
        <w:rPr>
          <w:spacing w:val="40"/>
        </w:rPr>
        <w:t xml:space="preserve"> </w:t>
      </w:r>
      <w:r>
        <w:t>los habitantes de los respectivos territorios, promoviendo el desarrollo regional.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3"/>
        <w:jc w:val="both"/>
      </w:pPr>
      <w:r>
        <w:t>Lamentablemente, la transferencia de recursos públicos a fundaciones y otras corporaciones privadas sin fines de lucro para ejecutar diversos pro</w:t>
      </w:r>
      <w:r>
        <w:t>yectos regionales, han sido objeto de críticas tras conocerse una serie de casos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 xml:space="preserve">los responsables de autorizar las asignaciones mantienen estrechos vínculos con representantes de las entidades receptoras, revelando eventuales conflictos de interés y </w:t>
      </w:r>
      <w:r>
        <w:t>hechos constitutivos de delito.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5"/>
        <w:jc w:val="both"/>
      </w:pPr>
      <w:r>
        <w:t xml:space="preserve">Actualmente, existen 23 causas abiertas por la Fiscalía que involucran a </w:t>
      </w:r>
      <w:r>
        <w:t>53 corporaciones en distintas regiones del país por presuntas irregularidades, de las cuales 40 son transferencias desde gobiernos regionales y 24 desde reparticiones del Gobierno central, por un monto que llega a los $32.156.274.081</w:t>
      </w:r>
      <w:r>
        <w:rPr>
          <w:vertAlign w:val="superscript"/>
        </w:rPr>
        <w:t>4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7"/>
        <w:jc w:val="both"/>
      </w:pPr>
      <w:r>
        <w:t>El diseño y ejecució</w:t>
      </w:r>
      <w:r>
        <w:t>n de mecanismos que preserven la probidad, reduzcan la discrecionalidad</w:t>
      </w:r>
      <w:r>
        <w:rPr>
          <w:spacing w:val="15"/>
        </w:rPr>
        <w:t xml:space="preserve"> </w:t>
      </w:r>
      <w:r>
        <w:t xml:space="preserve">y la eficiencia en el uso de los recursos públicos son </w:t>
      </w:r>
      <w:r>
        <w:rPr>
          <w:spacing w:val="-2"/>
        </w:rPr>
        <w:t>fundamentales</w:t>
      </w:r>
    </w:p>
    <w:p w:rsidR="00E11B1C" w:rsidRDefault="00E11B1C">
      <w:pPr>
        <w:pStyle w:val="Textoindependiente"/>
        <w:rPr>
          <w:sz w:val="20"/>
        </w:rPr>
      </w:pPr>
    </w:p>
    <w:p w:rsidR="00E11B1C" w:rsidRDefault="00B706EA">
      <w:pPr>
        <w:pStyle w:val="Textoindependiente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149671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A2B34" id="Graphic 3" o:spid="_x0000_s1026" style="position:absolute;margin-left:1in;margin-top:11.8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HfIQIAAH8EAAAOAAAAZHJzL2Uyb0RvYy54bWysVMFu2zAMvQ/YPwi6L05SdE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E11B1C" w:rsidRDefault="00B706EA">
      <w:pPr>
        <w:spacing w:before="105"/>
        <w:ind w:left="1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OECD</w:t>
      </w:r>
      <w:r>
        <w:rPr>
          <w:spacing w:val="-5"/>
          <w:sz w:val="20"/>
        </w:rPr>
        <w:t xml:space="preserve"> </w:t>
      </w:r>
      <w:r>
        <w:rPr>
          <w:sz w:val="20"/>
        </w:rPr>
        <w:t>(2018)</w:t>
      </w:r>
      <w:r>
        <w:rPr>
          <w:spacing w:val="-4"/>
          <w:sz w:val="20"/>
        </w:rPr>
        <w:t xml:space="preserve"> </w:t>
      </w:r>
      <w:r>
        <w:rPr>
          <w:sz w:val="20"/>
        </w:rPr>
        <w:t>Regions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Cities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Glance</w:t>
      </w:r>
      <w:r>
        <w:rPr>
          <w:spacing w:val="-4"/>
          <w:sz w:val="20"/>
        </w:rPr>
        <w:t xml:space="preserve"> 2018.</w:t>
      </w:r>
    </w:p>
    <w:p w:rsidR="00E11B1C" w:rsidRDefault="00B706EA">
      <w:pPr>
        <w:ind w:left="10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Ver</w:t>
      </w:r>
    </w:p>
    <w:p w:rsidR="00E11B1C" w:rsidRDefault="00B706EA">
      <w:pPr>
        <w:ind w:left="100" w:right="137"/>
        <w:rPr>
          <w:sz w:val="20"/>
        </w:rPr>
      </w:pPr>
      <w:hyperlink r:id="rId7">
        <w:r>
          <w:rPr>
            <w:color w:val="1154CC"/>
            <w:spacing w:val="-2"/>
            <w:sz w:val="20"/>
            <w:u w:val="thick" w:color="1154CC"/>
          </w:rPr>
          <w:t>https://www.elmostrador.cl/noticias/2023/08/12/caso-convenios-fiscalia-investiga-53-fundaciones-por-t</w:t>
        </w:r>
      </w:hyperlink>
      <w:r>
        <w:rPr>
          <w:color w:val="1154CC"/>
          <w:spacing w:val="-2"/>
          <w:sz w:val="20"/>
        </w:rPr>
        <w:t xml:space="preserve"> </w:t>
      </w:r>
      <w:hyperlink r:id="rId8">
        <w:r>
          <w:rPr>
            <w:color w:val="1154CC"/>
            <w:spacing w:val="-2"/>
            <w:sz w:val="20"/>
            <w:u w:val="thick" w:color="1154CC"/>
          </w:rPr>
          <w:t>raspaso-de-mas-de-32-mil-millones/</w:t>
        </w:r>
      </w:hyperlink>
    </w:p>
    <w:p w:rsidR="00E11B1C" w:rsidRDefault="00E11B1C">
      <w:pPr>
        <w:rPr>
          <w:sz w:val="20"/>
        </w:rPr>
        <w:sectPr w:rsidR="00E11B1C">
          <w:pgSz w:w="11920" w:h="16840"/>
          <w:pgMar w:top="1360" w:right="1340" w:bottom="280" w:left="1340" w:header="720" w:footer="720" w:gutter="0"/>
          <w:cols w:space="720"/>
        </w:sectPr>
      </w:pPr>
    </w:p>
    <w:p w:rsidR="00E11B1C" w:rsidRDefault="00B706EA">
      <w:pPr>
        <w:pStyle w:val="Textoindependiente"/>
        <w:spacing w:before="80" w:line="432" w:lineRule="auto"/>
        <w:ind w:left="100" w:right="116"/>
        <w:jc w:val="both"/>
      </w:pPr>
      <w:r>
        <w:lastRenderedPageBreak/>
        <w:t>para la sustentabilidad de largo plazo del proceso de</w:t>
      </w:r>
      <w:r>
        <w:t xml:space="preserve"> descentralización y para prevenir nuevos hechos de corrupción y conflictos de interés.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2"/>
        <w:jc w:val="both"/>
      </w:pPr>
      <w:r>
        <w:t>El artículo 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consagra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probidad</w:t>
      </w:r>
      <w:r>
        <w:rPr>
          <w:spacing w:val="-3"/>
        </w:rPr>
        <w:t xml:space="preserve"> </w:t>
      </w:r>
      <w:r>
        <w:t>y transparencia. A su vez, el artículo 52 inciso segundo de la ley 18.575, establece que el principio de la probidad administrativa consiste en observar una conducta funcionaria intachable y un desempeño honesto y leal de la función o cargo, con preeminenc</w:t>
      </w:r>
      <w:r>
        <w:t>ia del interés general sobre el particular.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8"/>
        <w:jc w:val="both"/>
      </w:pPr>
      <w:r>
        <w:t>La transparencia, por su parte, se ha desarrollado a partir de la promulgación de la Ley</w:t>
      </w:r>
      <w:r>
        <w:rPr>
          <w:spacing w:val="26"/>
        </w:rPr>
        <w:t xml:space="preserve"> </w:t>
      </w:r>
      <w:r>
        <w:t>20.285,</w:t>
      </w:r>
      <w:r>
        <w:rPr>
          <w:spacing w:val="26"/>
        </w:rPr>
        <w:t xml:space="preserve"> </w:t>
      </w:r>
      <w:r>
        <w:t>avanzando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 acceso a la información pública en concordancia con el estándar internacional en la materia.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3"/>
        <w:jc w:val="both"/>
      </w:pPr>
      <w:r>
        <w:t>De a</w:t>
      </w:r>
      <w:r>
        <w:t>cuerdo a los Objetivos de Desarrollo Sostenible, principalmente el número 16 referido a la promoción de sociedades justas, pacíficas e inclusivas, es urgente avanzar hacia la construcción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sólidas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permeables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 actos de corru</w:t>
      </w:r>
      <w:r>
        <w:t xml:space="preserve">pción. Las disposiciones de Gobierno Abierto suscrito por Chile en el año 2016 refuerzan este compromiso, instando al país a observar ciertos ejes estratégicos para repensar de forma continua los mecanismos de control más </w:t>
      </w:r>
      <w:r>
        <w:rPr>
          <w:spacing w:val="-2"/>
        </w:rPr>
        <w:t>adecuados.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4"/>
        <w:jc w:val="both"/>
      </w:pPr>
      <w:r>
        <w:t>Primero, se ha conside</w:t>
      </w:r>
      <w:r>
        <w:t>rado</w:t>
      </w:r>
      <w:r>
        <w:rPr>
          <w:spacing w:val="-3"/>
        </w:rPr>
        <w:t xml:space="preserve"> </w:t>
      </w:r>
      <w:r>
        <w:t>fortalecer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 publicación obligatoria por parte de los Gobiernos Regionales de los expedientes técnicos de los proyectos e iniciativas de inversión considerados para la región.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3"/>
        <w:jc w:val="both"/>
      </w:pPr>
      <w:r>
        <w:t>Segundo, establecer la colabo</w:t>
      </w:r>
      <w:r>
        <w:t>ración entre actores a través de la creación de un Comité Técnico de Selección que contribuya a superar la unilateralidad y discrecionalidad</w:t>
      </w:r>
      <w:r>
        <w:rPr>
          <w:spacing w:val="55"/>
          <w:w w:val="150"/>
        </w:rPr>
        <w:t xml:space="preserve"> </w:t>
      </w:r>
      <w:r>
        <w:t>de</w:t>
      </w:r>
      <w:r>
        <w:rPr>
          <w:spacing w:val="56"/>
          <w:w w:val="150"/>
        </w:rPr>
        <w:t xml:space="preserve"> </w:t>
      </w:r>
      <w:r>
        <w:t>los</w:t>
      </w:r>
      <w:r>
        <w:rPr>
          <w:spacing w:val="55"/>
          <w:w w:val="150"/>
        </w:rPr>
        <w:t xml:space="preserve"> </w:t>
      </w:r>
      <w:r>
        <w:t>Gobiernos</w:t>
      </w:r>
      <w:r>
        <w:rPr>
          <w:spacing w:val="74"/>
        </w:rPr>
        <w:t xml:space="preserve"> </w:t>
      </w:r>
      <w:r>
        <w:t>Regionales</w:t>
      </w:r>
      <w:r>
        <w:rPr>
          <w:spacing w:val="74"/>
        </w:rPr>
        <w:t xml:space="preserve"> </w:t>
      </w:r>
      <w:r>
        <w:t>en</w:t>
      </w:r>
      <w:r>
        <w:rPr>
          <w:spacing w:val="74"/>
        </w:rPr>
        <w:t xml:space="preserve"> </w:t>
      </w:r>
      <w:r>
        <w:t>la</w:t>
      </w:r>
      <w:r>
        <w:rPr>
          <w:spacing w:val="74"/>
        </w:rPr>
        <w:t xml:space="preserve"> </w:t>
      </w:r>
      <w:r>
        <w:t>elección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los</w:t>
      </w:r>
      <w:r>
        <w:rPr>
          <w:spacing w:val="74"/>
        </w:rPr>
        <w:t xml:space="preserve"> </w:t>
      </w:r>
      <w:r>
        <w:rPr>
          <w:spacing w:val="-2"/>
        </w:rPr>
        <w:t>proyectos</w:t>
      </w:r>
    </w:p>
    <w:p w:rsidR="00E11B1C" w:rsidRDefault="00E11B1C">
      <w:pPr>
        <w:spacing w:line="432" w:lineRule="auto"/>
        <w:jc w:val="both"/>
        <w:sectPr w:rsidR="00E11B1C">
          <w:pgSz w:w="11920" w:h="16840"/>
          <w:pgMar w:top="1360" w:right="1340" w:bottom="280" w:left="1340" w:header="720" w:footer="720" w:gutter="0"/>
          <w:cols w:space="720"/>
        </w:sectPr>
      </w:pPr>
    </w:p>
    <w:p w:rsidR="00E11B1C" w:rsidRDefault="00B706EA">
      <w:pPr>
        <w:pStyle w:val="Textoindependiente"/>
        <w:spacing w:before="80" w:line="432" w:lineRule="auto"/>
        <w:ind w:left="100" w:right="116"/>
        <w:jc w:val="both"/>
      </w:pPr>
      <w:r>
        <w:t>concursables, evitando que se escojan únicamente a través de funcionarios de exclusiva confianza de la primera autoridad regional.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3"/>
        <w:jc w:val="both"/>
      </w:pPr>
      <w:r>
        <w:t>Tercero, se reintegrará a los Consejeros Regionales la facultad de aprobar los proyectos de inversión e iniciativas, cualqui</w:t>
      </w:r>
      <w:r>
        <w:t>era sea el monto de los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proponga asignar, de modo que exista una mayor supervigilancia en la ejecución presupuestaria y financiera, considerando que la entidad encargada de ejercer el control interno es nombrado por el Gobernador Regional.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Textoindependiente"/>
        <w:spacing w:line="432" w:lineRule="auto"/>
        <w:ind w:left="100" w:right="113"/>
        <w:jc w:val="both"/>
      </w:pPr>
      <w:r>
        <w:t>Por último, se establecerá la obligatoriedad de concursar los proyectos e iniciativas en los que existan traspasos de recursos públicos a entidades privadas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fines</w:t>
      </w:r>
      <w:r>
        <w:rPr>
          <w:spacing w:val="-3"/>
        </w:rPr>
        <w:t xml:space="preserve"> </w:t>
      </w:r>
      <w:r>
        <w:t>de lucro para evitar la utilización del procedimiento de asignación directa con este tip</w:t>
      </w:r>
      <w:r>
        <w:t>o de organizaciones.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ind w:left="100"/>
        <w:jc w:val="both"/>
        <w:rPr>
          <w:b/>
          <w:sz w:val="24"/>
        </w:rPr>
      </w:pPr>
      <w:r>
        <w:rPr>
          <w:b/>
          <w:sz w:val="24"/>
        </w:rPr>
        <w:t xml:space="preserve">IDEA </w:t>
      </w:r>
      <w:r>
        <w:rPr>
          <w:b/>
          <w:spacing w:val="-2"/>
          <w:sz w:val="24"/>
        </w:rPr>
        <w:t>MATRIZ:</w:t>
      </w:r>
    </w:p>
    <w:p w:rsidR="00E11B1C" w:rsidRDefault="00E11B1C">
      <w:pPr>
        <w:pStyle w:val="Textoindependiente"/>
        <w:rPr>
          <w:b/>
          <w:sz w:val="26"/>
        </w:rPr>
      </w:pPr>
    </w:p>
    <w:p w:rsidR="00E11B1C" w:rsidRDefault="00E11B1C">
      <w:pPr>
        <w:pStyle w:val="Textoindependiente"/>
        <w:rPr>
          <w:b/>
          <w:sz w:val="22"/>
        </w:rPr>
      </w:pPr>
    </w:p>
    <w:p w:rsidR="00E11B1C" w:rsidRDefault="00B706EA">
      <w:pPr>
        <w:pStyle w:val="Textoindependiente"/>
        <w:spacing w:line="360" w:lineRule="auto"/>
        <w:ind w:left="100" w:right="117"/>
        <w:jc w:val="both"/>
      </w:pPr>
      <w:r>
        <w:t>Fortalecer el control y transparencia en la asignación de recursos de los Gobiernos Regionales, especialmente en los casos que se efectúen a personas jurídicas sin fines de lucro.</w:t>
      </w:r>
    </w:p>
    <w:p w:rsidR="00E11B1C" w:rsidRDefault="00E11B1C">
      <w:pPr>
        <w:pStyle w:val="Textoindependiente"/>
        <w:rPr>
          <w:sz w:val="36"/>
        </w:rPr>
      </w:pPr>
    </w:p>
    <w:p w:rsidR="00E11B1C" w:rsidRDefault="00B706EA">
      <w:pPr>
        <w:ind w:left="3073" w:right="3085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E11B1C" w:rsidRDefault="00E11B1C">
      <w:pPr>
        <w:pStyle w:val="Textoindependiente"/>
        <w:rPr>
          <w:b/>
          <w:sz w:val="26"/>
        </w:rPr>
      </w:pPr>
    </w:p>
    <w:p w:rsidR="00E11B1C" w:rsidRDefault="00E11B1C">
      <w:pPr>
        <w:pStyle w:val="Textoindependiente"/>
        <w:rPr>
          <w:b/>
          <w:sz w:val="22"/>
        </w:rPr>
      </w:pPr>
    </w:p>
    <w:p w:rsidR="00E11B1C" w:rsidRDefault="00B706EA">
      <w:pPr>
        <w:pStyle w:val="Textoindependiente"/>
        <w:spacing w:line="360" w:lineRule="auto"/>
        <w:ind w:left="100" w:right="118"/>
        <w:jc w:val="both"/>
      </w:pPr>
      <w:r>
        <w:t>Artículo único: Modi</w:t>
      </w:r>
      <w:r>
        <w:t>fícase el decreto con fuerza de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N°1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2005,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texto refundido, coordinado, sistematizado y actualizado de la Ley N.º 19.175, Orgánica Constitucional sobre Gobierno y Administración Regional, en el siguiente sentido:</w:t>
      </w:r>
    </w:p>
    <w:p w:rsidR="00E11B1C" w:rsidRDefault="00E11B1C">
      <w:pPr>
        <w:pStyle w:val="Textoindependiente"/>
        <w:rPr>
          <w:sz w:val="36"/>
        </w:rPr>
      </w:pPr>
    </w:p>
    <w:p w:rsidR="00E11B1C" w:rsidRDefault="00B706EA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Reemplázase el párrafo s</w:t>
      </w:r>
      <w:r>
        <w:rPr>
          <w:sz w:val="24"/>
        </w:rPr>
        <w:t xml:space="preserve">egundo de la letra e) del artículo 36 por el </w:t>
      </w:r>
      <w:r>
        <w:rPr>
          <w:spacing w:val="-2"/>
          <w:sz w:val="24"/>
        </w:rPr>
        <w:t>siguiente:</w:t>
      </w: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2"/>
        </w:rPr>
      </w:pPr>
    </w:p>
    <w:p w:rsidR="00E11B1C" w:rsidRDefault="00B706EA">
      <w:pPr>
        <w:pStyle w:val="Textoindependiente"/>
        <w:spacing w:line="360" w:lineRule="auto"/>
        <w:ind w:left="820" w:right="115"/>
        <w:jc w:val="both"/>
      </w:pPr>
      <w:r>
        <w:t>“Con</w:t>
      </w:r>
      <w:r>
        <w:rPr>
          <w:spacing w:val="40"/>
        </w:rPr>
        <w:t xml:space="preserve"> </w:t>
      </w:r>
      <w:r>
        <w:t>todo, se requerirá la aprobación del Consejo Regional para proyectos de inversión e iniciativas, así como para el financiamiento de estudios preinversionales</w:t>
      </w:r>
      <w:r>
        <w:rPr>
          <w:spacing w:val="42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diseños</w:t>
      </w:r>
      <w:r>
        <w:rPr>
          <w:spacing w:val="4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den</w:t>
      </w:r>
      <w:r>
        <w:rPr>
          <w:spacing w:val="30"/>
        </w:rPr>
        <w:t xml:space="preserve"> </w:t>
      </w:r>
      <w:r>
        <w:t>origen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dichos</w:t>
      </w:r>
      <w:r>
        <w:rPr>
          <w:spacing w:val="30"/>
        </w:rPr>
        <w:t xml:space="preserve"> </w:t>
      </w:r>
      <w:r>
        <w:t>proyectos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iniciativas,</w:t>
      </w:r>
    </w:p>
    <w:p w:rsidR="00E11B1C" w:rsidRDefault="00E11B1C">
      <w:pPr>
        <w:spacing w:line="360" w:lineRule="auto"/>
        <w:jc w:val="both"/>
        <w:sectPr w:rsidR="00E11B1C">
          <w:pgSz w:w="11920" w:h="16840"/>
          <w:pgMar w:top="1360" w:right="1340" w:bottom="280" w:left="1340" w:header="720" w:footer="720" w:gutter="0"/>
          <w:cols w:space="720"/>
        </w:sectPr>
      </w:pPr>
    </w:p>
    <w:p w:rsidR="00E11B1C" w:rsidRDefault="00B706EA">
      <w:pPr>
        <w:pStyle w:val="Textoindependiente"/>
        <w:spacing w:before="80" w:line="360" w:lineRule="auto"/>
        <w:ind w:left="820" w:right="112"/>
        <w:jc w:val="both"/>
      </w:pPr>
      <w:r>
        <w:t>cualquiera sea el monto 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proponga</w:t>
      </w:r>
      <w:r>
        <w:rPr>
          <w:spacing w:val="-4"/>
        </w:rPr>
        <w:t xml:space="preserve"> </w:t>
      </w:r>
      <w:r>
        <w:t>asignar.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votarán conjuntamente las iniciativas que no superen las 100 unidades tributarias mensuales, salvo que cualquier Consejero o Consejera Regional solicite la votación separada de alguna de e</w:t>
      </w:r>
      <w:r>
        <w:t>llas.”.</w:t>
      </w:r>
    </w:p>
    <w:p w:rsidR="00E11B1C" w:rsidRDefault="00E11B1C">
      <w:pPr>
        <w:pStyle w:val="Textoindependiente"/>
        <w:rPr>
          <w:sz w:val="36"/>
        </w:rPr>
      </w:pPr>
    </w:p>
    <w:p w:rsidR="00E11B1C" w:rsidRDefault="00B706EA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Incorpórase un artículo 77 bis del siguiente </w:t>
      </w:r>
      <w:r>
        <w:rPr>
          <w:spacing w:val="-2"/>
          <w:sz w:val="24"/>
        </w:rPr>
        <w:t>tenor:</w:t>
      </w: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2"/>
        </w:rPr>
      </w:pPr>
    </w:p>
    <w:p w:rsidR="00E11B1C" w:rsidRDefault="00B706EA">
      <w:pPr>
        <w:pStyle w:val="Textoindependiente"/>
        <w:spacing w:line="360" w:lineRule="auto"/>
        <w:ind w:left="820" w:right="113"/>
        <w:jc w:val="both"/>
      </w:pPr>
      <w:r>
        <w:t>“Artículo 77 bis.- El Gobierno Regional sólo podrá destinar fondos de inversión a proyectos e iniciativas ejecutadas por personas jurídicas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fines de lucro por concurso público. Para este ef</w:t>
      </w:r>
      <w:r>
        <w:t>ecto, el Gobierno Regional respectivo deberá disponer mediante acto administrativo afecto a toma de razón, los instructivos que considere necesarios donde, entre otros, se establezcan los plazos de postulación y los criterios con que dichas postulaciones s</w:t>
      </w:r>
      <w:r>
        <w:t>erán analizadas, definiendo para esto los indicadores que se utilizarán y sus ponderaciones que permitan determinar puntajes para cada iniciativa. Los procedimientos que se establezcan deberán considerar la constitución de un Comité Técnico de Selección pa</w:t>
      </w:r>
      <w:r>
        <w:t>ra resolver los</w:t>
      </w:r>
      <w:r>
        <w:rPr>
          <w:spacing w:val="80"/>
        </w:rPr>
        <w:t xml:space="preserve"> </w:t>
      </w:r>
      <w:r>
        <w:rPr>
          <w:spacing w:val="-2"/>
        </w:rPr>
        <w:t>concursos.”.</w:t>
      </w:r>
    </w:p>
    <w:p w:rsidR="00E11B1C" w:rsidRDefault="00E11B1C">
      <w:pPr>
        <w:pStyle w:val="Textoindependiente"/>
        <w:rPr>
          <w:sz w:val="36"/>
        </w:rPr>
      </w:pPr>
    </w:p>
    <w:p w:rsidR="00E11B1C" w:rsidRDefault="00B706EA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Incorpórase un artículo 77 ter del siguiente </w:t>
      </w:r>
      <w:r>
        <w:rPr>
          <w:spacing w:val="-2"/>
          <w:sz w:val="24"/>
        </w:rPr>
        <w:t>tenor:</w:t>
      </w: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2"/>
        </w:rPr>
      </w:pPr>
    </w:p>
    <w:p w:rsidR="00E11B1C" w:rsidRDefault="00B706EA">
      <w:pPr>
        <w:pStyle w:val="Textoindependiente"/>
        <w:spacing w:line="360" w:lineRule="auto"/>
        <w:ind w:left="820" w:right="119"/>
        <w:jc w:val="both"/>
      </w:pPr>
      <w:r>
        <w:t>“Artículo 77 ter.- El Comité Técnico de Selección deberá conformarse para cada llamado a concurso y estará compuesto de la siguiente manera:</w:t>
      </w:r>
    </w:p>
    <w:p w:rsidR="00E11B1C" w:rsidRDefault="00E11B1C">
      <w:pPr>
        <w:pStyle w:val="Textoindependiente"/>
        <w:rPr>
          <w:sz w:val="36"/>
        </w:rPr>
      </w:pPr>
    </w:p>
    <w:p w:rsidR="00E11B1C" w:rsidRDefault="00B706EA">
      <w:pPr>
        <w:pStyle w:val="Prrafodelista"/>
        <w:numPr>
          <w:ilvl w:val="1"/>
          <w:numId w:val="1"/>
        </w:numPr>
        <w:tabs>
          <w:tab w:val="left" w:pos="1539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Un funcionario o funcionaria d</w:t>
      </w:r>
      <w:r>
        <w:rPr>
          <w:sz w:val="24"/>
        </w:rPr>
        <w:t>el gobierno regional, representante del gobernador o gobernadora, quien actuará, además, como ministro de fe.</w:t>
      </w:r>
    </w:p>
    <w:p w:rsidR="00E11B1C" w:rsidRDefault="00B706EA">
      <w:pPr>
        <w:pStyle w:val="Prrafodelista"/>
        <w:numPr>
          <w:ilvl w:val="1"/>
          <w:numId w:val="1"/>
        </w:numPr>
        <w:tabs>
          <w:tab w:val="left" w:pos="1539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Cuatro funcionarios o funcionarias de planta del Gobierno Regional, elegidas con el voto conforme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tercios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miembros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ejercicio del Consejo Regional, quienes no podrán ser funcionarios de confianza del gobernador o gobernadora.</w:t>
      </w:r>
    </w:p>
    <w:p w:rsidR="00E11B1C" w:rsidRDefault="00E11B1C">
      <w:pPr>
        <w:spacing w:line="360" w:lineRule="auto"/>
        <w:jc w:val="both"/>
        <w:rPr>
          <w:sz w:val="24"/>
        </w:rPr>
        <w:sectPr w:rsidR="00E11B1C">
          <w:pgSz w:w="11920" w:h="16840"/>
          <w:pgMar w:top="1360" w:right="1340" w:bottom="280" w:left="1340" w:header="720" w:footer="720" w:gutter="0"/>
          <w:cols w:space="720"/>
        </w:sectPr>
      </w:pPr>
    </w:p>
    <w:p w:rsidR="00E11B1C" w:rsidRDefault="00B706EA">
      <w:pPr>
        <w:pStyle w:val="Textoindependiente"/>
        <w:spacing w:before="80" w:line="360" w:lineRule="auto"/>
        <w:ind w:left="820" w:right="119"/>
        <w:jc w:val="both"/>
      </w:pPr>
      <w:r>
        <w:t>El Comité</w:t>
      </w:r>
      <w:r>
        <w:rPr>
          <w:spacing w:val="-4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resolverá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concurso, no pudiendo sostener reuniones privadas con entidades po</w:t>
      </w:r>
      <w:r>
        <w:t>stulantes ni con autoridades electas respecto del concurso que tengan a su cargo.”</w:t>
      </w:r>
    </w:p>
    <w:p w:rsidR="00E11B1C" w:rsidRDefault="00E11B1C">
      <w:pPr>
        <w:pStyle w:val="Textoindependiente"/>
        <w:rPr>
          <w:sz w:val="36"/>
        </w:rPr>
      </w:pPr>
    </w:p>
    <w:p w:rsidR="00E11B1C" w:rsidRDefault="00B706EA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Incorpórase un artículo 77 quáter del siguiente </w:t>
      </w:r>
      <w:r>
        <w:rPr>
          <w:spacing w:val="-2"/>
          <w:sz w:val="24"/>
        </w:rPr>
        <w:t>tenor:</w:t>
      </w: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2"/>
        </w:rPr>
      </w:pPr>
    </w:p>
    <w:p w:rsidR="00E11B1C" w:rsidRDefault="00B706EA">
      <w:pPr>
        <w:pStyle w:val="Textoindependiente"/>
        <w:spacing w:line="360" w:lineRule="auto"/>
        <w:ind w:left="820" w:right="119"/>
        <w:jc w:val="both"/>
      </w:pPr>
      <w:r>
        <w:t>“Artículo 77 quáter.- El Gobierno Regional deberá publicar en la página web institucional el expediente de cada pro</w:t>
      </w:r>
      <w:r>
        <w:t>puesta presentada, el que contendrá todos los documentos de la iniciativa o proyecto, las actuaciones del Comité Técnico de Selección y del Gobierno Regional. Asimismo, contendrá todos</w:t>
      </w:r>
      <w:r>
        <w:rPr>
          <w:spacing w:val="40"/>
        </w:rPr>
        <w:t xml:space="preserve"> </w:t>
      </w:r>
      <w:r>
        <w:t>los documentos relativos a la</w:t>
      </w:r>
      <w:r>
        <w:rPr>
          <w:spacing w:val="-3"/>
        </w:rPr>
        <w:t xml:space="preserve"> </w:t>
      </w:r>
      <w:r>
        <w:t>rendición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asig</w:t>
      </w:r>
      <w:r>
        <w:t xml:space="preserve">nados y la acreditación de las obras o actividades realizadas, cuando </w:t>
      </w:r>
      <w:r>
        <w:rPr>
          <w:spacing w:val="-2"/>
        </w:rPr>
        <w:t>corresponda.”.</w:t>
      </w:r>
    </w:p>
    <w:p w:rsidR="00E11B1C" w:rsidRDefault="00E11B1C">
      <w:pPr>
        <w:pStyle w:val="Textoindependiente"/>
        <w:rPr>
          <w:sz w:val="36"/>
        </w:rPr>
      </w:pPr>
    </w:p>
    <w:p w:rsidR="00E11B1C" w:rsidRDefault="00B706EA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Reemplázase el inciso cuarto del artículo 78 por el </w:t>
      </w:r>
      <w:r>
        <w:rPr>
          <w:spacing w:val="-2"/>
          <w:sz w:val="24"/>
        </w:rPr>
        <w:t>siguiente:</w:t>
      </w: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2"/>
        </w:rPr>
      </w:pPr>
    </w:p>
    <w:p w:rsidR="00E11B1C" w:rsidRDefault="00B706EA">
      <w:pPr>
        <w:pStyle w:val="Textoindependiente"/>
        <w:spacing w:line="360" w:lineRule="auto"/>
        <w:ind w:left="820" w:right="113"/>
        <w:jc w:val="both"/>
      </w:pPr>
      <w:r>
        <w:t>“Con</w:t>
      </w:r>
      <w:r>
        <w:rPr>
          <w:spacing w:val="40"/>
        </w:rPr>
        <w:t xml:space="preserve"> </w:t>
      </w:r>
      <w:r>
        <w:t>todo, se requerirá la aprobación del Consejo Regional para proyectos de inversión e iniciativas, así</w:t>
      </w:r>
      <w:r>
        <w:t xml:space="preserve"> como para el financiamiento de estudios preinversionales o diseños que den origen a dichos proyectos e iniciativas, cualquiera sea el monto de los recursos que se proponga asignar. Podrán votarse conjuntamente las iniciativas que no superen las 100 unidad</w:t>
      </w:r>
      <w:r>
        <w:t>es tributarias mensuales, salvo que cualquier Consejero o Consejera Regional solicite la votación separada de alguna de ellas.”.</w:t>
      </w:r>
    </w:p>
    <w:p w:rsidR="00E11B1C" w:rsidRDefault="00E11B1C">
      <w:pPr>
        <w:pStyle w:val="Textoindependiente"/>
        <w:spacing w:before="10"/>
        <w:rPr>
          <w:sz w:val="20"/>
        </w:rPr>
      </w:pPr>
    </w:p>
    <w:p w:rsidR="00E11B1C" w:rsidRDefault="00B706EA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Incorpórase un artículo 78 bis del siguiente </w:t>
      </w:r>
      <w:r>
        <w:rPr>
          <w:spacing w:val="-2"/>
          <w:sz w:val="24"/>
        </w:rPr>
        <w:t>tenor:</w:t>
      </w:r>
    </w:p>
    <w:p w:rsidR="00E11B1C" w:rsidRDefault="00E11B1C">
      <w:pPr>
        <w:pStyle w:val="Textoindependiente"/>
        <w:spacing w:before="5"/>
      </w:pPr>
    </w:p>
    <w:p w:rsidR="00E11B1C" w:rsidRDefault="00B706EA">
      <w:pPr>
        <w:pStyle w:val="Textoindependiente"/>
        <w:spacing w:line="360" w:lineRule="auto"/>
        <w:ind w:left="820" w:right="120"/>
        <w:jc w:val="both"/>
      </w:pPr>
      <w:r>
        <w:t>“Artículo 78 bis.- El Gobierno Regional deberá publicar en la página web institucional toda la información relativa 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iniciativas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que le hubiere asignado recursos, la rendición de cuentas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acreditación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obras o actividades realizadas.”.</w:t>
      </w:r>
    </w:p>
    <w:p w:rsidR="00E11B1C" w:rsidRDefault="00E11B1C">
      <w:pPr>
        <w:spacing w:line="360" w:lineRule="auto"/>
        <w:jc w:val="both"/>
        <w:sectPr w:rsidR="00E11B1C">
          <w:pgSz w:w="11920" w:h="16840"/>
          <w:pgMar w:top="1360" w:right="1340" w:bottom="280" w:left="1340" w:header="720" w:footer="720" w:gutter="0"/>
          <w:cols w:space="720"/>
        </w:sectPr>
      </w:pPr>
    </w:p>
    <w:p w:rsidR="00E11B1C" w:rsidRDefault="00E11B1C">
      <w:pPr>
        <w:pStyle w:val="Textoindependiente"/>
        <w:spacing w:before="5"/>
        <w:rPr>
          <w:sz w:val="20"/>
        </w:rPr>
      </w:pPr>
    </w:p>
    <w:p w:rsidR="00E11B1C" w:rsidRDefault="00B706EA">
      <w:pPr>
        <w:pStyle w:val="Textoindependiente"/>
        <w:spacing w:before="93" w:line="360" w:lineRule="auto"/>
        <w:ind w:left="100"/>
      </w:pPr>
      <w:r>
        <w:t>Artículo</w:t>
      </w:r>
      <w:r>
        <w:rPr>
          <w:spacing w:val="39"/>
        </w:rPr>
        <w:t xml:space="preserve"> </w:t>
      </w:r>
      <w:r>
        <w:t>Transitorio:</w:t>
      </w:r>
      <w:r>
        <w:rPr>
          <w:spacing w:val="26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dispuesto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artículos</w:t>
      </w:r>
      <w:r>
        <w:rPr>
          <w:spacing w:val="26"/>
        </w:rPr>
        <w:t xml:space="preserve"> </w:t>
      </w:r>
      <w:r>
        <w:t>77</w:t>
      </w:r>
      <w:r>
        <w:rPr>
          <w:spacing w:val="26"/>
        </w:rPr>
        <w:t xml:space="preserve"> </w:t>
      </w:r>
      <w:r>
        <w:t>quáter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78</w:t>
      </w:r>
      <w:r>
        <w:rPr>
          <w:spacing w:val="26"/>
        </w:rPr>
        <w:t xml:space="preserve"> </w:t>
      </w:r>
      <w:r>
        <w:t>bis</w:t>
      </w:r>
      <w:r>
        <w:rPr>
          <w:spacing w:val="26"/>
        </w:rPr>
        <w:t xml:space="preserve"> </w:t>
      </w:r>
      <w:r>
        <w:t>comenzará</w:t>
      </w:r>
      <w:r>
        <w:rPr>
          <w:spacing w:val="26"/>
        </w:rPr>
        <w:t xml:space="preserve"> </w:t>
      </w:r>
      <w:r>
        <w:t xml:space="preserve">a regir en el plazo de seis meses contados </w:t>
      </w:r>
      <w:r>
        <w:t>desde la publicación de la presente ley.</w:t>
      </w: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rPr>
          <w:sz w:val="26"/>
        </w:rPr>
      </w:pPr>
    </w:p>
    <w:p w:rsidR="00E11B1C" w:rsidRDefault="00E11B1C">
      <w:pPr>
        <w:pStyle w:val="Textoindependiente"/>
        <w:spacing w:before="11"/>
        <w:rPr>
          <w:sz w:val="33"/>
        </w:rPr>
      </w:pPr>
    </w:p>
    <w:p w:rsidR="00E11B1C" w:rsidRDefault="00B706EA">
      <w:pPr>
        <w:ind w:left="3073" w:right="3085"/>
        <w:jc w:val="center"/>
        <w:rPr>
          <w:b/>
          <w:sz w:val="24"/>
        </w:rPr>
      </w:pPr>
      <w:r>
        <w:rPr>
          <w:b/>
          <w:sz w:val="24"/>
        </w:rPr>
        <w:t xml:space="preserve">FÉLIX GONZÁLEZ </w:t>
      </w:r>
      <w:r>
        <w:rPr>
          <w:b/>
          <w:spacing w:val="-2"/>
          <w:sz w:val="24"/>
        </w:rPr>
        <w:t>GATICA</w:t>
      </w:r>
    </w:p>
    <w:p w:rsidR="00E11B1C" w:rsidRDefault="00B706EA">
      <w:pPr>
        <w:spacing w:before="138"/>
        <w:ind w:left="2714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E11B1C">
      <w:pgSz w:w="11920" w:h="16840"/>
      <w:pgMar w:top="19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1594"/>
    <w:multiLevelType w:val="hybridMultilevel"/>
    <w:tmpl w:val="F02C754C"/>
    <w:lvl w:ilvl="0" w:tplc="40B4995E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D146628">
      <w:start w:val="1"/>
      <w:numFmt w:val="lowerLetter"/>
      <w:lvlText w:val="%2)"/>
      <w:lvlJc w:val="left"/>
      <w:pPr>
        <w:ind w:left="8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C6C5542">
      <w:numFmt w:val="bullet"/>
      <w:lvlText w:val="•"/>
      <w:lvlJc w:val="left"/>
      <w:pPr>
        <w:ind w:left="2504" w:hanging="720"/>
      </w:pPr>
      <w:rPr>
        <w:rFonts w:hint="default"/>
        <w:lang w:val="es-ES" w:eastAsia="en-US" w:bidi="ar-SA"/>
      </w:rPr>
    </w:lvl>
    <w:lvl w:ilvl="3" w:tplc="458C6908">
      <w:numFmt w:val="bullet"/>
      <w:lvlText w:val="•"/>
      <w:lvlJc w:val="left"/>
      <w:pPr>
        <w:ind w:left="3346" w:hanging="720"/>
      </w:pPr>
      <w:rPr>
        <w:rFonts w:hint="default"/>
        <w:lang w:val="es-ES" w:eastAsia="en-US" w:bidi="ar-SA"/>
      </w:rPr>
    </w:lvl>
    <w:lvl w:ilvl="4" w:tplc="DE4A514A">
      <w:numFmt w:val="bullet"/>
      <w:lvlText w:val="•"/>
      <w:lvlJc w:val="left"/>
      <w:pPr>
        <w:ind w:left="4188" w:hanging="720"/>
      </w:pPr>
      <w:rPr>
        <w:rFonts w:hint="default"/>
        <w:lang w:val="es-ES" w:eastAsia="en-US" w:bidi="ar-SA"/>
      </w:rPr>
    </w:lvl>
    <w:lvl w:ilvl="5" w:tplc="D9B4670E">
      <w:numFmt w:val="bullet"/>
      <w:lvlText w:val="•"/>
      <w:lvlJc w:val="left"/>
      <w:pPr>
        <w:ind w:left="5030" w:hanging="720"/>
      </w:pPr>
      <w:rPr>
        <w:rFonts w:hint="default"/>
        <w:lang w:val="es-ES" w:eastAsia="en-US" w:bidi="ar-SA"/>
      </w:rPr>
    </w:lvl>
    <w:lvl w:ilvl="6" w:tplc="FBBE5964">
      <w:numFmt w:val="bullet"/>
      <w:lvlText w:val="•"/>
      <w:lvlJc w:val="left"/>
      <w:pPr>
        <w:ind w:left="5872" w:hanging="720"/>
      </w:pPr>
      <w:rPr>
        <w:rFonts w:hint="default"/>
        <w:lang w:val="es-ES" w:eastAsia="en-US" w:bidi="ar-SA"/>
      </w:rPr>
    </w:lvl>
    <w:lvl w:ilvl="7" w:tplc="AECC5280">
      <w:numFmt w:val="bullet"/>
      <w:lvlText w:val="•"/>
      <w:lvlJc w:val="left"/>
      <w:pPr>
        <w:ind w:left="6714" w:hanging="720"/>
      </w:pPr>
      <w:rPr>
        <w:rFonts w:hint="default"/>
        <w:lang w:val="es-ES" w:eastAsia="en-US" w:bidi="ar-SA"/>
      </w:rPr>
    </w:lvl>
    <w:lvl w:ilvl="8" w:tplc="4F4ED21A">
      <w:numFmt w:val="bullet"/>
      <w:lvlText w:val="•"/>
      <w:lvlJc w:val="left"/>
      <w:pPr>
        <w:ind w:left="7556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1B1C"/>
    <w:rsid w:val="00B706EA"/>
    <w:rsid w:val="00E1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41DAE-8536-4A97-9AA1-0C105A0D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ostrador.cl/noticias/2023/08/12/caso-convenios-fiscalia-investiga-53-fundaciones-por-traspaso-de-mas-de-32-mil-millo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mostrador.cl/noticias/2023/08/12/caso-convenios-fiscalia-investiga-53-fundaciones-por-traspaso-de-mas-de-32-mil-millo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ledescentralizado.cl/chile-es-hoy-el-pais-mas-centralizado-de-america-latin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1625</Words>
  <Characters>8940</Characters>
  <Application>Microsoft Office Word</Application>
  <DocSecurity>0</DocSecurity>
  <Lines>74</Lines>
  <Paragraphs>21</Paragraphs>
  <ScaleCrop>false</ScaleCrop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Control Gastos Gores 2.docx</dc:title>
  <cp:lastModifiedBy>Guillermo Diaz Vallejos</cp:lastModifiedBy>
  <cp:revision>1</cp:revision>
  <dcterms:created xsi:type="dcterms:W3CDTF">2023-09-13T13:14:00Z</dcterms:created>
  <dcterms:modified xsi:type="dcterms:W3CDTF">2023-09-25T20:48:00Z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Docs Renderer</vt:lpwstr>
  </property>
</Properties>
</file>